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EE23" w14:textId="44EBC7E0" w:rsidR="00481208" w:rsidRPr="00E33F12" w:rsidRDefault="00250BDD" w:rsidP="00E33F12">
      <w:pPr>
        <w:jc w:val="center"/>
        <w:rPr>
          <w:b/>
        </w:rPr>
      </w:pPr>
      <w:bookmarkStart w:id="0" w:name="_GoBack"/>
      <w:bookmarkEnd w:id="0"/>
      <w:r w:rsidRPr="00E33F12">
        <w:rPr>
          <w:b/>
        </w:rPr>
        <w:t>Appointment of Data Processing Entity</w:t>
      </w:r>
    </w:p>
    <w:p w14:paraId="08B3D726" w14:textId="77777777" w:rsidR="00250BDD" w:rsidRPr="00E33F12" w:rsidRDefault="00250BDD" w:rsidP="00E33F12">
      <w:pPr>
        <w:jc w:val="center"/>
        <w:rPr>
          <w:b/>
        </w:rPr>
      </w:pPr>
    </w:p>
    <w:p w14:paraId="30DBCCC9" w14:textId="714EB112" w:rsidR="00E33F12" w:rsidRDefault="00086D94" w:rsidP="00E33F12">
      <w:pPr>
        <w:rPr>
          <w:b/>
        </w:rPr>
      </w:pPr>
      <w:r w:rsidRPr="00E33F12">
        <w:rPr>
          <w:b/>
        </w:rPr>
        <w:t xml:space="preserve">To: </w:t>
      </w:r>
      <w:r w:rsidR="00264C0E" w:rsidRPr="00E33F12">
        <w:rPr>
          <w:b/>
        </w:rPr>
        <w:t xml:space="preserve">EirGrid plc and SONI Ltd, acting in their joint capacity as </w:t>
      </w:r>
      <w:r w:rsidRPr="00E33F12">
        <w:rPr>
          <w:b/>
        </w:rPr>
        <w:t>SEMO</w:t>
      </w:r>
    </w:p>
    <w:p w14:paraId="5C5042AA" w14:textId="77777777" w:rsidR="00E33F12" w:rsidRPr="00E33F12" w:rsidRDefault="00E33F12" w:rsidP="00E33F12">
      <w:pPr>
        <w:rPr>
          <w:b/>
        </w:rPr>
      </w:pPr>
      <w:r>
        <w:rPr>
          <w:b/>
        </w:rPr>
        <w:t xml:space="preserve">By email: </w:t>
      </w:r>
      <w:hyperlink r:id="rId8" w:history="1">
        <w:r w:rsidRPr="00C0770A">
          <w:rPr>
            <w:rStyle w:val="Hyperlink"/>
            <w:b/>
          </w:rPr>
          <w:t>BalancingMarketRegistration@sem-o.com</w:t>
        </w:r>
      </w:hyperlink>
      <w:r>
        <w:rPr>
          <w:b/>
        </w:rPr>
        <w:t xml:space="preserve"> </w:t>
      </w:r>
    </w:p>
    <w:p w14:paraId="7FA9DE64" w14:textId="77777777" w:rsidR="00086D94" w:rsidRPr="00E33F12" w:rsidRDefault="00086D94" w:rsidP="00E33F12">
      <w:pPr>
        <w:rPr>
          <w:b/>
        </w:rPr>
      </w:pPr>
    </w:p>
    <w:p w14:paraId="32C5A9CD" w14:textId="4A6415B0" w:rsidR="00086D94" w:rsidRPr="00EB392B" w:rsidRDefault="00086D94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>In this form, “</w:t>
      </w:r>
      <w:r w:rsidRPr="00E33F12">
        <w:rPr>
          <w:rFonts w:asciiTheme="minorHAnsi" w:hAnsiTheme="minorHAnsi"/>
          <w:b/>
          <w:color w:val="auto"/>
          <w:sz w:val="22"/>
          <w:szCs w:val="22"/>
        </w:rPr>
        <w:t>Code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” means the </w:t>
      </w:r>
      <w:r w:rsidR="002334E5" w:rsidRPr="00EB392B">
        <w:rPr>
          <w:rFonts w:asciiTheme="minorHAnsi" w:hAnsiTheme="minorHAnsi"/>
          <w:color w:val="auto"/>
          <w:sz w:val="22"/>
          <w:szCs w:val="22"/>
        </w:rPr>
        <w:t xml:space="preserve">Single Electricity Market </w:t>
      </w:r>
      <w:r w:rsidR="00701EBE" w:rsidRPr="00EB392B">
        <w:rPr>
          <w:rFonts w:asciiTheme="minorHAnsi" w:hAnsiTheme="minorHAnsi"/>
          <w:color w:val="auto"/>
          <w:sz w:val="22"/>
          <w:szCs w:val="22"/>
        </w:rPr>
        <w:t>Trading and Settlement Code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that governs the</w:t>
      </w:r>
      <w:r w:rsidR="002334E5" w:rsidRPr="00EB392B">
        <w:rPr>
          <w:rFonts w:asciiTheme="minorHAnsi" w:hAnsiTheme="minorHAnsi"/>
          <w:color w:val="auto"/>
          <w:sz w:val="22"/>
          <w:szCs w:val="22"/>
        </w:rPr>
        <w:t xml:space="preserve"> trading arrangements for the Balancing Market and the settlement arrangements 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for the </w:t>
      </w:r>
      <w:r w:rsidR="009C218D" w:rsidRPr="00EB392B">
        <w:rPr>
          <w:rFonts w:asciiTheme="minorHAnsi" w:hAnsiTheme="minorHAnsi"/>
          <w:color w:val="auto"/>
          <w:sz w:val="22"/>
          <w:szCs w:val="22"/>
        </w:rPr>
        <w:t>C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apacity </w:t>
      </w:r>
      <w:r w:rsidR="009C218D" w:rsidRPr="00EB392B">
        <w:rPr>
          <w:rFonts w:asciiTheme="minorHAnsi" w:hAnsiTheme="minorHAnsi"/>
          <w:color w:val="auto"/>
          <w:sz w:val="22"/>
          <w:szCs w:val="22"/>
        </w:rPr>
        <w:t>M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arket, as </w:t>
      </w:r>
      <w:r w:rsidR="002334E5" w:rsidRPr="00EB392B">
        <w:rPr>
          <w:rFonts w:asciiTheme="minorHAnsi" w:hAnsiTheme="minorHAnsi"/>
          <w:color w:val="auto"/>
          <w:sz w:val="22"/>
          <w:szCs w:val="22"/>
        </w:rPr>
        <w:t xml:space="preserve">may be 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modified, amended, varied or replaced from time to time. </w:t>
      </w:r>
    </w:p>
    <w:p w14:paraId="640FE088" w14:textId="77777777" w:rsidR="0021644E" w:rsidRPr="00EB392B" w:rsidRDefault="0021644E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25B10C" w14:textId="7CA0F00E" w:rsidR="00086D94" w:rsidRPr="00EB392B" w:rsidRDefault="00086D94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 xml:space="preserve">Capitalised terms which are not defined in this form shall have the meanings ascribed thereto in the Code. </w:t>
      </w:r>
    </w:p>
    <w:p w14:paraId="51060BED" w14:textId="77777777" w:rsidR="00C833DF" w:rsidRPr="00EB392B" w:rsidRDefault="00C833DF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0045285" w14:textId="44764F62" w:rsidR="00E10338" w:rsidRPr="00EB392B" w:rsidRDefault="00C833DF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33F12">
        <w:rPr>
          <w:rFonts w:asciiTheme="minorHAnsi" w:hAnsiTheme="minorHAnsi"/>
          <w:color w:val="auto"/>
          <w:sz w:val="22"/>
          <w:szCs w:val="22"/>
          <w:highlight w:val="yellow"/>
        </w:rPr>
        <w:t>[</w:t>
      </w:r>
      <w:r w:rsidR="00E4477C" w:rsidRPr="00E33F12">
        <w:rPr>
          <w:rFonts w:asciiTheme="minorHAnsi" w:hAnsiTheme="minorHAnsi"/>
          <w:color w:val="auto"/>
          <w:sz w:val="22"/>
          <w:szCs w:val="22"/>
          <w:highlight w:val="yellow"/>
        </w:rPr>
        <w:t>X</w:t>
      </w:r>
      <w:r w:rsidRPr="00E33F12">
        <w:rPr>
          <w:rFonts w:asciiTheme="minorHAnsi" w:hAnsiTheme="minorHAnsi"/>
          <w:color w:val="auto"/>
          <w:sz w:val="22"/>
          <w:szCs w:val="22"/>
          <w:highlight w:val="yellow"/>
        </w:rPr>
        <w:t>]</w:t>
      </w:r>
      <w:r w:rsidR="00EB392B">
        <w:rPr>
          <w:rStyle w:val="FootnoteReference"/>
          <w:rFonts w:asciiTheme="minorHAnsi" w:hAnsiTheme="minorHAnsi"/>
          <w:color w:val="auto"/>
          <w:sz w:val="22"/>
          <w:szCs w:val="22"/>
          <w:highlight w:val="yellow"/>
        </w:rPr>
        <w:footnoteReference w:id="2"/>
      </w:r>
      <w:r w:rsidR="0021644E" w:rsidRPr="00EB392B">
        <w:rPr>
          <w:rFonts w:asciiTheme="minorHAnsi" w:hAnsiTheme="minorHAnsi"/>
          <w:color w:val="auto"/>
          <w:sz w:val="22"/>
          <w:szCs w:val="22"/>
        </w:rPr>
        <w:t xml:space="preserve"> (the “</w:t>
      </w:r>
      <w:r w:rsidR="004E0949" w:rsidRPr="00E33F12">
        <w:rPr>
          <w:rFonts w:asciiTheme="minorHAnsi" w:hAnsiTheme="minorHAnsi"/>
          <w:b/>
          <w:color w:val="auto"/>
          <w:sz w:val="22"/>
          <w:szCs w:val="22"/>
        </w:rPr>
        <w:t>Appointing</w:t>
      </w:r>
      <w:r w:rsidR="004E0949" w:rsidRPr="00EB392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0949" w:rsidRPr="00EB392B">
        <w:rPr>
          <w:rFonts w:asciiTheme="minorHAnsi" w:hAnsiTheme="minorHAnsi"/>
          <w:b/>
          <w:color w:val="auto"/>
          <w:sz w:val="22"/>
          <w:szCs w:val="22"/>
        </w:rPr>
        <w:t>Party</w:t>
      </w:r>
      <w:r w:rsidR="0021644E" w:rsidRPr="00EB392B">
        <w:rPr>
          <w:rFonts w:asciiTheme="minorHAnsi" w:hAnsiTheme="minorHAnsi"/>
          <w:color w:val="auto"/>
          <w:sz w:val="22"/>
          <w:szCs w:val="22"/>
        </w:rPr>
        <w:t>”)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, having entered into </w:t>
      </w:r>
      <w:r w:rsidR="002334E5" w:rsidRPr="00EB392B">
        <w:rPr>
          <w:rFonts w:asciiTheme="minorHAnsi" w:hAnsiTheme="minorHAnsi"/>
          <w:color w:val="auto"/>
          <w:sz w:val="22"/>
          <w:szCs w:val="22"/>
        </w:rPr>
        <w:t xml:space="preserve">a 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Framework Agreement </w:t>
      </w:r>
      <w:r w:rsidR="002D6C77" w:rsidRPr="00EB392B">
        <w:rPr>
          <w:rFonts w:asciiTheme="minorHAnsi" w:hAnsiTheme="minorHAnsi"/>
          <w:color w:val="auto"/>
          <w:sz w:val="22"/>
          <w:szCs w:val="22"/>
        </w:rPr>
        <w:t xml:space="preserve">dated </w:t>
      </w:r>
      <w:r w:rsidR="002D6C77" w:rsidRPr="00E33F12">
        <w:rPr>
          <w:rFonts w:asciiTheme="minorHAnsi" w:hAnsiTheme="minorHAnsi"/>
          <w:color w:val="auto"/>
          <w:sz w:val="22"/>
          <w:szCs w:val="22"/>
          <w:highlight w:val="yellow"/>
        </w:rPr>
        <w:t>[</w:t>
      </w:r>
      <w:r w:rsidR="00264C0E" w:rsidRPr="00EB392B">
        <w:rPr>
          <w:rFonts w:asciiTheme="minorHAnsi" w:hAnsiTheme="minorHAnsi"/>
          <w:color w:val="auto"/>
          <w:sz w:val="22"/>
          <w:szCs w:val="22"/>
          <w:highlight w:val="yellow"/>
        </w:rPr>
        <w:t>INSERT DATE</w:t>
      </w:r>
      <w:r w:rsidR="002D6C77" w:rsidRPr="00E33F12">
        <w:rPr>
          <w:rFonts w:asciiTheme="minorHAnsi" w:hAnsiTheme="minorHAnsi"/>
          <w:color w:val="auto"/>
          <w:sz w:val="22"/>
          <w:szCs w:val="22"/>
          <w:highlight w:val="yellow"/>
        </w:rPr>
        <w:t>]</w:t>
      </w:r>
      <w:r w:rsidR="0021644E" w:rsidRPr="00EB392B">
        <w:rPr>
          <w:rFonts w:asciiTheme="minorHAnsi" w:hAnsiTheme="minorHAnsi"/>
          <w:color w:val="auto"/>
          <w:sz w:val="22"/>
          <w:szCs w:val="22"/>
        </w:rPr>
        <w:t>,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is a Party under the </w:t>
      </w:r>
      <w:r w:rsidR="00893217" w:rsidRPr="00EB392B">
        <w:rPr>
          <w:rFonts w:asciiTheme="minorHAnsi" w:hAnsiTheme="minorHAnsi"/>
          <w:color w:val="auto"/>
          <w:sz w:val="22"/>
          <w:szCs w:val="22"/>
        </w:rPr>
        <w:t>Code.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14:paraId="70DEA6D5" w14:textId="77777777" w:rsidR="00E10338" w:rsidRPr="00EB392B" w:rsidRDefault="00E10338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8B33696" w14:textId="1CD873BF" w:rsidR="00673B44" w:rsidRPr="00EB392B" w:rsidRDefault="0021644E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4E0949" w:rsidRPr="00EB392B">
        <w:rPr>
          <w:rFonts w:asciiTheme="minorHAnsi" w:hAnsiTheme="minorHAnsi"/>
          <w:color w:val="auto"/>
          <w:sz w:val="22"/>
          <w:szCs w:val="22"/>
        </w:rPr>
        <w:t>Appointing Party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 hereby authorises </w:t>
      </w:r>
      <w:r w:rsidR="00EB392B" w:rsidRPr="002C5C37">
        <w:rPr>
          <w:rFonts w:asciiTheme="minorHAnsi" w:hAnsiTheme="minorHAnsi"/>
          <w:color w:val="auto"/>
          <w:sz w:val="22"/>
          <w:szCs w:val="22"/>
          <w:highlight w:val="yellow"/>
        </w:rPr>
        <w:t>[</w:t>
      </w:r>
      <w:r w:rsidR="00EB392B">
        <w:rPr>
          <w:rFonts w:asciiTheme="minorHAnsi" w:hAnsiTheme="minorHAnsi"/>
          <w:color w:val="auto"/>
          <w:sz w:val="22"/>
          <w:szCs w:val="22"/>
          <w:highlight w:val="yellow"/>
        </w:rPr>
        <w:t>Y</w:t>
      </w:r>
      <w:r w:rsidR="00EB392B" w:rsidRPr="002C5C37">
        <w:rPr>
          <w:rFonts w:asciiTheme="minorHAnsi" w:hAnsiTheme="minorHAnsi"/>
          <w:color w:val="auto"/>
          <w:sz w:val="22"/>
          <w:szCs w:val="22"/>
          <w:highlight w:val="yellow"/>
        </w:rPr>
        <w:t>]</w:t>
      </w:r>
      <w:r w:rsidR="00EB392B">
        <w:rPr>
          <w:rStyle w:val="FootnoteReference"/>
          <w:rFonts w:asciiTheme="minorHAnsi" w:hAnsiTheme="minorHAnsi"/>
          <w:color w:val="auto"/>
          <w:sz w:val="22"/>
          <w:szCs w:val="22"/>
          <w:highlight w:val="yellow"/>
        </w:rPr>
        <w:footnoteReference w:id="3"/>
      </w:r>
      <w:r w:rsidR="00FC1622" w:rsidRPr="00EB392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B392B">
        <w:rPr>
          <w:rFonts w:asciiTheme="minorHAnsi" w:hAnsiTheme="minorHAnsi"/>
          <w:color w:val="auto"/>
          <w:sz w:val="22"/>
          <w:szCs w:val="22"/>
        </w:rPr>
        <w:t>(the “</w:t>
      </w:r>
      <w:r w:rsidR="00061283" w:rsidRPr="00EB392B">
        <w:rPr>
          <w:rFonts w:asciiTheme="minorHAnsi" w:hAnsiTheme="minorHAnsi"/>
          <w:b/>
          <w:color w:val="auto"/>
          <w:sz w:val="22"/>
          <w:szCs w:val="22"/>
        </w:rPr>
        <w:t>Agent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”) </w:t>
      </w:r>
      <w:r w:rsidR="000C26A9">
        <w:rPr>
          <w:rFonts w:asciiTheme="minorHAnsi" w:hAnsiTheme="minorHAnsi"/>
          <w:color w:val="auto"/>
          <w:sz w:val="22"/>
          <w:szCs w:val="22"/>
        </w:rPr>
        <w:t>for the purposes of</w:t>
      </w:r>
      <w:r w:rsidR="000C26A9" w:rsidRPr="00EB392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1622" w:rsidRPr="00EB392B">
        <w:rPr>
          <w:rFonts w:asciiTheme="minorHAnsi" w:hAnsiTheme="minorHAnsi"/>
          <w:color w:val="auto"/>
          <w:sz w:val="22"/>
          <w:szCs w:val="22"/>
        </w:rPr>
        <w:t>Section</w:t>
      </w:r>
      <w:r w:rsidR="00E7040E" w:rsidRPr="00EB392B">
        <w:rPr>
          <w:rFonts w:asciiTheme="minorHAnsi" w:hAnsiTheme="minorHAnsi"/>
          <w:color w:val="auto"/>
          <w:sz w:val="22"/>
          <w:szCs w:val="22"/>
        </w:rPr>
        <w:t>s</w:t>
      </w:r>
      <w:r w:rsidR="00FC1622" w:rsidRPr="00EB392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7040E" w:rsidRPr="00EB392B">
        <w:rPr>
          <w:rFonts w:asciiTheme="minorHAnsi" w:hAnsiTheme="minorHAnsi"/>
          <w:color w:val="auto"/>
          <w:sz w:val="22"/>
          <w:szCs w:val="22"/>
        </w:rPr>
        <w:t>B.</w:t>
      </w:r>
      <w:r w:rsidR="00FC1622" w:rsidRPr="00EB392B">
        <w:rPr>
          <w:rFonts w:asciiTheme="minorHAnsi" w:hAnsiTheme="minorHAnsi"/>
          <w:color w:val="auto"/>
          <w:sz w:val="22"/>
          <w:szCs w:val="22"/>
        </w:rPr>
        <w:t xml:space="preserve">27.1.2 </w:t>
      </w:r>
      <w:r w:rsidR="00E7040E" w:rsidRPr="00EB392B">
        <w:rPr>
          <w:rFonts w:asciiTheme="minorHAnsi" w:hAnsiTheme="minorHAnsi"/>
          <w:color w:val="auto"/>
          <w:sz w:val="22"/>
          <w:szCs w:val="22"/>
        </w:rPr>
        <w:t xml:space="preserve">and C.1.2.1 </w:t>
      </w:r>
      <w:r w:rsidR="00FC1622" w:rsidRPr="00EB392B">
        <w:rPr>
          <w:rFonts w:asciiTheme="minorHAnsi" w:hAnsiTheme="minorHAnsi"/>
          <w:color w:val="auto"/>
          <w:sz w:val="22"/>
          <w:szCs w:val="22"/>
        </w:rPr>
        <w:t xml:space="preserve">of Part B of the </w:t>
      </w:r>
      <w:r w:rsidR="006D2D1A" w:rsidRPr="00EB392B">
        <w:rPr>
          <w:rFonts w:asciiTheme="minorHAnsi" w:hAnsiTheme="minorHAnsi"/>
          <w:color w:val="auto"/>
          <w:sz w:val="22"/>
          <w:szCs w:val="22"/>
        </w:rPr>
        <w:t>Code</w:t>
      </w:r>
      <w:r w:rsidR="00E10338" w:rsidRPr="00EB392B">
        <w:rPr>
          <w:rFonts w:asciiTheme="minorHAnsi" w:hAnsiTheme="minorHAnsi"/>
          <w:color w:val="auto"/>
          <w:sz w:val="22"/>
          <w:szCs w:val="22"/>
        </w:rPr>
        <w:t xml:space="preserve"> to act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 as a Data </w:t>
      </w:r>
      <w:r w:rsidR="00E10338" w:rsidRPr="00EB392B">
        <w:rPr>
          <w:rFonts w:asciiTheme="minorHAnsi" w:hAnsiTheme="minorHAnsi"/>
          <w:color w:val="auto"/>
          <w:sz w:val="22"/>
          <w:szCs w:val="22"/>
        </w:rPr>
        <w:t>Processing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 Entity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and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 to </w:t>
      </w:r>
      <w:r w:rsidR="00673B44" w:rsidRPr="00EB392B">
        <w:rPr>
          <w:rFonts w:asciiTheme="minorHAnsi" w:hAnsiTheme="minorHAnsi"/>
          <w:color w:val="auto"/>
          <w:sz w:val="22"/>
          <w:szCs w:val="22"/>
        </w:rPr>
        <w:t>do any or all of the following tasks for an</w:t>
      </w:r>
      <w:r w:rsidR="00DF28EE" w:rsidRPr="00EB392B">
        <w:rPr>
          <w:rFonts w:asciiTheme="minorHAnsi" w:hAnsiTheme="minorHAnsi"/>
          <w:color w:val="auto"/>
          <w:sz w:val="22"/>
          <w:szCs w:val="22"/>
        </w:rPr>
        <w:t>d</w:t>
      </w:r>
      <w:r w:rsidR="00673B44" w:rsidRPr="00EB392B">
        <w:rPr>
          <w:rFonts w:asciiTheme="minorHAnsi" w:hAnsiTheme="minorHAnsi"/>
          <w:color w:val="auto"/>
          <w:sz w:val="22"/>
          <w:szCs w:val="22"/>
        </w:rPr>
        <w:t xml:space="preserve"> on behalf of the </w:t>
      </w:r>
      <w:r w:rsidR="00061283" w:rsidRPr="00EB392B">
        <w:rPr>
          <w:rFonts w:asciiTheme="minorHAnsi" w:hAnsiTheme="minorHAnsi"/>
          <w:color w:val="auto"/>
          <w:sz w:val="22"/>
          <w:szCs w:val="22"/>
        </w:rPr>
        <w:t xml:space="preserve">Appointing </w:t>
      </w:r>
      <w:r w:rsidR="00673B44" w:rsidRPr="00EB392B">
        <w:rPr>
          <w:rFonts w:asciiTheme="minorHAnsi" w:hAnsiTheme="minorHAnsi"/>
          <w:color w:val="auto"/>
          <w:sz w:val="22"/>
          <w:szCs w:val="22"/>
        </w:rPr>
        <w:t>Party and any of its Participants:</w:t>
      </w:r>
    </w:p>
    <w:p w14:paraId="7E41E00C" w14:textId="77777777" w:rsidR="0021644E" w:rsidRPr="00EB392B" w:rsidRDefault="0021644E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03D181B" w14:textId="77777777" w:rsidR="00673B44" w:rsidRPr="00EB392B" w:rsidRDefault="00673B44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 xml:space="preserve">(a) 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submit </w:t>
      </w:r>
      <w:r w:rsidR="006D2D1A" w:rsidRPr="00EB392B">
        <w:rPr>
          <w:rFonts w:asciiTheme="minorHAnsi" w:hAnsiTheme="minorHAnsi"/>
          <w:color w:val="auto"/>
          <w:sz w:val="22"/>
          <w:szCs w:val="22"/>
        </w:rPr>
        <w:t xml:space="preserve">applicable 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Data </w:t>
      </w:r>
      <w:r w:rsidR="00E7040E" w:rsidRPr="00EB392B">
        <w:rPr>
          <w:rFonts w:asciiTheme="minorHAnsi" w:hAnsiTheme="minorHAnsi"/>
          <w:color w:val="auto"/>
          <w:sz w:val="22"/>
          <w:szCs w:val="22"/>
        </w:rPr>
        <w:t>Transaction</w:t>
      </w:r>
      <w:r w:rsidR="00152CDE" w:rsidRPr="00EB392B">
        <w:rPr>
          <w:rFonts w:asciiTheme="minorHAnsi" w:hAnsiTheme="minorHAnsi"/>
          <w:color w:val="auto"/>
          <w:sz w:val="22"/>
          <w:szCs w:val="22"/>
        </w:rPr>
        <w:t>s</w:t>
      </w:r>
      <w:r w:rsidR="00E7040E" w:rsidRPr="00EB392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2D2A572" w14:textId="77777777" w:rsidR="006D2D1A" w:rsidRPr="00EB392B" w:rsidRDefault="00673B44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>(b) raise Settlement Queries; or</w:t>
      </w:r>
    </w:p>
    <w:p w14:paraId="6621AD86" w14:textId="36DD17D7" w:rsidR="00E4477C" w:rsidRPr="00EB392B" w:rsidRDefault="006D2D1A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>(c) to view but not modify Settlement Statements</w:t>
      </w:r>
      <w:r w:rsidR="00DF28EE" w:rsidRPr="00EB392B">
        <w:rPr>
          <w:rFonts w:asciiTheme="minorHAnsi" w:hAnsiTheme="minorHAnsi"/>
          <w:color w:val="auto"/>
          <w:sz w:val="22"/>
          <w:szCs w:val="22"/>
        </w:rPr>
        <w:t>,</w:t>
      </w:r>
      <w:r w:rsidR="00C833DF" w:rsidRPr="00EB392B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7E46ABEE" w14:textId="77777777" w:rsidR="00DF28EE" w:rsidRPr="00EB392B" w:rsidRDefault="00DF28EE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83EC3E4" w14:textId="77777777" w:rsidR="00DF28EE" w:rsidRPr="00EB392B" w:rsidRDefault="00DF28EE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>(the “</w:t>
      </w:r>
      <w:r w:rsidRPr="00E33F12">
        <w:rPr>
          <w:rFonts w:asciiTheme="minorHAnsi" w:hAnsiTheme="minorHAnsi"/>
          <w:b/>
          <w:color w:val="auto"/>
          <w:sz w:val="22"/>
          <w:szCs w:val="22"/>
        </w:rPr>
        <w:t>Authorised Activities</w:t>
      </w:r>
      <w:r w:rsidRPr="00EB392B">
        <w:rPr>
          <w:rFonts w:asciiTheme="minorHAnsi" w:hAnsiTheme="minorHAnsi"/>
          <w:color w:val="auto"/>
          <w:sz w:val="22"/>
          <w:szCs w:val="22"/>
        </w:rPr>
        <w:t>”).</w:t>
      </w:r>
    </w:p>
    <w:p w14:paraId="1AEDFA8A" w14:textId="77777777" w:rsidR="00086D94" w:rsidRPr="00E33F12" w:rsidRDefault="00086D94" w:rsidP="002334E5">
      <w:pPr>
        <w:jc w:val="both"/>
      </w:pPr>
    </w:p>
    <w:tbl>
      <w:tblPr>
        <w:tblW w:w="7791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243"/>
      </w:tblGrid>
      <w:tr w:rsidR="006D2D1A" w:rsidRPr="00EB392B" w14:paraId="7F789B5E" w14:textId="77777777" w:rsidTr="00E33F12">
        <w:tc>
          <w:tcPr>
            <w:tcW w:w="1548" w:type="dxa"/>
          </w:tcPr>
          <w:p w14:paraId="36B14B96" w14:textId="77777777" w:rsidR="006D2D1A" w:rsidRPr="00EB392B" w:rsidRDefault="006D2D1A" w:rsidP="00E33F12">
            <w:pPr>
              <w:spacing w:before="60" w:after="60"/>
              <w:rPr>
                <w:b/>
              </w:rPr>
            </w:pPr>
            <w:r w:rsidRPr="00EB392B">
              <w:rPr>
                <w:b/>
              </w:rPr>
              <w:t>Party Name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8FF6" w14:textId="77777777" w:rsidR="006D2D1A" w:rsidRPr="00EB392B" w:rsidRDefault="006D2D1A" w:rsidP="00E33F12">
            <w:pPr>
              <w:spacing w:before="60" w:after="60"/>
              <w:rPr>
                <w:b/>
              </w:rPr>
            </w:pPr>
          </w:p>
        </w:tc>
      </w:tr>
      <w:tr w:rsidR="006D2D1A" w:rsidRPr="00EB392B" w14:paraId="512AEE7D" w14:textId="77777777" w:rsidTr="00E33F12">
        <w:tc>
          <w:tcPr>
            <w:tcW w:w="1548" w:type="dxa"/>
          </w:tcPr>
          <w:p w14:paraId="50ED5E88" w14:textId="77777777" w:rsidR="006D2D1A" w:rsidRPr="00EB392B" w:rsidRDefault="003C5682" w:rsidP="00E33F12">
            <w:pPr>
              <w:spacing w:before="60" w:after="60"/>
              <w:rPr>
                <w:b/>
              </w:rPr>
            </w:pPr>
            <w:r w:rsidRPr="00EB392B">
              <w:rPr>
                <w:b/>
              </w:rPr>
              <w:t>Party ID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6B23" w14:textId="77777777" w:rsidR="006D2D1A" w:rsidRPr="00EB392B" w:rsidRDefault="006D2D1A" w:rsidP="00E33F12">
            <w:pPr>
              <w:spacing w:before="60" w:after="60"/>
            </w:pPr>
          </w:p>
        </w:tc>
      </w:tr>
      <w:tr w:rsidR="006D2D1A" w:rsidRPr="00EB392B" w14:paraId="206318D7" w14:textId="77777777" w:rsidTr="00E33F12">
        <w:tc>
          <w:tcPr>
            <w:tcW w:w="1548" w:type="dxa"/>
          </w:tcPr>
          <w:p w14:paraId="770C03E7" w14:textId="77777777" w:rsidR="006D2D1A" w:rsidRPr="00EB392B" w:rsidRDefault="003C5682" w:rsidP="00E33F12">
            <w:pPr>
              <w:spacing w:before="60" w:after="60"/>
              <w:rPr>
                <w:b/>
              </w:rPr>
            </w:pPr>
            <w:r w:rsidRPr="00EB392B">
              <w:rPr>
                <w:b/>
              </w:rPr>
              <w:t>Participant ID</w:t>
            </w:r>
            <w:r w:rsidR="006D2D1A" w:rsidRPr="00EB392B">
              <w:rPr>
                <w:b/>
              </w:rPr>
              <w:t>(s)</w:t>
            </w:r>
          </w:p>
        </w:tc>
        <w:tc>
          <w:tcPr>
            <w:tcW w:w="6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B499" w14:textId="77777777" w:rsidR="006D2D1A" w:rsidRPr="00EB392B" w:rsidRDefault="006D2D1A" w:rsidP="00E33F12">
            <w:pPr>
              <w:spacing w:before="60" w:after="60"/>
            </w:pPr>
          </w:p>
        </w:tc>
      </w:tr>
    </w:tbl>
    <w:p w14:paraId="14BCBFFB" w14:textId="77777777" w:rsidR="001E3AA4" w:rsidRPr="00E33F12" w:rsidRDefault="001E3AA4" w:rsidP="00E33F12"/>
    <w:p w14:paraId="281DCBCA" w14:textId="78CDEF70" w:rsidR="00673B44" w:rsidRPr="00EB392B" w:rsidRDefault="00835782" w:rsidP="00E33F1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B392B">
        <w:rPr>
          <w:rFonts w:asciiTheme="minorHAnsi" w:hAnsiTheme="minorHAnsi"/>
          <w:color w:val="auto"/>
          <w:sz w:val="22"/>
          <w:szCs w:val="22"/>
        </w:rPr>
        <w:t xml:space="preserve">Each of the </w:t>
      </w:r>
      <w:r w:rsidR="00061283" w:rsidRPr="00EB392B">
        <w:rPr>
          <w:rFonts w:asciiTheme="minorHAnsi" w:hAnsiTheme="minorHAnsi"/>
          <w:color w:val="auto"/>
          <w:sz w:val="22"/>
          <w:szCs w:val="22"/>
        </w:rPr>
        <w:t>Appointing Party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and the </w:t>
      </w:r>
      <w:r w:rsidR="00061283" w:rsidRPr="00EB392B">
        <w:rPr>
          <w:rFonts w:asciiTheme="minorHAnsi" w:hAnsiTheme="minorHAnsi"/>
          <w:color w:val="auto"/>
          <w:sz w:val="22"/>
          <w:szCs w:val="22"/>
        </w:rPr>
        <w:t>Agent</w:t>
      </w:r>
      <w:r w:rsidRPr="00EB392B">
        <w:rPr>
          <w:rFonts w:asciiTheme="minorHAnsi" w:hAnsiTheme="minorHAnsi"/>
          <w:color w:val="auto"/>
          <w:sz w:val="22"/>
          <w:szCs w:val="22"/>
        </w:rPr>
        <w:t xml:space="preserve"> agree and acknowledge that</w:t>
      </w:r>
      <w:r w:rsidR="00673B44" w:rsidRPr="00EB392B">
        <w:rPr>
          <w:rFonts w:asciiTheme="minorHAnsi" w:hAnsiTheme="minorHAnsi"/>
          <w:color w:val="auto"/>
          <w:sz w:val="22"/>
          <w:szCs w:val="22"/>
        </w:rPr>
        <w:t>:</w:t>
      </w:r>
    </w:p>
    <w:p w14:paraId="1A1FC26D" w14:textId="77777777" w:rsidR="00DF28EE" w:rsidRPr="00E33F12" w:rsidRDefault="00DF28EE" w:rsidP="00E33F12">
      <w:pPr>
        <w:jc w:val="both"/>
      </w:pPr>
    </w:p>
    <w:p w14:paraId="4F72925C" w14:textId="2E7F9CC0" w:rsidR="00835782" w:rsidRPr="00E33F12" w:rsidRDefault="00835782" w:rsidP="00E33F12">
      <w:pPr>
        <w:pStyle w:val="ListParagraph"/>
        <w:numPr>
          <w:ilvl w:val="0"/>
          <w:numId w:val="3"/>
        </w:numPr>
        <w:ind w:left="360"/>
        <w:jc w:val="both"/>
      </w:pPr>
      <w:r w:rsidRPr="00E33F12">
        <w:t xml:space="preserve">The </w:t>
      </w:r>
      <w:r w:rsidR="00061283" w:rsidRPr="00E33F12">
        <w:t>Agent</w:t>
      </w:r>
      <w:r w:rsidR="00673B44" w:rsidRPr="00E33F12">
        <w:t xml:space="preserve"> </w:t>
      </w:r>
      <w:r w:rsidR="00DF28EE" w:rsidRPr="00E33F12">
        <w:t xml:space="preserve">shall </w:t>
      </w:r>
      <w:r w:rsidR="00673B44" w:rsidRPr="00E33F12">
        <w:t xml:space="preserve">comply with </w:t>
      </w:r>
      <w:r w:rsidR="00DF28EE" w:rsidRPr="00E33F12">
        <w:t xml:space="preserve">all </w:t>
      </w:r>
      <w:r w:rsidR="00673B44" w:rsidRPr="00E33F12">
        <w:t xml:space="preserve">requirements set out in the Code </w:t>
      </w:r>
      <w:r w:rsidR="00DF28EE" w:rsidRPr="00E33F12">
        <w:t xml:space="preserve">in respect of the Authorised Activities </w:t>
      </w:r>
      <w:r w:rsidR="00673B44" w:rsidRPr="00E33F12">
        <w:t>and</w:t>
      </w:r>
      <w:r w:rsidR="00EA3D32" w:rsidRPr="00E33F12">
        <w:t>, without prejudice to the generality of the foregoing,</w:t>
      </w:r>
      <w:r w:rsidR="00673B44" w:rsidRPr="00E33F12">
        <w:t xml:space="preserve"> must </w:t>
      </w:r>
      <w:r w:rsidR="00DF28EE" w:rsidRPr="00E33F12">
        <w:t xml:space="preserve">satisfy the </w:t>
      </w:r>
      <w:r w:rsidR="00673B44" w:rsidRPr="00E33F12">
        <w:t xml:space="preserve">Communication Channel Qualification. </w:t>
      </w:r>
    </w:p>
    <w:p w14:paraId="7965A730" w14:textId="77777777" w:rsidR="00835782" w:rsidRPr="00E33F12" w:rsidRDefault="00835782" w:rsidP="00E33F12">
      <w:pPr>
        <w:jc w:val="both"/>
      </w:pPr>
    </w:p>
    <w:p w14:paraId="4BCBDF7D" w14:textId="77777777" w:rsidR="00250BDD" w:rsidRPr="00E33F12" w:rsidRDefault="00250BDD" w:rsidP="00E33F12">
      <w:pPr>
        <w:pStyle w:val="ListParagraph"/>
        <w:numPr>
          <w:ilvl w:val="0"/>
          <w:numId w:val="3"/>
        </w:numPr>
        <w:ind w:left="360"/>
        <w:jc w:val="both"/>
      </w:pPr>
      <w:r w:rsidRPr="00E33F12">
        <w:t xml:space="preserve">Notwithstanding the appointment of the Agent as a Data Processing Entity: </w:t>
      </w:r>
    </w:p>
    <w:p w14:paraId="67498C69" w14:textId="77777777" w:rsidR="00250BDD" w:rsidRPr="00E33F12" w:rsidRDefault="00250BDD" w:rsidP="00E33F12">
      <w:pPr>
        <w:pStyle w:val="ListParagraph"/>
      </w:pPr>
    </w:p>
    <w:p w14:paraId="0B9C755C" w14:textId="44AF595E" w:rsidR="00250BDD" w:rsidRPr="00E33F12" w:rsidRDefault="00250BDD" w:rsidP="00E33F12">
      <w:pPr>
        <w:pStyle w:val="ListParagraph"/>
        <w:numPr>
          <w:ilvl w:val="1"/>
          <w:numId w:val="3"/>
        </w:numPr>
        <w:ind w:left="1080"/>
        <w:jc w:val="both"/>
      </w:pPr>
      <w:r w:rsidRPr="00E33F12">
        <w:t>t</w:t>
      </w:r>
      <w:r w:rsidR="00835782" w:rsidRPr="00E33F12">
        <w:t xml:space="preserve">he </w:t>
      </w:r>
      <w:r w:rsidR="00061283" w:rsidRPr="00E33F12">
        <w:t>Appointing Party</w:t>
      </w:r>
      <w:r w:rsidR="00673B44" w:rsidRPr="00E33F12">
        <w:t xml:space="preserve"> shall at all times remain liable for the performance of, and compliance with</w:t>
      </w:r>
      <w:r w:rsidR="00835782" w:rsidRPr="00E33F12">
        <w:t>,</w:t>
      </w:r>
      <w:r w:rsidR="00673B44" w:rsidRPr="00E33F12">
        <w:t xml:space="preserve"> the Code by </w:t>
      </w:r>
      <w:r w:rsidR="00835782" w:rsidRPr="00E33F12">
        <w:t xml:space="preserve">the </w:t>
      </w:r>
      <w:r w:rsidR="00061283" w:rsidRPr="00E33F12">
        <w:t>Agent</w:t>
      </w:r>
      <w:r w:rsidRPr="00E33F12">
        <w:t xml:space="preserve"> in respect of the Authorised Activities; </w:t>
      </w:r>
    </w:p>
    <w:p w14:paraId="0C4EFC67" w14:textId="77777777" w:rsidR="00250BDD" w:rsidRPr="00E33F12" w:rsidRDefault="00250BDD" w:rsidP="00E33F12">
      <w:pPr>
        <w:pStyle w:val="ListParagraph"/>
        <w:ind w:left="1080"/>
        <w:jc w:val="both"/>
      </w:pPr>
    </w:p>
    <w:p w14:paraId="20666EA6" w14:textId="6992D253" w:rsidR="000C26A9" w:rsidRDefault="000C26A9" w:rsidP="00E33F12">
      <w:pPr>
        <w:pStyle w:val="ListParagraph"/>
        <w:numPr>
          <w:ilvl w:val="1"/>
          <w:numId w:val="3"/>
        </w:numPr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35782" w:rsidRPr="00E33F12">
        <w:rPr>
          <w:rFonts w:asciiTheme="minorHAnsi" w:hAnsiTheme="minorHAnsi"/>
        </w:rPr>
        <w:t xml:space="preserve">he </w:t>
      </w:r>
      <w:r w:rsidR="00061283" w:rsidRPr="00E33F12">
        <w:rPr>
          <w:rFonts w:asciiTheme="minorHAnsi" w:hAnsiTheme="minorHAnsi"/>
        </w:rPr>
        <w:t>Appointing Party</w:t>
      </w:r>
      <w:r w:rsidR="00E43B97" w:rsidRPr="00E33F12">
        <w:rPr>
          <w:rFonts w:asciiTheme="minorHAnsi" w:hAnsiTheme="minorHAnsi"/>
        </w:rPr>
        <w:t xml:space="preserve"> shall remain liable at all times for fulfilling its obligations under the </w:t>
      </w:r>
      <w:r w:rsidR="006D2D1A" w:rsidRPr="00E33F12">
        <w:rPr>
          <w:rFonts w:asciiTheme="minorHAnsi" w:hAnsiTheme="minorHAnsi"/>
        </w:rPr>
        <w:t>Code</w:t>
      </w:r>
      <w:r>
        <w:rPr>
          <w:rFonts w:asciiTheme="minorHAnsi" w:hAnsiTheme="minorHAnsi"/>
        </w:rPr>
        <w:t>; and</w:t>
      </w:r>
      <w:r w:rsidR="00E43B97" w:rsidRPr="00E33F12">
        <w:rPr>
          <w:rFonts w:asciiTheme="minorHAnsi" w:hAnsiTheme="minorHAnsi"/>
        </w:rPr>
        <w:t xml:space="preserve"> </w:t>
      </w:r>
    </w:p>
    <w:p w14:paraId="14AF9D0A" w14:textId="77777777" w:rsidR="000C26A9" w:rsidRDefault="000C26A9" w:rsidP="00E33F12">
      <w:pPr>
        <w:pStyle w:val="ListParagraph"/>
        <w:ind w:left="1080"/>
        <w:jc w:val="both"/>
        <w:rPr>
          <w:rFonts w:asciiTheme="minorHAnsi" w:hAnsiTheme="minorHAnsi"/>
        </w:rPr>
      </w:pPr>
    </w:p>
    <w:p w14:paraId="30284E18" w14:textId="782175D6" w:rsidR="00E43B97" w:rsidRPr="00E33F12" w:rsidRDefault="000C26A9" w:rsidP="00E33F12">
      <w:pPr>
        <w:pStyle w:val="ListParagraph"/>
        <w:numPr>
          <w:ilvl w:val="1"/>
          <w:numId w:val="3"/>
        </w:numPr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accordance with </w:t>
      </w:r>
      <w:r w:rsidR="00E43B97" w:rsidRPr="00E33F12">
        <w:rPr>
          <w:rFonts w:asciiTheme="minorHAnsi" w:hAnsiTheme="minorHAnsi"/>
        </w:rPr>
        <w:t xml:space="preserve">to Section C.1.2.3 of the </w:t>
      </w:r>
      <w:r w:rsidR="006D2D1A" w:rsidRPr="00E33F12">
        <w:rPr>
          <w:rFonts w:asciiTheme="minorHAnsi" w:hAnsiTheme="minorHAnsi"/>
        </w:rPr>
        <w:t>Code</w:t>
      </w:r>
      <w:r w:rsidR="00E43B97" w:rsidRPr="00E33F12">
        <w:rPr>
          <w:rFonts w:asciiTheme="minorHAnsi" w:hAnsiTheme="minorHAnsi"/>
        </w:rPr>
        <w:t xml:space="preserve">, any acts and omissions of the </w:t>
      </w:r>
      <w:r w:rsidR="00061283" w:rsidRPr="00E33F12">
        <w:rPr>
          <w:rFonts w:asciiTheme="minorHAnsi" w:hAnsiTheme="minorHAnsi"/>
        </w:rPr>
        <w:t xml:space="preserve">Agent </w:t>
      </w:r>
      <w:r w:rsidR="00E43B97" w:rsidRPr="00E33F12">
        <w:rPr>
          <w:rFonts w:asciiTheme="minorHAnsi" w:hAnsiTheme="minorHAnsi"/>
        </w:rPr>
        <w:t xml:space="preserve">in </w:t>
      </w:r>
      <w:r w:rsidR="009E5E1B" w:rsidRPr="00EB392B">
        <w:rPr>
          <w:rFonts w:asciiTheme="minorHAnsi" w:hAnsiTheme="minorHAnsi"/>
        </w:rPr>
        <w:t>its capacity as a Data Processing Entity of the Appointing Party</w:t>
      </w:r>
      <w:r w:rsidR="00E43B97" w:rsidRPr="00E33F12">
        <w:rPr>
          <w:rFonts w:asciiTheme="minorHAnsi" w:hAnsiTheme="minorHAnsi"/>
        </w:rPr>
        <w:t xml:space="preserve"> are taken to be those of </w:t>
      </w:r>
      <w:r w:rsidR="00835782" w:rsidRPr="00E33F12">
        <w:rPr>
          <w:rFonts w:asciiTheme="minorHAnsi" w:hAnsiTheme="minorHAnsi"/>
        </w:rPr>
        <w:t>the</w:t>
      </w:r>
      <w:r w:rsidR="00E43B97" w:rsidRPr="00E33F12">
        <w:rPr>
          <w:rFonts w:asciiTheme="minorHAnsi" w:hAnsiTheme="minorHAnsi"/>
        </w:rPr>
        <w:t xml:space="preserve"> </w:t>
      </w:r>
      <w:r w:rsidR="00061283" w:rsidRPr="00E33F12">
        <w:rPr>
          <w:rFonts w:asciiTheme="minorHAnsi" w:hAnsiTheme="minorHAnsi"/>
        </w:rPr>
        <w:t>Appointing Party</w:t>
      </w:r>
      <w:r w:rsidR="00E43B97" w:rsidRPr="00E33F12">
        <w:rPr>
          <w:rFonts w:asciiTheme="minorHAnsi" w:hAnsiTheme="minorHAnsi"/>
        </w:rPr>
        <w:t>.</w:t>
      </w:r>
    </w:p>
    <w:p w14:paraId="1548B0CF" w14:textId="77777777" w:rsidR="0021644E" w:rsidRPr="00E33F12" w:rsidRDefault="0021644E" w:rsidP="00E33F12">
      <w:pPr>
        <w:jc w:val="both"/>
      </w:pPr>
    </w:p>
    <w:p w14:paraId="20B3B09F" w14:textId="0EC70B60" w:rsidR="00E43B97" w:rsidRPr="00E33F12" w:rsidRDefault="007147CD" w:rsidP="00E33F12">
      <w:pPr>
        <w:pStyle w:val="ListParagraph"/>
        <w:numPr>
          <w:ilvl w:val="0"/>
          <w:numId w:val="3"/>
        </w:numPr>
        <w:ind w:left="360"/>
        <w:jc w:val="both"/>
      </w:pPr>
      <w:r w:rsidRPr="00E33F12">
        <w:lastRenderedPageBreak/>
        <w:t xml:space="preserve">Data Transactions must be submitted in accordance with the rules as set out in Chapter C and Appendices F to L </w:t>
      </w:r>
      <w:r w:rsidR="004B7E06">
        <w:t xml:space="preserve">(inclusive) </w:t>
      </w:r>
      <w:r w:rsidRPr="00E33F12">
        <w:t xml:space="preserve">of the </w:t>
      </w:r>
      <w:r w:rsidR="006D2D1A" w:rsidRPr="00E33F12">
        <w:t>Code</w:t>
      </w:r>
      <w:r w:rsidRPr="00E33F12">
        <w:t>.</w:t>
      </w:r>
    </w:p>
    <w:p w14:paraId="288B78D0" w14:textId="77777777" w:rsidR="0021644E" w:rsidRPr="00E33F12" w:rsidRDefault="0021644E" w:rsidP="00E33F12">
      <w:pPr>
        <w:jc w:val="both"/>
        <w:outlineLvl w:val="0"/>
      </w:pPr>
    </w:p>
    <w:p w14:paraId="09A68E1F" w14:textId="7B4FB6EF" w:rsidR="00086D94" w:rsidRPr="00E33F12" w:rsidRDefault="00835782" w:rsidP="00E33F12">
      <w:pPr>
        <w:jc w:val="both"/>
        <w:outlineLvl w:val="0"/>
      </w:pPr>
      <w:r w:rsidRPr="00E33F12">
        <w:t xml:space="preserve">The </w:t>
      </w:r>
      <w:r w:rsidR="00061283" w:rsidRPr="00E33F12">
        <w:t>Agent</w:t>
      </w:r>
      <w:r w:rsidR="00E43B97" w:rsidRPr="00E33F12">
        <w:t xml:space="preserve"> hereby</w:t>
      </w:r>
      <w:r w:rsidR="00E10338" w:rsidRPr="00E33F12">
        <w:t xml:space="preserve"> consents to act as Data Processing Entity </w:t>
      </w:r>
      <w:r w:rsidR="00061283" w:rsidRPr="00E33F12">
        <w:t xml:space="preserve">for the purposes of </w:t>
      </w:r>
      <w:r w:rsidR="00E10338" w:rsidRPr="00E33F12">
        <w:t xml:space="preserve">Section </w:t>
      </w:r>
      <w:r w:rsidR="00E7040E" w:rsidRPr="00E33F12">
        <w:t>B.</w:t>
      </w:r>
      <w:r w:rsidR="00E10338" w:rsidRPr="00E33F12">
        <w:t xml:space="preserve">27.1.2 </w:t>
      </w:r>
      <w:r w:rsidR="00DB4D3D" w:rsidRPr="00E33F12">
        <w:t xml:space="preserve">and </w:t>
      </w:r>
      <w:r w:rsidR="00061283" w:rsidRPr="00E33F12">
        <w:t xml:space="preserve">Section </w:t>
      </w:r>
      <w:r w:rsidR="00DB4D3D" w:rsidRPr="00E33F12">
        <w:t xml:space="preserve">C.1.2 </w:t>
      </w:r>
      <w:r w:rsidR="00E10338" w:rsidRPr="00E33F12">
        <w:t xml:space="preserve">of the </w:t>
      </w:r>
      <w:r w:rsidR="006D2D1A" w:rsidRPr="00E33F12">
        <w:t>Code</w:t>
      </w:r>
      <w:r w:rsidR="00DB4D3D" w:rsidRPr="00E33F12">
        <w:t xml:space="preserve"> as provided for above and effective from </w:t>
      </w:r>
      <w:r w:rsidR="00DB4D3D" w:rsidRPr="00E33F12">
        <w:rPr>
          <w:highlight w:val="yellow"/>
        </w:rPr>
        <w:t>[INSERT DATE]</w:t>
      </w:r>
      <w:r w:rsidR="000C26A9">
        <w:t>,</w:t>
      </w:r>
      <w:r w:rsidR="009E5E1B" w:rsidRPr="00E33F12">
        <w:t xml:space="preserve"> until such date on which the Agent and the Data Processing Entity notify SEMO in writing that the Agent’s appointment as a Data Processing Entity has terminated.</w:t>
      </w:r>
    </w:p>
    <w:p w14:paraId="55A6E479" w14:textId="77777777" w:rsidR="00086D94" w:rsidRPr="00E33F12" w:rsidRDefault="00086D94" w:rsidP="00E33F12">
      <w:pPr>
        <w:outlineLvl w:val="0"/>
      </w:pPr>
    </w:p>
    <w:p w14:paraId="7E97CC0C" w14:textId="77777777" w:rsidR="00835782" w:rsidRPr="00E33F12" w:rsidRDefault="00835782" w:rsidP="00E33F12">
      <w:pPr>
        <w:jc w:val="center"/>
        <w:outlineLvl w:val="0"/>
      </w:pPr>
      <w:r w:rsidRPr="00E33F12">
        <w:t>[</w:t>
      </w:r>
      <w:r w:rsidRPr="00E33F12">
        <w:rPr>
          <w:i/>
        </w:rPr>
        <w:t>signature page follows</w:t>
      </w:r>
      <w:r w:rsidRPr="00E33F12">
        <w:t>]</w:t>
      </w:r>
      <w:r w:rsidRPr="00E33F12">
        <w:br w:type="page"/>
      </w:r>
    </w:p>
    <w:p w14:paraId="7E74670E" w14:textId="77777777" w:rsidR="003E5F52" w:rsidRPr="00EB392B" w:rsidRDefault="00FE40DC" w:rsidP="002334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835782" w:rsidRPr="00EB392B" w14:paraId="41BC658E" w14:textId="77777777" w:rsidTr="00B0451A">
        <w:tc>
          <w:tcPr>
            <w:tcW w:w="6487" w:type="dxa"/>
            <w:gridSpan w:val="2"/>
          </w:tcPr>
          <w:p w14:paraId="52A291B3" w14:textId="77777777" w:rsidR="00835782" w:rsidRPr="00E33F12" w:rsidRDefault="00264C0E" w:rsidP="00E33F12">
            <w:pPr>
              <w:spacing w:before="120" w:after="120"/>
              <w:rPr>
                <w:b/>
              </w:rPr>
            </w:pPr>
            <w:r w:rsidRPr="00EB392B">
              <w:rPr>
                <w:b/>
              </w:rPr>
              <w:t>Appointing Party</w:t>
            </w:r>
          </w:p>
        </w:tc>
      </w:tr>
      <w:tr w:rsidR="00835782" w:rsidRPr="00EB392B" w14:paraId="418B4CA5" w14:textId="77777777" w:rsidTr="00E33F12">
        <w:tc>
          <w:tcPr>
            <w:tcW w:w="1384" w:type="dxa"/>
          </w:tcPr>
          <w:p w14:paraId="7390D725" w14:textId="77777777" w:rsidR="00835782" w:rsidRPr="00EB392B" w:rsidRDefault="00835782" w:rsidP="00E33F12">
            <w:pPr>
              <w:spacing w:before="120" w:after="120"/>
            </w:pPr>
            <w:r w:rsidRPr="00EB392B">
              <w:t xml:space="preserve">Name: </w:t>
            </w:r>
            <w:r w:rsidRPr="00EB392B">
              <w:tab/>
            </w:r>
          </w:p>
        </w:tc>
        <w:tc>
          <w:tcPr>
            <w:tcW w:w="5103" w:type="dxa"/>
          </w:tcPr>
          <w:p w14:paraId="169A8920" w14:textId="77777777" w:rsidR="00835782" w:rsidRPr="00EB392B" w:rsidRDefault="00835782" w:rsidP="00E33F12">
            <w:pPr>
              <w:spacing w:before="120" w:after="120"/>
            </w:pPr>
            <w:r w:rsidRPr="00EB392B">
              <w:t>__________________________________</w:t>
            </w:r>
          </w:p>
        </w:tc>
      </w:tr>
      <w:tr w:rsidR="00835782" w:rsidRPr="00EB392B" w14:paraId="3C839739" w14:textId="77777777" w:rsidTr="00E33F12">
        <w:tc>
          <w:tcPr>
            <w:tcW w:w="1384" w:type="dxa"/>
          </w:tcPr>
          <w:p w14:paraId="18081C60" w14:textId="77777777" w:rsidR="00835782" w:rsidRPr="00EB392B" w:rsidRDefault="00835782" w:rsidP="00E33F12">
            <w:pPr>
              <w:spacing w:before="120" w:after="120"/>
            </w:pPr>
            <w:r w:rsidRPr="00EB392B">
              <w:t xml:space="preserve">Signature: </w:t>
            </w:r>
          </w:p>
        </w:tc>
        <w:tc>
          <w:tcPr>
            <w:tcW w:w="5103" w:type="dxa"/>
          </w:tcPr>
          <w:p w14:paraId="0A355ED4" w14:textId="77777777" w:rsidR="00835782" w:rsidRPr="00EB392B" w:rsidRDefault="00835782" w:rsidP="00E33F12">
            <w:pPr>
              <w:spacing w:before="120" w:after="120"/>
            </w:pPr>
            <w:r w:rsidRPr="00EB392B">
              <w:t>__________________________________</w:t>
            </w:r>
          </w:p>
        </w:tc>
      </w:tr>
      <w:tr w:rsidR="00835782" w:rsidRPr="00EB392B" w14:paraId="22816065" w14:textId="77777777" w:rsidTr="00E33F12">
        <w:tc>
          <w:tcPr>
            <w:tcW w:w="1384" w:type="dxa"/>
          </w:tcPr>
          <w:p w14:paraId="1F4D45FE" w14:textId="77777777" w:rsidR="00835782" w:rsidRPr="00EB392B" w:rsidRDefault="00835782" w:rsidP="00E33F12">
            <w:pPr>
              <w:spacing w:before="120" w:after="120"/>
            </w:pPr>
            <w:r w:rsidRPr="00EB392B">
              <w:t xml:space="preserve">Date: </w:t>
            </w:r>
          </w:p>
        </w:tc>
        <w:tc>
          <w:tcPr>
            <w:tcW w:w="5103" w:type="dxa"/>
          </w:tcPr>
          <w:p w14:paraId="7282E468" w14:textId="77777777" w:rsidR="00835782" w:rsidRPr="00EB392B" w:rsidRDefault="00835782" w:rsidP="00E33F12">
            <w:pPr>
              <w:spacing w:before="120" w:after="120"/>
            </w:pPr>
            <w:r w:rsidRPr="00EB392B">
              <w:t>__________________________________</w:t>
            </w:r>
          </w:p>
        </w:tc>
      </w:tr>
    </w:tbl>
    <w:p w14:paraId="585BCAD9" w14:textId="77777777" w:rsidR="00835782" w:rsidRPr="00EB392B" w:rsidRDefault="00835782" w:rsidP="002334E5"/>
    <w:p w14:paraId="5481BD99" w14:textId="77777777" w:rsidR="00835782" w:rsidRPr="00EB392B" w:rsidRDefault="00835782" w:rsidP="002334E5"/>
    <w:p w14:paraId="10537D76" w14:textId="77777777" w:rsidR="00835782" w:rsidRPr="00EB392B" w:rsidRDefault="00835782" w:rsidP="002334E5"/>
    <w:p w14:paraId="6E00DA67" w14:textId="77777777" w:rsidR="007B747E" w:rsidRPr="00EB392B" w:rsidRDefault="007B747E" w:rsidP="002334E5"/>
    <w:p w14:paraId="31C786A6" w14:textId="77777777" w:rsidR="007B747E" w:rsidRPr="00EB392B" w:rsidRDefault="007B747E" w:rsidP="002334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835782" w:rsidRPr="00EB392B" w14:paraId="6B83CCF1" w14:textId="77777777" w:rsidTr="00027C71">
        <w:tc>
          <w:tcPr>
            <w:tcW w:w="6487" w:type="dxa"/>
            <w:gridSpan w:val="2"/>
          </w:tcPr>
          <w:p w14:paraId="4E855111" w14:textId="77777777" w:rsidR="00835782" w:rsidRPr="00EB392B" w:rsidRDefault="00264C0E" w:rsidP="002334E5">
            <w:pPr>
              <w:spacing w:before="120" w:after="120"/>
              <w:rPr>
                <w:b/>
              </w:rPr>
            </w:pPr>
            <w:r w:rsidRPr="00EB392B">
              <w:rPr>
                <w:b/>
              </w:rPr>
              <w:t>Agent</w:t>
            </w:r>
          </w:p>
        </w:tc>
      </w:tr>
      <w:tr w:rsidR="00835782" w:rsidRPr="00EB392B" w14:paraId="7DC4FA1F" w14:textId="77777777" w:rsidTr="002C5C37">
        <w:tc>
          <w:tcPr>
            <w:tcW w:w="1384" w:type="dxa"/>
          </w:tcPr>
          <w:p w14:paraId="3A5A3C9A" w14:textId="77777777" w:rsidR="00835782" w:rsidRPr="00EB392B" w:rsidRDefault="00835782" w:rsidP="002334E5">
            <w:pPr>
              <w:spacing w:before="120" w:after="120"/>
            </w:pPr>
            <w:r w:rsidRPr="00EB392B">
              <w:t xml:space="preserve">Name: </w:t>
            </w:r>
            <w:r w:rsidRPr="00EB392B">
              <w:tab/>
            </w:r>
          </w:p>
        </w:tc>
        <w:tc>
          <w:tcPr>
            <w:tcW w:w="5103" w:type="dxa"/>
          </w:tcPr>
          <w:p w14:paraId="32D3ADF2" w14:textId="77777777" w:rsidR="00835782" w:rsidRPr="00EB392B" w:rsidRDefault="00835782" w:rsidP="002334E5">
            <w:pPr>
              <w:spacing w:before="120" w:after="120"/>
            </w:pPr>
            <w:r w:rsidRPr="00EB392B">
              <w:t>__________________________________</w:t>
            </w:r>
          </w:p>
        </w:tc>
      </w:tr>
      <w:tr w:rsidR="00835782" w:rsidRPr="00EB392B" w14:paraId="2D4CCE5E" w14:textId="77777777" w:rsidTr="002C5C37">
        <w:tc>
          <w:tcPr>
            <w:tcW w:w="1384" w:type="dxa"/>
          </w:tcPr>
          <w:p w14:paraId="08BC75F8" w14:textId="77777777" w:rsidR="00835782" w:rsidRPr="00EB392B" w:rsidRDefault="00835782" w:rsidP="002334E5">
            <w:pPr>
              <w:spacing w:before="120" w:after="120"/>
            </w:pPr>
            <w:r w:rsidRPr="00EB392B">
              <w:t xml:space="preserve">Signature: </w:t>
            </w:r>
          </w:p>
        </w:tc>
        <w:tc>
          <w:tcPr>
            <w:tcW w:w="5103" w:type="dxa"/>
          </w:tcPr>
          <w:p w14:paraId="41066490" w14:textId="77777777" w:rsidR="00835782" w:rsidRPr="00EB392B" w:rsidRDefault="00835782" w:rsidP="002334E5">
            <w:pPr>
              <w:spacing w:before="120" w:after="120"/>
            </w:pPr>
            <w:r w:rsidRPr="00EB392B">
              <w:t>__________________________________</w:t>
            </w:r>
          </w:p>
        </w:tc>
      </w:tr>
      <w:tr w:rsidR="00835782" w:rsidRPr="00EB392B" w14:paraId="24178F6A" w14:textId="77777777" w:rsidTr="002C5C37">
        <w:tc>
          <w:tcPr>
            <w:tcW w:w="1384" w:type="dxa"/>
          </w:tcPr>
          <w:p w14:paraId="7695AEC2" w14:textId="77777777" w:rsidR="00835782" w:rsidRPr="00EB392B" w:rsidRDefault="00835782" w:rsidP="002334E5">
            <w:pPr>
              <w:spacing w:before="120" w:after="120"/>
            </w:pPr>
            <w:r w:rsidRPr="00EB392B">
              <w:t xml:space="preserve">Date: </w:t>
            </w:r>
          </w:p>
        </w:tc>
        <w:tc>
          <w:tcPr>
            <w:tcW w:w="5103" w:type="dxa"/>
          </w:tcPr>
          <w:p w14:paraId="675E34AC" w14:textId="77777777" w:rsidR="00835782" w:rsidRPr="00EB392B" w:rsidRDefault="00835782" w:rsidP="002334E5">
            <w:pPr>
              <w:spacing w:before="120" w:after="120"/>
            </w:pPr>
            <w:r w:rsidRPr="00EB392B">
              <w:t>__________________________________</w:t>
            </w:r>
          </w:p>
        </w:tc>
      </w:tr>
    </w:tbl>
    <w:p w14:paraId="36E5A2AF" w14:textId="77777777" w:rsidR="00835782" w:rsidRPr="00EB392B" w:rsidRDefault="00835782" w:rsidP="002334E5"/>
    <w:sectPr w:rsidR="00835782" w:rsidRPr="00EB392B" w:rsidSect="00D234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470C" w14:textId="77777777" w:rsidR="005C3E73" w:rsidRDefault="005C3E73" w:rsidP="0018227E">
      <w:r>
        <w:separator/>
      </w:r>
    </w:p>
  </w:endnote>
  <w:endnote w:type="continuationSeparator" w:id="0">
    <w:p w14:paraId="3BC20BE2" w14:textId="77777777" w:rsidR="005C3E73" w:rsidRDefault="005C3E73" w:rsidP="0018227E">
      <w:r>
        <w:continuationSeparator/>
      </w:r>
    </w:p>
  </w:endnote>
  <w:endnote w:type="continuationNotice" w:id="1">
    <w:p w14:paraId="491E37A4" w14:textId="77777777" w:rsidR="005C3E73" w:rsidRDefault="005C3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3E6B" w14:textId="77777777" w:rsidR="005C3E73" w:rsidRDefault="005C3E73" w:rsidP="0018227E">
      <w:r>
        <w:separator/>
      </w:r>
    </w:p>
  </w:footnote>
  <w:footnote w:type="continuationSeparator" w:id="0">
    <w:p w14:paraId="2A4EC0C1" w14:textId="77777777" w:rsidR="005C3E73" w:rsidRDefault="005C3E73" w:rsidP="0018227E">
      <w:r>
        <w:continuationSeparator/>
      </w:r>
    </w:p>
  </w:footnote>
  <w:footnote w:type="continuationNotice" w:id="1">
    <w:p w14:paraId="43A1A7D2" w14:textId="77777777" w:rsidR="005C3E73" w:rsidRDefault="005C3E73"/>
  </w:footnote>
  <w:footnote w:id="2">
    <w:p w14:paraId="7AC58344" w14:textId="77777777" w:rsidR="00EB392B" w:rsidRPr="00E33F12" w:rsidRDefault="00EB39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Insert full legal entity name and company number. Delete this footnote after insertion.</w:t>
      </w:r>
    </w:p>
  </w:footnote>
  <w:footnote w:id="3">
    <w:p w14:paraId="0649BF25" w14:textId="77777777" w:rsidR="00EB392B" w:rsidRPr="00E33F12" w:rsidRDefault="00EB39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Insert full legal entity name and company number.</w:t>
      </w:r>
      <w:r w:rsidRPr="00EB392B">
        <w:rPr>
          <w:lang w:val="en-GB"/>
        </w:rPr>
        <w:t xml:space="preserve"> </w:t>
      </w:r>
      <w:r>
        <w:rPr>
          <w:lang w:val="en-GB"/>
        </w:rPr>
        <w:t>Delete this footnote after insertion.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53CD" w14:textId="77777777" w:rsidR="002525D6" w:rsidRPr="00D81FFA" w:rsidRDefault="0021644E" w:rsidP="00E33F12">
    <w:pPr>
      <w:pStyle w:val="Header"/>
      <w:tabs>
        <w:tab w:val="clear" w:pos="4513"/>
        <w:tab w:val="clear" w:pos="9026"/>
        <w:tab w:val="left" w:pos="1635"/>
        <w:tab w:val="left" w:pos="3075"/>
      </w:tabs>
      <w:jc w:val="center"/>
      <w:rPr>
        <w:lang w:val="en-GB"/>
      </w:rPr>
    </w:pPr>
    <w:r>
      <w:rPr>
        <w:lang w:val="en-GB"/>
      </w:rPr>
      <w:t xml:space="preserve">[To be provided on headed paper of the </w:t>
    </w:r>
    <w:r w:rsidR="00264C0E">
      <w:rPr>
        <w:lang w:val="en-GB"/>
      </w:rPr>
      <w:t>Appointing Party</w:t>
    </w:r>
    <w:r>
      <w:rPr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67C5"/>
    <w:multiLevelType w:val="hybridMultilevel"/>
    <w:tmpl w:val="F7EEFCA0"/>
    <w:lvl w:ilvl="0" w:tplc="F9A270B2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C79EB"/>
    <w:multiLevelType w:val="multilevel"/>
    <w:tmpl w:val="9C8AF2DC"/>
    <w:lvl w:ilvl="0">
      <w:start w:val="1"/>
      <w:numFmt w:val="upperLetter"/>
      <w:pStyle w:val="CERLEVEL1"/>
      <w:suff w:val="space"/>
      <w:lvlText w:val="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99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CERLEVEL5"/>
      <w:lvlText w:val="(%5)"/>
      <w:lvlJc w:val="left"/>
      <w:pPr>
        <w:ind w:left="1701" w:hanging="709"/>
      </w:pPr>
      <w:rPr>
        <w:rFonts w:ascii="Arial" w:hAnsi="Arial" w:cs="Arial" w:hint="default"/>
        <w:i w:val="0"/>
      </w:rPr>
    </w:lvl>
    <w:lvl w:ilvl="5">
      <w:start w:val="1"/>
      <w:numFmt w:val="lowerRoman"/>
      <w:pStyle w:val="CERLEVEL6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552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BC0FE5"/>
    <w:multiLevelType w:val="hybridMultilevel"/>
    <w:tmpl w:val="249CC7FC"/>
    <w:lvl w:ilvl="0" w:tplc="B0D46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94"/>
    <w:rsid w:val="00061283"/>
    <w:rsid w:val="00077DA0"/>
    <w:rsid w:val="00086D94"/>
    <w:rsid w:val="000A47AA"/>
    <w:rsid w:val="000C197E"/>
    <w:rsid w:val="000C26A9"/>
    <w:rsid w:val="00152CDE"/>
    <w:rsid w:val="00153227"/>
    <w:rsid w:val="0018227E"/>
    <w:rsid w:val="001A74BA"/>
    <w:rsid w:val="001D4C41"/>
    <w:rsid w:val="001E3AA4"/>
    <w:rsid w:val="001F7E64"/>
    <w:rsid w:val="0021644E"/>
    <w:rsid w:val="002333D3"/>
    <w:rsid w:val="002334E5"/>
    <w:rsid w:val="00246B60"/>
    <w:rsid w:val="00250BDD"/>
    <w:rsid w:val="002525D6"/>
    <w:rsid w:val="00264C0E"/>
    <w:rsid w:val="002871BF"/>
    <w:rsid w:val="002D6C77"/>
    <w:rsid w:val="002F20A9"/>
    <w:rsid w:val="00314254"/>
    <w:rsid w:val="00314668"/>
    <w:rsid w:val="00374834"/>
    <w:rsid w:val="003762EC"/>
    <w:rsid w:val="003C45A8"/>
    <w:rsid w:val="003C5682"/>
    <w:rsid w:val="003C6645"/>
    <w:rsid w:val="003E3DE4"/>
    <w:rsid w:val="004449EA"/>
    <w:rsid w:val="00471596"/>
    <w:rsid w:val="00481208"/>
    <w:rsid w:val="004B7E06"/>
    <w:rsid w:val="004C390A"/>
    <w:rsid w:val="004E0949"/>
    <w:rsid w:val="004E1A7B"/>
    <w:rsid w:val="005073F0"/>
    <w:rsid w:val="00515350"/>
    <w:rsid w:val="0053218E"/>
    <w:rsid w:val="005B3578"/>
    <w:rsid w:val="005C3E73"/>
    <w:rsid w:val="005E63F1"/>
    <w:rsid w:val="006074EF"/>
    <w:rsid w:val="00673B44"/>
    <w:rsid w:val="00680432"/>
    <w:rsid w:val="00697D4E"/>
    <w:rsid w:val="006C7BC2"/>
    <w:rsid w:val="006D2D1A"/>
    <w:rsid w:val="006F34F2"/>
    <w:rsid w:val="00701EBE"/>
    <w:rsid w:val="007147CD"/>
    <w:rsid w:val="007377F5"/>
    <w:rsid w:val="007B747E"/>
    <w:rsid w:val="007E5888"/>
    <w:rsid w:val="007F71F9"/>
    <w:rsid w:val="008326B3"/>
    <w:rsid w:val="00835782"/>
    <w:rsid w:val="008613AF"/>
    <w:rsid w:val="0086299B"/>
    <w:rsid w:val="00883540"/>
    <w:rsid w:val="00893217"/>
    <w:rsid w:val="008E2B58"/>
    <w:rsid w:val="009020A8"/>
    <w:rsid w:val="009364F2"/>
    <w:rsid w:val="00945B45"/>
    <w:rsid w:val="00946483"/>
    <w:rsid w:val="009869C8"/>
    <w:rsid w:val="00997355"/>
    <w:rsid w:val="009C218D"/>
    <w:rsid w:val="009C33C7"/>
    <w:rsid w:val="009E441E"/>
    <w:rsid w:val="009E5E1B"/>
    <w:rsid w:val="009F2CB5"/>
    <w:rsid w:val="00A578FD"/>
    <w:rsid w:val="00AA3F00"/>
    <w:rsid w:val="00AC1887"/>
    <w:rsid w:val="00AD6629"/>
    <w:rsid w:val="00B0129A"/>
    <w:rsid w:val="00B22467"/>
    <w:rsid w:val="00B3624D"/>
    <w:rsid w:val="00B713E3"/>
    <w:rsid w:val="00B859C3"/>
    <w:rsid w:val="00BD0D22"/>
    <w:rsid w:val="00BD43A3"/>
    <w:rsid w:val="00BF2579"/>
    <w:rsid w:val="00C324F0"/>
    <w:rsid w:val="00C37935"/>
    <w:rsid w:val="00C833DF"/>
    <w:rsid w:val="00C931F3"/>
    <w:rsid w:val="00C96F94"/>
    <w:rsid w:val="00CD2379"/>
    <w:rsid w:val="00CD39B3"/>
    <w:rsid w:val="00D02193"/>
    <w:rsid w:val="00D02298"/>
    <w:rsid w:val="00D0581F"/>
    <w:rsid w:val="00D2163B"/>
    <w:rsid w:val="00D234C5"/>
    <w:rsid w:val="00D57E3F"/>
    <w:rsid w:val="00D70DC8"/>
    <w:rsid w:val="00D81FFA"/>
    <w:rsid w:val="00DB4D3D"/>
    <w:rsid w:val="00DF28EE"/>
    <w:rsid w:val="00E10338"/>
    <w:rsid w:val="00E33F12"/>
    <w:rsid w:val="00E345A6"/>
    <w:rsid w:val="00E428B5"/>
    <w:rsid w:val="00E43B97"/>
    <w:rsid w:val="00E4477C"/>
    <w:rsid w:val="00E513F3"/>
    <w:rsid w:val="00E7040E"/>
    <w:rsid w:val="00E73E31"/>
    <w:rsid w:val="00E95464"/>
    <w:rsid w:val="00EA3D32"/>
    <w:rsid w:val="00EB392B"/>
    <w:rsid w:val="00EC0326"/>
    <w:rsid w:val="00EC12A0"/>
    <w:rsid w:val="00EF06A6"/>
    <w:rsid w:val="00F038FC"/>
    <w:rsid w:val="00F24DB0"/>
    <w:rsid w:val="00F401E5"/>
    <w:rsid w:val="00F77A8A"/>
    <w:rsid w:val="00FC0644"/>
    <w:rsid w:val="00FC140C"/>
    <w:rsid w:val="00FC1622"/>
    <w:rsid w:val="00FE40DC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94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D94"/>
    <w:pPr>
      <w:ind w:left="720"/>
    </w:pPr>
  </w:style>
  <w:style w:type="paragraph" w:customStyle="1" w:styleId="Default">
    <w:name w:val="Default"/>
    <w:rsid w:val="00086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8E"/>
    <w:rPr>
      <w:rFonts w:ascii="Segoe UI" w:hAnsi="Segoe UI" w:cs="Segoe UI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77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A8A"/>
    <w:rPr>
      <w:rFonts w:ascii="Calibri" w:hAnsi="Calibri" w:cs="Calibri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A8A"/>
    <w:rPr>
      <w:rFonts w:ascii="Calibri" w:hAnsi="Calibri" w:cs="Calibri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F77A8A"/>
    <w:pPr>
      <w:spacing w:after="0" w:line="240" w:lineRule="auto"/>
    </w:pPr>
    <w:rPr>
      <w:rFonts w:ascii="Calibri" w:hAnsi="Calibri" w:cs="Calibri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82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27E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82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27E"/>
    <w:rPr>
      <w:rFonts w:ascii="Calibri" w:hAnsi="Calibri" w:cs="Calibri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0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0A9"/>
    <w:rPr>
      <w:rFonts w:ascii="Calibri" w:hAnsi="Calibri" w:cs="Calibri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2F20A9"/>
    <w:rPr>
      <w:vertAlign w:val="superscript"/>
    </w:rPr>
  </w:style>
  <w:style w:type="paragraph" w:customStyle="1" w:styleId="CERLEVEL1">
    <w:name w:val="CER LEVEL 1"/>
    <w:basedOn w:val="Normal"/>
    <w:next w:val="CERLEVEL2"/>
    <w:qFormat/>
    <w:rsid w:val="00C833DF"/>
    <w:pPr>
      <w:keepNext/>
      <w:numPr>
        <w:numId w:val="2"/>
      </w:numPr>
      <w:pBdr>
        <w:top w:val="single" w:sz="4" w:space="1" w:color="auto"/>
        <w:bottom w:val="single" w:sz="4" w:space="1" w:color="auto"/>
      </w:pBdr>
      <w:spacing w:before="240" w:after="120"/>
      <w:jc w:val="center"/>
      <w:outlineLvl w:val="0"/>
    </w:pPr>
    <w:rPr>
      <w:rFonts w:ascii="Arial" w:eastAsia="Times New Roman" w:hAnsi="Arial" w:cs="Times New Roman"/>
      <w:b/>
      <w:caps/>
      <w:sz w:val="28"/>
      <w:lang w:val="en-US" w:eastAsia="en-US"/>
    </w:rPr>
  </w:style>
  <w:style w:type="paragraph" w:customStyle="1" w:styleId="CERLEVEL2">
    <w:name w:val="CER LEVEL 2"/>
    <w:basedOn w:val="Normal"/>
    <w:qFormat/>
    <w:rsid w:val="00C833DF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Arial" w:eastAsia="Times New Roman" w:hAnsi="Arial" w:cs="Times New Roman"/>
      <w:b/>
      <w:caps/>
      <w:sz w:val="24"/>
      <w:lang w:val="en-US" w:eastAsia="en-US"/>
    </w:rPr>
  </w:style>
  <w:style w:type="paragraph" w:customStyle="1" w:styleId="CERLEVEL3">
    <w:name w:val="CER LEVEL 3"/>
    <w:basedOn w:val="Normal"/>
    <w:qFormat/>
    <w:rsid w:val="00C833DF"/>
    <w:pPr>
      <w:keepNext/>
      <w:numPr>
        <w:ilvl w:val="2"/>
        <w:numId w:val="2"/>
      </w:numPr>
      <w:spacing w:before="240" w:after="120"/>
      <w:jc w:val="both"/>
      <w:outlineLvl w:val="2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RLEVEL4">
    <w:name w:val="CER LEVEL 4"/>
    <w:basedOn w:val="Normal"/>
    <w:next w:val="CERLEVEL5"/>
    <w:link w:val="CERLEVEL4Char"/>
    <w:qFormat/>
    <w:rsid w:val="00C833DF"/>
    <w:pPr>
      <w:numPr>
        <w:ilvl w:val="3"/>
        <w:numId w:val="2"/>
      </w:numPr>
      <w:spacing w:before="120" w:after="120"/>
      <w:jc w:val="both"/>
      <w:outlineLvl w:val="4"/>
    </w:pPr>
    <w:rPr>
      <w:rFonts w:ascii="Arial" w:eastAsia="Times New Roman" w:hAnsi="Arial" w:cs="Times New Roman"/>
      <w:lang w:eastAsia="en-US"/>
    </w:rPr>
  </w:style>
  <w:style w:type="paragraph" w:customStyle="1" w:styleId="CERLEVEL5">
    <w:name w:val="CER LEVEL 5"/>
    <w:basedOn w:val="Normal"/>
    <w:qFormat/>
    <w:rsid w:val="00C833DF"/>
    <w:pPr>
      <w:numPr>
        <w:ilvl w:val="4"/>
        <w:numId w:val="2"/>
      </w:numPr>
      <w:spacing w:before="120" w:after="120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6">
    <w:name w:val="CER LEVEL 6"/>
    <w:basedOn w:val="Normal"/>
    <w:qFormat/>
    <w:rsid w:val="00C833DF"/>
    <w:pPr>
      <w:numPr>
        <w:ilvl w:val="5"/>
        <w:numId w:val="2"/>
      </w:numPr>
      <w:spacing w:before="120" w:after="120"/>
      <w:jc w:val="both"/>
    </w:pPr>
    <w:rPr>
      <w:rFonts w:ascii="Arial" w:eastAsia="Times New Roman" w:hAnsi="Arial" w:cs="Times New Roman"/>
      <w:lang w:val="en-US" w:eastAsia="en-US"/>
    </w:rPr>
  </w:style>
  <w:style w:type="paragraph" w:customStyle="1" w:styleId="CERLEVEL7">
    <w:name w:val="CER LEVEL 7"/>
    <w:basedOn w:val="Normal"/>
    <w:qFormat/>
    <w:rsid w:val="00C833DF"/>
    <w:pPr>
      <w:numPr>
        <w:ilvl w:val="6"/>
        <w:numId w:val="2"/>
      </w:numPr>
      <w:spacing w:before="120" w:after="120"/>
      <w:jc w:val="both"/>
    </w:pPr>
    <w:rPr>
      <w:rFonts w:ascii="Arial" w:eastAsia="Times New Roman" w:hAnsi="Arial" w:cs="Times New Roman"/>
      <w:lang w:val="en-US" w:eastAsia="en-US"/>
    </w:rPr>
  </w:style>
  <w:style w:type="character" w:customStyle="1" w:styleId="CERLEVEL4Char">
    <w:name w:val="CER LEVEL 4 Char"/>
    <w:basedOn w:val="DefaultParagraphFont"/>
    <w:link w:val="CERLEVEL4"/>
    <w:rsid w:val="00C833DF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83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2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cingMarketRegistration@sem-o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CB31C725234290576FA9113C3C55" ma:contentTypeVersion="5" ma:contentTypeDescription="Create a new document." ma:contentTypeScope="" ma:versionID="c560ac863bdeae2514c30858b3664f5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81b08c4fc1b3b48330ef5e0016af2eeb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Props1.xml><?xml version="1.0" encoding="utf-8"?>
<ds:datastoreItem xmlns:ds="http://schemas.openxmlformats.org/officeDocument/2006/customXml" ds:itemID="{8E95445F-8CB0-4AAB-809E-965EC5B75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665A1-703E-4126-A61D-395778CDDCEB}"/>
</file>

<file path=customXml/itemProps3.xml><?xml version="1.0" encoding="utf-8"?>
<ds:datastoreItem xmlns:ds="http://schemas.openxmlformats.org/officeDocument/2006/customXml" ds:itemID="{38D7D2B2-CD23-48A7-8BC7-E69637DC52F0}"/>
</file>

<file path=customXml/itemProps4.xml><?xml version="1.0" encoding="utf-8"?>
<ds:datastoreItem xmlns:ds="http://schemas.openxmlformats.org/officeDocument/2006/customXml" ds:itemID="{B18A4600-582A-4723-97BD-BC7561D7C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2022-05-26T10:43:00Z</dcterms:created>
  <dcterms:modified xsi:type="dcterms:W3CDTF">2022-05-26T10:43:00Z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Category">
    <vt:lpwstr/>
  </property>
  <property fmtid="{D5CDD505-2E9C-101B-9397-08002B2CF9AE}" pid="3" name="ContentTypeId">
    <vt:lpwstr>0x010100F5FBCB31C725234290576FA9113C3C55</vt:lpwstr>
  </property>
</Properties>
</file>