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A113C" w:rsidP="00FA087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43.3pt">
            <v:imagedata r:id="rId8" o:title=""/>
          </v:shape>
        </w:pict>
      </w:r>
    </w:p>
    <w:p w:rsidR="00B37C09" w:rsidRPr="00135A1E" w:rsidRDefault="00B37C09" w:rsidP="00C1436C">
      <w:pPr>
        <w:jc w:val="right"/>
      </w:pPr>
    </w:p>
    <w:p w:rsidR="00B37C09" w:rsidRPr="00135A1E" w:rsidRDefault="00B37C09" w:rsidP="00C1436C">
      <w:pPr>
        <w:pStyle w:val="SEMTitle"/>
      </w:pPr>
      <w:r w:rsidRPr="00135A1E">
        <w:t>Single Electricity Market</w:t>
      </w:r>
    </w:p>
    <w:p w:rsidR="00B37C09" w:rsidRPr="00135A1E" w:rsidRDefault="00B37C09"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135A1E">
        <w:tc>
          <w:tcPr>
            <w:tcW w:w="5000" w:type="pct"/>
            <w:shd w:val="clear" w:color="auto" w:fill="666699"/>
          </w:tcPr>
          <w:p w:rsidR="00B37C09" w:rsidRDefault="00B37C09" w:rsidP="00D3707E">
            <w:pPr>
              <w:pStyle w:val="DocTitle"/>
            </w:pPr>
            <w:r>
              <w:t>Modifications Committee Meeting Minutes</w:t>
            </w:r>
          </w:p>
          <w:p w:rsidR="00B37C09" w:rsidRDefault="00B37C09" w:rsidP="00D3707E">
            <w:pPr>
              <w:pStyle w:val="DocTitle"/>
            </w:pPr>
          </w:p>
          <w:p w:rsidR="00B37C09" w:rsidRDefault="00B37C09" w:rsidP="00C46FCB">
            <w:pPr>
              <w:pStyle w:val="DocTitle"/>
            </w:pPr>
            <w:r>
              <w:t xml:space="preserve"> Meeting 37</w:t>
            </w:r>
          </w:p>
          <w:p w:rsidR="00B37C09" w:rsidRDefault="00B37C09" w:rsidP="00C46FCB">
            <w:pPr>
              <w:pStyle w:val="DocTitle"/>
            </w:pPr>
          </w:p>
          <w:p w:rsidR="00B37C09" w:rsidRDefault="00B37C09" w:rsidP="00C46FCB">
            <w:pPr>
              <w:pStyle w:val="DocTitle"/>
            </w:pPr>
            <w:r>
              <w:t>Hilton Hotel, Belfast</w:t>
            </w:r>
          </w:p>
          <w:p w:rsidR="00B37C09" w:rsidRDefault="00B37C09" w:rsidP="00C46FCB">
            <w:pPr>
              <w:pStyle w:val="DocTitle"/>
            </w:pPr>
            <w:r>
              <w:t>09 August 2011</w:t>
            </w:r>
          </w:p>
          <w:p w:rsidR="00B37C09" w:rsidRPr="00135A1E" w:rsidRDefault="00B37C09" w:rsidP="00C46FCB">
            <w:pPr>
              <w:pStyle w:val="DocTitle"/>
            </w:pPr>
            <w:r>
              <w:t>10am – 4pm</w:t>
            </w:r>
          </w:p>
        </w:tc>
      </w:tr>
    </w:tbl>
    <w:p w:rsidR="00B37C09" w:rsidRPr="00135A1E" w:rsidRDefault="00B37C09" w:rsidP="00F03E8D">
      <w:pPr>
        <w:pBdr>
          <w:bottom w:val="single" w:sz="12" w:space="1" w:color="auto"/>
        </w:pBdr>
        <w:rPr>
          <w:rStyle w:val="TableText"/>
        </w:rPr>
      </w:pPr>
    </w:p>
    <w:p w:rsidR="00B37C09" w:rsidRDefault="00B37C09" w:rsidP="00F03E8D">
      <w:pPr>
        <w:pBdr>
          <w:bottom w:val="single" w:sz="12" w:space="1" w:color="auto"/>
        </w:pBdr>
        <w:rPr>
          <w:rStyle w:val="TableText"/>
        </w:rPr>
      </w:pPr>
    </w:p>
    <w:p w:rsidR="00B37C09"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rPr>
          <w:rStyle w:val="TableText"/>
        </w:rPr>
      </w:pPr>
    </w:p>
    <w:p w:rsidR="00B37C09" w:rsidRPr="00135A1E" w:rsidRDefault="00B37C09" w:rsidP="0075165F">
      <w:pPr>
        <w:pStyle w:val="Notices"/>
        <w:rPr>
          <w:rStyle w:val="TableText"/>
        </w:rPr>
      </w:pPr>
      <w:r w:rsidRPr="00135A1E">
        <w:rPr>
          <w:rStyle w:val="TableText"/>
        </w:rPr>
        <w:t>COPYRIGHT NOTICE</w:t>
      </w:r>
    </w:p>
    <w:p w:rsidR="00B37C09" w:rsidRPr="00135A1E" w:rsidRDefault="00B37C09" w:rsidP="0075165F">
      <w:pPr>
        <w:pStyle w:val="Notices"/>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rsidR="00B37C09" w:rsidRPr="00135A1E" w:rsidRDefault="00B37C09" w:rsidP="0075165F">
      <w:pPr>
        <w:pStyle w:val="Notices"/>
        <w:rPr>
          <w:rStyle w:val="TableText"/>
        </w:rPr>
      </w:pPr>
    </w:p>
    <w:p w:rsidR="00B37C09" w:rsidRPr="00135A1E" w:rsidRDefault="00B37C09" w:rsidP="0075165F">
      <w:pPr>
        <w:pStyle w:val="Notices"/>
        <w:rPr>
          <w:rStyle w:val="TableText"/>
        </w:rPr>
      </w:pPr>
      <w:bookmarkStart w:id="2" w:name="_DV_C9"/>
      <w:r w:rsidRPr="00135A1E">
        <w:rPr>
          <w:rStyle w:val="TableText"/>
        </w:rPr>
        <w:t>DOCUMENT DISCLAIMER</w:t>
      </w:r>
      <w:bookmarkEnd w:id="2"/>
    </w:p>
    <w:p w:rsidR="00B37C09" w:rsidRPr="00135A1E" w:rsidRDefault="00B37C09" w:rsidP="0075165F">
      <w:pPr>
        <w:pStyle w:val="Notices"/>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135A1E" w:rsidRDefault="00B37C09" w:rsidP="004B2E64">
      <w:pPr>
        <w:rPr>
          <w:rStyle w:val="TableText"/>
        </w:rPr>
      </w:pPr>
    </w:p>
    <w:p w:rsidR="00B37C09" w:rsidRPr="00135A1E" w:rsidRDefault="00B37C09" w:rsidP="005A22A1">
      <w:r w:rsidRPr="00135A1E">
        <w:rPr>
          <w:rFonts w:cs="Arial"/>
          <w:sz w:val="18"/>
          <w:szCs w:val="18"/>
        </w:rPr>
        <w:br w:type="page"/>
      </w:r>
      <w:r w:rsidRPr="00135A1E">
        <w:lastRenderedPageBreak/>
        <w:t xml:space="preserve"> </w:t>
      </w:r>
    </w:p>
    <w:p w:rsidR="00B37C09" w:rsidRPr="00135A1E" w:rsidRDefault="00B37C09" w:rsidP="00E718F2">
      <w:pPr>
        <w:pStyle w:val="ContentsTitle"/>
      </w:pPr>
      <w:r w:rsidRPr="00135A1E">
        <w:t>Table of Contents</w:t>
      </w:r>
    </w:p>
    <w:p w:rsidR="00B37C09" w:rsidRPr="00135A1E" w:rsidRDefault="00B37C09" w:rsidP="00463719"/>
    <w:p w:rsidR="00C428A4" w:rsidRDefault="00CA113C">
      <w:pPr>
        <w:pStyle w:val="TOC1"/>
        <w:rPr>
          <w:rFonts w:asciiTheme="minorHAnsi" w:eastAsiaTheme="minorEastAsia" w:hAnsiTheme="minorHAnsi" w:cstheme="minorBidi"/>
          <w:lang w:val="en-IE" w:eastAsia="en-IE"/>
        </w:rPr>
      </w:pPr>
      <w:r w:rsidRPr="00310AA9">
        <w:rPr>
          <w:noProof w:val="0"/>
          <w:sz w:val="48"/>
          <w:szCs w:val="48"/>
          <w:highlight w:val="yellow"/>
        </w:rPr>
        <w:fldChar w:fldCharType="begin"/>
      </w:r>
      <w:r w:rsidR="00B37C09" w:rsidRPr="00310AA9">
        <w:rPr>
          <w:noProof w:val="0"/>
          <w:sz w:val="48"/>
          <w:szCs w:val="48"/>
          <w:highlight w:val="yellow"/>
        </w:rPr>
        <w:instrText xml:space="preserve"> TOC \o "1-3" \h \z \u </w:instrText>
      </w:r>
      <w:r w:rsidRPr="00310AA9">
        <w:rPr>
          <w:noProof w:val="0"/>
          <w:sz w:val="48"/>
          <w:szCs w:val="48"/>
          <w:highlight w:val="yellow"/>
        </w:rPr>
        <w:fldChar w:fldCharType="separate"/>
      </w:r>
      <w:hyperlink w:anchor="_Toc301516610" w:history="1">
        <w:r w:rsidR="00C428A4" w:rsidRPr="002711E8">
          <w:rPr>
            <w:rStyle w:val="Hyperlink"/>
          </w:rPr>
          <w:t>I.</w:t>
        </w:r>
        <w:r w:rsidR="00C428A4">
          <w:rPr>
            <w:rFonts w:asciiTheme="minorHAnsi" w:eastAsiaTheme="minorEastAsia" w:hAnsiTheme="minorHAnsi" w:cstheme="minorBidi"/>
            <w:lang w:val="en-IE" w:eastAsia="en-IE"/>
          </w:rPr>
          <w:tab/>
        </w:r>
        <w:r w:rsidR="00C428A4" w:rsidRPr="002711E8">
          <w:rPr>
            <w:rStyle w:val="Hyperlink"/>
          </w:rPr>
          <w:t>SEMO Update</w:t>
        </w:r>
        <w:r w:rsidR="00C428A4">
          <w:rPr>
            <w:webHidden/>
          </w:rPr>
          <w:tab/>
        </w:r>
        <w:r>
          <w:rPr>
            <w:webHidden/>
          </w:rPr>
          <w:fldChar w:fldCharType="begin"/>
        </w:r>
        <w:r w:rsidR="00C428A4">
          <w:rPr>
            <w:webHidden/>
          </w:rPr>
          <w:instrText xml:space="preserve"> PAGEREF _Toc301516610 \h </w:instrText>
        </w:r>
        <w:r>
          <w:rPr>
            <w:webHidden/>
          </w:rPr>
        </w:r>
        <w:r>
          <w:rPr>
            <w:webHidden/>
          </w:rPr>
          <w:fldChar w:fldCharType="separate"/>
        </w:r>
        <w:r w:rsidR="00C428A4">
          <w:rPr>
            <w:webHidden/>
          </w:rPr>
          <w:t>5</w:t>
        </w:r>
        <w:r>
          <w:rPr>
            <w:webHidden/>
          </w:rPr>
          <w:fldChar w:fldCharType="end"/>
        </w:r>
      </w:hyperlink>
    </w:p>
    <w:p w:rsidR="00C428A4" w:rsidRDefault="00CA113C">
      <w:pPr>
        <w:pStyle w:val="TOC1"/>
        <w:rPr>
          <w:rFonts w:asciiTheme="minorHAnsi" w:eastAsiaTheme="minorEastAsia" w:hAnsiTheme="minorHAnsi" w:cstheme="minorBidi"/>
          <w:lang w:val="en-IE" w:eastAsia="en-IE"/>
        </w:rPr>
      </w:pPr>
      <w:hyperlink w:anchor="_Toc301516611" w:history="1">
        <w:r w:rsidR="00C428A4" w:rsidRPr="002711E8">
          <w:rPr>
            <w:rStyle w:val="Hyperlink"/>
          </w:rPr>
          <w:t>II.</w:t>
        </w:r>
        <w:r w:rsidR="00C428A4">
          <w:rPr>
            <w:rFonts w:asciiTheme="minorHAnsi" w:eastAsiaTheme="minorEastAsia" w:hAnsiTheme="minorHAnsi" w:cstheme="minorBidi"/>
            <w:lang w:val="en-IE" w:eastAsia="en-IE"/>
          </w:rPr>
          <w:tab/>
        </w:r>
        <w:r w:rsidR="00C428A4" w:rsidRPr="002711E8">
          <w:rPr>
            <w:rStyle w:val="Hyperlink"/>
          </w:rPr>
          <w:t>REview of Actions</w:t>
        </w:r>
        <w:r w:rsidR="00C428A4">
          <w:rPr>
            <w:webHidden/>
          </w:rPr>
          <w:tab/>
        </w:r>
        <w:r>
          <w:rPr>
            <w:webHidden/>
          </w:rPr>
          <w:fldChar w:fldCharType="begin"/>
        </w:r>
        <w:r w:rsidR="00C428A4">
          <w:rPr>
            <w:webHidden/>
          </w:rPr>
          <w:instrText xml:space="preserve"> PAGEREF _Toc301516611 \h </w:instrText>
        </w:r>
        <w:r>
          <w:rPr>
            <w:webHidden/>
          </w:rPr>
        </w:r>
        <w:r>
          <w:rPr>
            <w:webHidden/>
          </w:rPr>
          <w:fldChar w:fldCharType="separate"/>
        </w:r>
        <w:r w:rsidR="00C428A4">
          <w:rPr>
            <w:webHidden/>
          </w:rPr>
          <w:t>6</w:t>
        </w:r>
        <w:r>
          <w:rPr>
            <w:webHidden/>
          </w:rPr>
          <w:fldChar w:fldCharType="end"/>
        </w:r>
      </w:hyperlink>
    </w:p>
    <w:p w:rsidR="00C428A4" w:rsidRDefault="00CA113C">
      <w:pPr>
        <w:pStyle w:val="TOC1"/>
        <w:rPr>
          <w:rFonts w:asciiTheme="minorHAnsi" w:eastAsiaTheme="minorEastAsia" w:hAnsiTheme="minorHAnsi" w:cstheme="minorBidi"/>
          <w:lang w:val="en-IE" w:eastAsia="en-IE"/>
        </w:rPr>
      </w:pPr>
      <w:hyperlink w:anchor="_Toc301516612" w:history="1">
        <w:r w:rsidR="00C428A4" w:rsidRPr="002711E8">
          <w:rPr>
            <w:rStyle w:val="Hyperlink"/>
          </w:rPr>
          <w:t>III.</w:t>
        </w:r>
        <w:r w:rsidR="00C428A4">
          <w:rPr>
            <w:rFonts w:asciiTheme="minorHAnsi" w:eastAsiaTheme="minorEastAsia" w:hAnsiTheme="minorHAnsi" w:cstheme="minorBidi"/>
            <w:lang w:val="en-IE" w:eastAsia="en-IE"/>
          </w:rPr>
          <w:tab/>
        </w:r>
        <w:r w:rsidR="00C428A4" w:rsidRPr="002711E8">
          <w:rPr>
            <w:rStyle w:val="Hyperlink"/>
          </w:rPr>
          <w:t>Deferred Modification Proposals</w:t>
        </w:r>
        <w:r w:rsidR="00C428A4">
          <w:rPr>
            <w:webHidden/>
          </w:rPr>
          <w:tab/>
        </w:r>
        <w:r>
          <w:rPr>
            <w:webHidden/>
          </w:rPr>
          <w:fldChar w:fldCharType="begin"/>
        </w:r>
        <w:r w:rsidR="00C428A4">
          <w:rPr>
            <w:webHidden/>
          </w:rPr>
          <w:instrText xml:space="preserve"> PAGEREF _Toc301516612 \h </w:instrText>
        </w:r>
        <w:r>
          <w:rPr>
            <w:webHidden/>
          </w:rPr>
        </w:r>
        <w:r>
          <w:rPr>
            <w:webHidden/>
          </w:rPr>
          <w:fldChar w:fldCharType="separate"/>
        </w:r>
        <w:r w:rsidR="00C428A4">
          <w:rPr>
            <w:webHidden/>
          </w:rPr>
          <w:t>8</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3" w:history="1">
        <w:r w:rsidR="00C428A4" w:rsidRPr="0018461C">
          <w:rPr>
            <w:rStyle w:val="Hyperlink"/>
            <w:bCs/>
            <w:smallCaps/>
            <w:spacing w:val="5"/>
          </w:rPr>
          <w:t>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od_</w:t>
        </w:r>
        <w:r w:rsidR="00C428A4" w:rsidRPr="0018461C">
          <w:rPr>
            <w:rStyle w:val="Hyperlink"/>
            <w:bCs/>
            <w:smallCaps/>
            <w:spacing w:val="5"/>
          </w:rPr>
          <w:t>18_10</w:t>
        </w:r>
        <w:r w:rsidR="00C428A4" w:rsidRPr="002711E8">
          <w:rPr>
            <w:rStyle w:val="Hyperlink"/>
            <w:b/>
            <w:bCs/>
            <w:smallCaps/>
            <w:spacing w:val="5"/>
          </w:rPr>
          <w:t xml:space="preserve"> intra-</w:t>
        </w:r>
        <w:r w:rsidR="00C428A4" w:rsidRPr="0018461C">
          <w:rPr>
            <w:rStyle w:val="Hyperlink"/>
            <w:bCs/>
            <w:smallCaps/>
            <w:spacing w:val="5"/>
          </w:rPr>
          <w:t>D</w:t>
        </w:r>
        <w:r w:rsidR="00C428A4" w:rsidRPr="002711E8">
          <w:rPr>
            <w:rStyle w:val="Hyperlink"/>
            <w:b/>
            <w:bCs/>
            <w:smallCaps/>
            <w:spacing w:val="5"/>
          </w:rPr>
          <w:t xml:space="preserve">ay </w:t>
        </w:r>
        <w:r w:rsidR="00C428A4" w:rsidRPr="0018461C">
          <w:rPr>
            <w:rStyle w:val="Hyperlink"/>
            <w:bCs/>
            <w:smallCaps/>
            <w:spacing w:val="5"/>
          </w:rPr>
          <w:t>T</w:t>
        </w:r>
        <w:r w:rsidR="00C428A4" w:rsidRPr="002711E8">
          <w:rPr>
            <w:rStyle w:val="Hyperlink"/>
            <w:b/>
            <w:bCs/>
            <w:smallCaps/>
            <w:spacing w:val="5"/>
          </w:rPr>
          <w:t>rading</w:t>
        </w:r>
        <w:r w:rsidR="00C428A4">
          <w:rPr>
            <w:webHidden/>
          </w:rPr>
          <w:tab/>
        </w:r>
        <w:r>
          <w:rPr>
            <w:webHidden/>
          </w:rPr>
          <w:fldChar w:fldCharType="begin"/>
        </w:r>
        <w:r w:rsidR="00C428A4">
          <w:rPr>
            <w:webHidden/>
          </w:rPr>
          <w:instrText xml:space="preserve"> PAGEREF _Toc301516613 \h </w:instrText>
        </w:r>
        <w:r>
          <w:rPr>
            <w:webHidden/>
          </w:rPr>
        </w:r>
        <w:r>
          <w:rPr>
            <w:webHidden/>
          </w:rPr>
          <w:fldChar w:fldCharType="separate"/>
        </w:r>
        <w:r w:rsidR="00C428A4">
          <w:rPr>
            <w:webHidden/>
          </w:rPr>
          <w:t>8</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4" w:history="1">
        <w:r w:rsidR="00C428A4" w:rsidRPr="0018461C">
          <w:rPr>
            <w:rStyle w:val="Hyperlink"/>
            <w:bCs/>
            <w:smallCaps/>
            <w:spacing w:val="5"/>
          </w:rPr>
          <w:t>II.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od_</w:t>
        </w:r>
        <w:r w:rsidR="00C428A4" w:rsidRPr="0018461C">
          <w:rPr>
            <w:rStyle w:val="Hyperlink"/>
            <w:bCs/>
            <w:smallCaps/>
            <w:spacing w:val="5"/>
          </w:rPr>
          <w:t>04_11 R</w:t>
        </w:r>
        <w:r w:rsidR="00C428A4" w:rsidRPr="002711E8">
          <w:rPr>
            <w:rStyle w:val="Hyperlink"/>
            <w:b/>
            <w:bCs/>
            <w:smallCaps/>
            <w:spacing w:val="5"/>
          </w:rPr>
          <w:t xml:space="preserve">emoval of requirement that a demand site in a </w:t>
        </w:r>
        <w:r w:rsidR="00C428A4" w:rsidRPr="0018461C">
          <w:rPr>
            <w:rStyle w:val="Hyperlink"/>
            <w:bCs/>
            <w:smallCaps/>
            <w:spacing w:val="5"/>
          </w:rPr>
          <w:t>DSU</w:t>
        </w:r>
        <w:r w:rsidR="00C428A4" w:rsidRPr="002711E8">
          <w:rPr>
            <w:rStyle w:val="Hyperlink"/>
            <w:b/>
            <w:bCs/>
            <w:smallCaps/>
            <w:spacing w:val="5"/>
          </w:rPr>
          <w:t xml:space="preserve"> shall not have an </w:t>
        </w:r>
        <w:r w:rsidR="00C428A4" w:rsidRPr="0018461C">
          <w:rPr>
            <w:rStyle w:val="Hyperlink"/>
            <w:bCs/>
            <w:smallCaps/>
            <w:spacing w:val="5"/>
          </w:rPr>
          <w:t>MEC</w:t>
        </w:r>
        <w:r w:rsidR="00C428A4">
          <w:rPr>
            <w:webHidden/>
          </w:rPr>
          <w:tab/>
        </w:r>
        <w:r>
          <w:rPr>
            <w:webHidden/>
          </w:rPr>
          <w:fldChar w:fldCharType="begin"/>
        </w:r>
        <w:r w:rsidR="00C428A4">
          <w:rPr>
            <w:webHidden/>
          </w:rPr>
          <w:instrText xml:space="preserve"> PAGEREF _Toc301516614 \h </w:instrText>
        </w:r>
        <w:r>
          <w:rPr>
            <w:webHidden/>
          </w:rPr>
        </w:r>
        <w:r>
          <w:rPr>
            <w:webHidden/>
          </w:rPr>
          <w:fldChar w:fldCharType="separate"/>
        </w:r>
        <w:r w:rsidR="00C428A4">
          <w:rPr>
            <w:webHidden/>
          </w:rPr>
          <w:t>9</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5" w:history="1">
        <w:r w:rsidR="00C428A4" w:rsidRPr="0018461C">
          <w:rPr>
            <w:rStyle w:val="Hyperlink"/>
            <w:bCs/>
            <w:smallCaps/>
            <w:spacing w:val="5"/>
          </w:rPr>
          <w:t>III.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_14_11</w:t>
        </w:r>
        <w:r w:rsidR="00C428A4" w:rsidRPr="002711E8">
          <w:rPr>
            <w:rStyle w:val="Hyperlink"/>
            <w:b/>
            <w:bCs/>
            <w:smallCaps/>
            <w:spacing w:val="5"/>
          </w:rPr>
          <w:t xml:space="preserve"> pumped storage under test</w:t>
        </w:r>
        <w:r w:rsidR="00C428A4">
          <w:rPr>
            <w:webHidden/>
          </w:rPr>
          <w:tab/>
        </w:r>
        <w:r>
          <w:rPr>
            <w:webHidden/>
          </w:rPr>
          <w:fldChar w:fldCharType="begin"/>
        </w:r>
        <w:r w:rsidR="00C428A4">
          <w:rPr>
            <w:webHidden/>
          </w:rPr>
          <w:instrText xml:space="preserve"> PAGEREF _Toc301516615 \h </w:instrText>
        </w:r>
        <w:r>
          <w:rPr>
            <w:webHidden/>
          </w:rPr>
        </w:r>
        <w:r>
          <w:rPr>
            <w:webHidden/>
          </w:rPr>
          <w:fldChar w:fldCharType="separate"/>
        </w:r>
        <w:r w:rsidR="00C428A4">
          <w:rPr>
            <w:webHidden/>
          </w:rPr>
          <w:t>9</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6" w:history="1">
        <w:r w:rsidR="00C428A4" w:rsidRPr="0018461C">
          <w:rPr>
            <w:rStyle w:val="Hyperlink"/>
            <w:bCs/>
            <w:smallCaps/>
            <w:spacing w:val="5"/>
          </w:rPr>
          <w:t>IV.</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_16_11</w:t>
        </w:r>
        <w:r w:rsidR="00C428A4" w:rsidRPr="002711E8">
          <w:rPr>
            <w:rStyle w:val="Hyperlink"/>
            <w:b/>
            <w:bCs/>
            <w:smallCaps/>
            <w:spacing w:val="5"/>
          </w:rPr>
          <w:t xml:space="preserve"> credit worthiness test for the sem bank and credit cover provider banks</w:t>
        </w:r>
        <w:r w:rsidR="00C428A4">
          <w:rPr>
            <w:webHidden/>
          </w:rPr>
          <w:tab/>
        </w:r>
        <w:r>
          <w:rPr>
            <w:webHidden/>
          </w:rPr>
          <w:fldChar w:fldCharType="begin"/>
        </w:r>
        <w:r w:rsidR="00C428A4">
          <w:rPr>
            <w:webHidden/>
          </w:rPr>
          <w:instrText xml:space="preserve"> PAGEREF _Toc301516616 \h </w:instrText>
        </w:r>
        <w:r>
          <w:rPr>
            <w:webHidden/>
          </w:rPr>
        </w:r>
        <w:r>
          <w:rPr>
            <w:webHidden/>
          </w:rPr>
          <w:fldChar w:fldCharType="separate"/>
        </w:r>
        <w:r w:rsidR="00C428A4">
          <w:rPr>
            <w:webHidden/>
          </w:rPr>
          <w:t>10</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7" w:history="1">
        <w:r w:rsidR="00C428A4" w:rsidRPr="0018461C">
          <w:rPr>
            <w:rStyle w:val="Hyperlink"/>
            <w:bCs/>
            <w:smallCaps/>
            <w:spacing w:val="5"/>
          </w:rPr>
          <w:t>V.</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_17_11</w:t>
        </w:r>
        <w:r w:rsidR="00C428A4" w:rsidRPr="002711E8">
          <w:rPr>
            <w:rStyle w:val="Hyperlink"/>
            <w:b/>
            <w:bCs/>
            <w:smallCaps/>
            <w:spacing w:val="5"/>
          </w:rPr>
          <w:t xml:space="preserve"> clarifying the requirement to provide dispatch instruction for generator units</w:t>
        </w:r>
        <w:r w:rsidR="00C428A4">
          <w:rPr>
            <w:webHidden/>
          </w:rPr>
          <w:tab/>
        </w:r>
        <w:r>
          <w:rPr>
            <w:webHidden/>
          </w:rPr>
          <w:fldChar w:fldCharType="begin"/>
        </w:r>
        <w:r w:rsidR="00C428A4">
          <w:rPr>
            <w:webHidden/>
          </w:rPr>
          <w:instrText xml:space="preserve"> PAGEREF _Toc301516617 \h </w:instrText>
        </w:r>
        <w:r>
          <w:rPr>
            <w:webHidden/>
          </w:rPr>
        </w:r>
        <w:r>
          <w:rPr>
            <w:webHidden/>
          </w:rPr>
          <w:fldChar w:fldCharType="separate"/>
        </w:r>
        <w:r w:rsidR="00C428A4">
          <w:rPr>
            <w:webHidden/>
          </w:rPr>
          <w:t>11</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8" w:history="1">
        <w:r w:rsidR="00C428A4" w:rsidRPr="0018461C">
          <w:rPr>
            <w:rStyle w:val="Hyperlink"/>
            <w:bCs/>
            <w:smallCaps/>
            <w:spacing w:val="5"/>
          </w:rPr>
          <w:t>VI.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_18_11</w:t>
        </w:r>
        <w:r w:rsidR="00C428A4" w:rsidRPr="002711E8">
          <w:rPr>
            <w:rStyle w:val="Hyperlink"/>
            <w:b/>
            <w:bCs/>
            <w:smallCaps/>
            <w:spacing w:val="5"/>
          </w:rPr>
          <w:t xml:space="preserve"> definition of ‘availability’</w:t>
        </w:r>
        <w:r w:rsidR="00C428A4">
          <w:rPr>
            <w:webHidden/>
          </w:rPr>
          <w:tab/>
        </w:r>
        <w:r>
          <w:rPr>
            <w:webHidden/>
          </w:rPr>
          <w:fldChar w:fldCharType="begin"/>
        </w:r>
        <w:r w:rsidR="00C428A4">
          <w:rPr>
            <w:webHidden/>
          </w:rPr>
          <w:instrText xml:space="preserve"> PAGEREF _Toc301516618 \h </w:instrText>
        </w:r>
        <w:r>
          <w:rPr>
            <w:webHidden/>
          </w:rPr>
        </w:r>
        <w:r>
          <w:rPr>
            <w:webHidden/>
          </w:rPr>
          <w:fldChar w:fldCharType="separate"/>
        </w:r>
        <w:r w:rsidR="00C428A4">
          <w:rPr>
            <w:webHidden/>
          </w:rPr>
          <w:t>11</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19" w:history="1">
        <w:r w:rsidR="00C428A4" w:rsidRPr="0018461C">
          <w:rPr>
            <w:rStyle w:val="Hyperlink"/>
            <w:bCs/>
            <w:smallCaps/>
            <w:spacing w:val="5"/>
          </w:rPr>
          <w:t>VII.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_21_11</w:t>
        </w:r>
        <w:r w:rsidR="00C428A4" w:rsidRPr="002711E8">
          <w:rPr>
            <w:rStyle w:val="Hyperlink"/>
            <w:b/>
            <w:bCs/>
            <w:smallCaps/>
            <w:spacing w:val="5"/>
          </w:rPr>
          <w:t xml:space="preserve"> ui payments for generator units constrained on</w:t>
        </w:r>
        <w:r w:rsidR="00C428A4">
          <w:rPr>
            <w:webHidden/>
          </w:rPr>
          <w:tab/>
        </w:r>
        <w:r>
          <w:rPr>
            <w:webHidden/>
          </w:rPr>
          <w:fldChar w:fldCharType="begin"/>
        </w:r>
        <w:r w:rsidR="00C428A4">
          <w:rPr>
            <w:webHidden/>
          </w:rPr>
          <w:instrText xml:space="preserve"> PAGEREF _Toc301516619 \h </w:instrText>
        </w:r>
        <w:r>
          <w:rPr>
            <w:webHidden/>
          </w:rPr>
        </w:r>
        <w:r>
          <w:rPr>
            <w:webHidden/>
          </w:rPr>
          <w:fldChar w:fldCharType="separate"/>
        </w:r>
        <w:r w:rsidR="00C428A4">
          <w:rPr>
            <w:webHidden/>
          </w:rPr>
          <w:t>12</w:t>
        </w:r>
        <w:r>
          <w:rPr>
            <w:webHidden/>
          </w:rPr>
          <w:fldChar w:fldCharType="end"/>
        </w:r>
      </w:hyperlink>
    </w:p>
    <w:p w:rsidR="00C428A4" w:rsidRDefault="00CA113C">
      <w:pPr>
        <w:pStyle w:val="TOC1"/>
        <w:rPr>
          <w:rFonts w:asciiTheme="minorHAnsi" w:eastAsiaTheme="minorEastAsia" w:hAnsiTheme="minorHAnsi" w:cstheme="minorBidi"/>
          <w:lang w:val="en-IE" w:eastAsia="en-IE"/>
        </w:rPr>
      </w:pPr>
      <w:hyperlink w:anchor="_Toc301516620" w:history="1">
        <w:r w:rsidR="00C428A4" w:rsidRPr="002711E8">
          <w:rPr>
            <w:rStyle w:val="Hyperlink"/>
          </w:rPr>
          <w:t>IV.</w:t>
        </w:r>
        <w:r w:rsidR="00C428A4">
          <w:rPr>
            <w:rFonts w:asciiTheme="minorHAnsi" w:eastAsiaTheme="minorEastAsia" w:hAnsiTheme="minorHAnsi" w:cstheme="minorBidi"/>
            <w:lang w:val="en-IE" w:eastAsia="en-IE"/>
          </w:rPr>
          <w:tab/>
        </w:r>
        <w:r w:rsidR="00C428A4" w:rsidRPr="002711E8">
          <w:rPr>
            <w:rStyle w:val="Hyperlink"/>
          </w:rPr>
          <w:t>New Modifications Proposals</w:t>
        </w:r>
        <w:r w:rsidR="00C428A4">
          <w:rPr>
            <w:webHidden/>
          </w:rPr>
          <w:tab/>
        </w:r>
        <w:r>
          <w:rPr>
            <w:webHidden/>
          </w:rPr>
          <w:fldChar w:fldCharType="begin"/>
        </w:r>
        <w:r w:rsidR="00C428A4">
          <w:rPr>
            <w:webHidden/>
          </w:rPr>
          <w:instrText xml:space="preserve"> PAGEREF _Toc301516620 \h </w:instrText>
        </w:r>
        <w:r>
          <w:rPr>
            <w:webHidden/>
          </w:rPr>
        </w:r>
        <w:r>
          <w:rPr>
            <w:webHidden/>
          </w:rPr>
          <w:fldChar w:fldCharType="separate"/>
        </w:r>
        <w:r w:rsidR="00C428A4">
          <w:rPr>
            <w:webHidden/>
          </w:rPr>
          <w:t>14</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1" w:history="1">
        <w:r w:rsidR="00C428A4" w:rsidRPr="0018461C">
          <w:rPr>
            <w:rStyle w:val="Hyperlink"/>
            <w:bCs/>
            <w:smallCaps/>
            <w:spacing w:val="5"/>
          </w:rPr>
          <w:t>I.</w:t>
        </w:r>
        <w:r w:rsidR="00C428A4">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_23_11</w:t>
        </w:r>
        <w:r w:rsidR="00C428A4" w:rsidRPr="002711E8">
          <w:rPr>
            <w:rStyle w:val="Hyperlink"/>
            <w:b/>
            <w:bCs/>
            <w:smallCaps/>
            <w:spacing w:val="5"/>
          </w:rPr>
          <w:t xml:space="preserve"> additional clause for standard letter of credit</w:t>
        </w:r>
        <w:r w:rsidR="00C428A4">
          <w:rPr>
            <w:webHidden/>
          </w:rPr>
          <w:tab/>
        </w:r>
        <w:r>
          <w:rPr>
            <w:webHidden/>
          </w:rPr>
          <w:fldChar w:fldCharType="begin"/>
        </w:r>
        <w:r w:rsidR="00C428A4">
          <w:rPr>
            <w:webHidden/>
          </w:rPr>
          <w:instrText xml:space="preserve"> PAGEREF _Toc301516621 \h </w:instrText>
        </w:r>
        <w:r>
          <w:rPr>
            <w:webHidden/>
          </w:rPr>
        </w:r>
        <w:r>
          <w:rPr>
            <w:webHidden/>
          </w:rPr>
          <w:fldChar w:fldCharType="separate"/>
        </w:r>
        <w:r w:rsidR="00C428A4">
          <w:rPr>
            <w:webHidden/>
          </w:rPr>
          <w:t>14</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2" w:history="1">
        <w:r w:rsidR="00C428A4" w:rsidRPr="0018461C">
          <w:rPr>
            <w:rStyle w:val="Hyperlink"/>
            <w:bCs/>
            <w:smallCaps/>
            <w:spacing w:val="5"/>
          </w:rPr>
          <w:t>II.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od_</w:t>
        </w:r>
        <w:r w:rsidR="00C428A4" w:rsidRPr="0018461C">
          <w:rPr>
            <w:rStyle w:val="Hyperlink"/>
            <w:bCs/>
            <w:smallCaps/>
            <w:spacing w:val="5"/>
          </w:rPr>
          <w:t>29_11 R</w:t>
        </w:r>
        <w:r w:rsidR="00C428A4" w:rsidRPr="002711E8">
          <w:rPr>
            <w:rStyle w:val="Hyperlink"/>
            <w:b/>
            <w:bCs/>
            <w:smallCaps/>
            <w:spacing w:val="5"/>
          </w:rPr>
          <w:t>evision of</w:t>
        </w:r>
        <w:r w:rsidR="00C428A4" w:rsidRPr="0018461C">
          <w:rPr>
            <w:rStyle w:val="Hyperlink"/>
            <w:bCs/>
            <w:smallCaps/>
            <w:spacing w:val="5"/>
          </w:rPr>
          <w:t xml:space="preserve"> S</w:t>
        </w:r>
        <w:r w:rsidR="00C428A4" w:rsidRPr="002711E8">
          <w:rPr>
            <w:rStyle w:val="Hyperlink"/>
            <w:b/>
            <w:bCs/>
            <w:smallCaps/>
            <w:spacing w:val="5"/>
          </w:rPr>
          <w:t>tandard</w:t>
        </w:r>
        <w:r w:rsidR="00C428A4" w:rsidRPr="0018461C">
          <w:rPr>
            <w:rStyle w:val="Hyperlink"/>
            <w:bCs/>
            <w:smallCaps/>
            <w:spacing w:val="5"/>
          </w:rPr>
          <w:t xml:space="preserve"> L</w:t>
        </w:r>
        <w:r w:rsidR="00C428A4" w:rsidRPr="002711E8">
          <w:rPr>
            <w:rStyle w:val="Hyperlink"/>
            <w:b/>
            <w:bCs/>
            <w:smallCaps/>
            <w:spacing w:val="5"/>
          </w:rPr>
          <w:t>etter of credit template</w:t>
        </w:r>
        <w:r w:rsidR="00C428A4">
          <w:rPr>
            <w:webHidden/>
          </w:rPr>
          <w:tab/>
        </w:r>
        <w:r>
          <w:rPr>
            <w:webHidden/>
          </w:rPr>
          <w:fldChar w:fldCharType="begin"/>
        </w:r>
        <w:r w:rsidR="00C428A4">
          <w:rPr>
            <w:webHidden/>
          </w:rPr>
          <w:instrText xml:space="preserve"> PAGEREF _Toc301516622 \h </w:instrText>
        </w:r>
        <w:r>
          <w:rPr>
            <w:webHidden/>
          </w:rPr>
        </w:r>
        <w:r>
          <w:rPr>
            <w:webHidden/>
          </w:rPr>
          <w:fldChar w:fldCharType="separate"/>
        </w:r>
        <w:r w:rsidR="00C428A4">
          <w:rPr>
            <w:webHidden/>
          </w:rPr>
          <w:t>15</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3" w:history="1">
        <w:r w:rsidR="00C428A4" w:rsidRPr="0018461C">
          <w:rPr>
            <w:rStyle w:val="Hyperlink"/>
            <w:bCs/>
            <w:smallCaps/>
            <w:spacing w:val="5"/>
          </w:rPr>
          <w:t>III.</w:t>
        </w:r>
        <w:r w:rsidR="00C428A4" w:rsidRPr="0018461C">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_24_11</w:t>
        </w:r>
        <w:r w:rsidR="00C428A4" w:rsidRPr="002711E8">
          <w:rPr>
            <w:rStyle w:val="Hyperlink"/>
            <w:b/>
            <w:bCs/>
            <w:smallCaps/>
            <w:spacing w:val="5"/>
          </w:rPr>
          <w:t xml:space="preserve"> reflection of physical fixity of interconnector flows in operational data</w:t>
        </w:r>
        <w:r w:rsidR="00C428A4">
          <w:rPr>
            <w:webHidden/>
          </w:rPr>
          <w:tab/>
        </w:r>
        <w:r>
          <w:rPr>
            <w:webHidden/>
          </w:rPr>
          <w:fldChar w:fldCharType="begin"/>
        </w:r>
        <w:r w:rsidR="00C428A4">
          <w:rPr>
            <w:webHidden/>
          </w:rPr>
          <w:instrText xml:space="preserve"> PAGEREF _Toc301516623 \h </w:instrText>
        </w:r>
        <w:r>
          <w:rPr>
            <w:webHidden/>
          </w:rPr>
        </w:r>
        <w:r>
          <w:rPr>
            <w:webHidden/>
          </w:rPr>
          <w:fldChar w:fldCharType="separate"/>
        </w:r>
        <w:r w:rsidR="00C428A4">
          <w:rPr>
            <w:webHidden/>
          </w:rPr>
          <w:t>15</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4" w:history="1">
        <w:r w:rsidR="00C428A4" w:rsidRPr="0018461C">
          <w:rPr>
            <w:rStyle w:val="Hyperlink"/>
            <w:bCs/>
            <w:smallCaps/>
            <w:spacing w:val="5"/>
          </w:rPr>
          <w:t>IV.</w:t>
        </w:r>
        <w:r w:rsidR="00C428A4">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 xml:space="preserve">_25_11 </w:t>
        </w:r>
        <w:r w:rsidR="00C428A4" w:rsidRPr="002711E8">
          <w:rPr>
            <w:rStyle w:val="Hyperlink"/>
            <w:b/>
            <w:bCs/>
            <w:smallCaps/>
            <w:spacing w:val="5"/>
          </w:rPr>
          <w:t>separate residual meter volume interval proportions for each jurisdiction</w:t>
        </w:r>
        <w:r w:rsidR="00C428A4">
          <w:rPr>
            <w:webHidden/>
          </w:rPr>
          <w:tab/>
        </w:r>
        <w:r>
          <w:rPr>
            <w:webHidden/>
          </w:rPr>
          <w:fldChar w:fldCharType="begin"/>
        </w:r>
        <w:r w:rsidR="00C428A4">
          <w:rPr>
            <w:webHidden/>
          </w:rPr>
          <w:instrText xml:space="preserve"> PAGEREF _Toc301516624 \h </w:instrText>
        </w:r>
        <w:r>
          <w:rPr>
            <w:webHidden/>
          </w:rPr>
        </w:r>
        <w:r>
          <w:rPr>
            <w:webHidden/>
          </w:rPr>
          <w:fldChar w:fldCharType="separate"/>
        </w:r>
        <w:r w:rsidR="00C428A4">
          <w:rPr>
            <w:webHidden/>
          </w:rPr>
          <w:t>16</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5" w:history="1">
        <w:r w:rsidR="00C428A4" w:rsidRPr="0018461C">
          <w:rPr>
            <w:rStyle w:val="Hyperlink"/>
            <w:bCs/>
            <w:smallCaps/>
            <w:spacing w:val="5"/>
          </w:rPr>
          <w:t>V.</w:t>
        </w:r>
        <w:r w:rsidR="00C428A4">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od_</w:t>
        </w:r>
        <w:r w:rsidR="00C428A4" w:rsidRPr="0018461C">
          <w:rPr>
            <w:rStyle w:val="Hyperlink"/>
            <w:bCs/>
            <w:smallCaps/>
            <w:spacing w:val="5"/>
          </w:rPr>
          <w:t>26_11</w:t>
        </w:r>
        <w:r w:rsidR="00C428A4" w:rsidRPr="002711E8">
          <w:rPr>
            <w:rStyle w:val="Hyperlink"/>
            <w:b/>
            <w:bCs/>
            <w:smallCaps/>
            <w:spacing w:val="5"/>
          </w:rPr>
          <w:t xml:space="preserve"> process change for assessing firm access quantity of trading site</w:t>
        </w:r>
        <w:r w:rsidR="00C428A4" w:rsidRPr="0018461C">
          <w:rPr>
            <w:rStyle w:val="Hyperlink"/>
            <w:bCs/>
            <w:smallCaps/>
            <w:spacing w:val="5"/>
          </w:rPr>
          <w:t xml:space="preserve"> (FAQSst)</w:t>
        </w:r>
        <w:r w:rsidR="00C428A4">
          <w:rPr>
            <w:webHidden/>
          </w:rPr>
          <w:tab/>
        </w:r>
        <w:r>
          <w:rPr>
            <w:webHidden/>
          </w:rPr>
          <w:fldChar w:fldCharType="begin"/>
        </w:r>
        <w:r w:rsidR="00C428A4">
          <w:rPr>
            <w:webHidden/>
          </w:rPr>
          <w:instrText xml:space="preserve"> PAGEREF _Toc301516625 \h </w:instrText>
        </w:r>
        <w:r>
          <w:rPr>
            <w:webHidden/>
          </w:rPr>
        </w:r>
        <w:r>
          <w:rPr>
            <w:webHidden/>
          </w:rPr>
          <w:fldChar w:fldCharType="separate"/>
        </w:r>
        <w:r w:rsidR="00C428A4">
          <w:rPr>
            <w:webHidden/>
          </w:rPr>
          <w:t>16</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6" w:history="1">
        <w:r w:rsidR="00C428A4" w:rsidRPr="0018461C">
          <w:rPr>
            <w:rStyle w:val="Hyperlink"/>
            <w:bCs/>
            <w:smallCaps/>
            <w:spacing w:val="5"/>
          </w:rPr>
          <w:t>VI.</w:t>
        </w:r>
        <w:r w:rsidR="00C428A4">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od_</w:t>
        </w:r>
        <w:r w:rsidR="00C428A4" w:rsidRPr="0018461C">
          <w:rPr>
            <w:rStyle w:val="Hyperlink"/>
            <w:bCs/>
            <w:smallCaps/>
            <w:spacing w:val="5"/>
          </w:rPr>
          <w:t>27_11</w:t>
        </w:r>
        <w:r w:rsidR="00C428A4" w:rsidRPr="002711E8">
          <w:rPr>
            <w:rStyle w:val="Hyperlink"/>
            <w:b/>
            <w:bCs/>
            <w:smallCaps/>
            <w:spacing w:val="5"/>
          </w:rPr>
          <w:t xml:space="preserve"> market operator solver policy</w:t>
        </w:r>
        <w:r w:rsidR="00C428A4">
          <w:rPr>
            <w:webHidden/>
          </w:rPr>
          <w:tab/>
        </w:r>
        <w:r>
          <w:rPr>
            <w:webHidden/>
          </w:rPr>
          <w:fldChar w:fldCharType="begin"/>
        </w:r>
        <w:r w:rsidR="00C428A4">
          <w:rPr>
            <w:webHidden/>
          </w:rPr>
          <w:instrText xml:space="preserve"> PAGEREF _Toc301516626 \h </w:instrText>
        </w:r>
        <w:r>
          <w:rPr>
            <w:webHidden/>
          </w:rPr>
        </w:r>
        <w:r>
          <w:rPr>
            <w:webHidden/>
          </w:rPr>
          <w:fldChar w:fldCharType="separate"/>
        </w:r>
        <w:r w:rsidR="00C428A4">
          <w:rPr>
            <w:webHidden/>
          </w:rPr>
          <w:t>17</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27" w:history="1">
        <w:r w:rsidR="00C428A4" w:rsidRPr="0018461C">
          <w:rPr>
            <w:rStyle w:val="Hyperlink"/>
            <w:bCs/>
            <w:smallCaps/>
            <w:spacing w:val="5"/>
          </w:rPr>
          <w:t>VII.</w:t>
        </w:r>
        <w:r w:rsidR="00C428A4">
          <w:rPr>
            <w:rFonts w:asciiTheme="minorHAnsi" w:eastAsiaTheme="minorEastAsia" w:hAnsiTheme="minorHAnsi" w:cstheme="minorBidi"/>
            <w:sz w:val="22"/>
            <w:szCs w:val="22"/>
            <w:lang w:val="en-IE" w:eastAsia="en-IE"/>
          </w:rPr>
          <w:tab/>
        </w:r>
        <w:r w:rsidR="00C428A4" w:rsidRPr="0018461C">
          <w:rPr>
            <w:rStyle w:val="Hyperlink"/>
            <w:bCs/>
            <w:smallCaps/>
            <w:spacing w:val="5"/>
          </w:rPr>
          <w:t>M</w:t>
        </w:r>
        <w:r w:rsidR="00C428A4" w:rsidRPr="002711E8">
          <w:rPr>
            <w:rStyle w:val="Hyperlink"/>
            <w:b/>
            <w:bCs/>
            <w:smallCaps/>
            <w:spacing w:val="5"/>
          </w:rPr>
          <w:t>od</w:t>
        </w:r>
        <w:r w:rsidR="00C428A4" w:rsidRPr="0018461C">
          <w:rPr>
            <w:rStyle w:val="Hyperlink"/>
            <w:bCs/>
            <w:smallCaps/>
            <w:spacing w:val="5"/>
          </w:rPr>
          <w:t>_28_11</w:t>
        </w:r>
        <w:r w:rsidR="0018461C">
          <w:rPr>
            <w:rStyle w:val="Hyperlink"/>
            <w:b/>
            <w:bCs/>
            <w:smallCaps/>
            <w:spacing w:val="5"/>
          </w:rPr>
          <w:t xml:space="preserve"> alignment of </w:t>
        </w:r>
        <w:r w:rsidR="0018461C" w:rsidRPr="0018461C">
          <w:rPr>
            <w:rStyle w:val="Hyperlink"/>
            <w:bCs/>
            <w:smallCaps/>
            <w:spacing w:val="5"/>
          </w:rPr>
          <w:t>AP</w:t>
        </w:r>
        <w:r w:rsidR="00C428A4" w:rsidRPr="0018461C">
          <w:rPr>
            <w:rStyle w:val="Hyperlink"/>
            <w:bCs/>
            <w:smallCaps/>
            <w:spacing w:val="5"/>
          </w:rPr>
          <w:t xml:space="preserve">11 </w:t>
        </w:r>
        <w:r w:rsidR="00C428A4" w:rsidRPr="002711E8">
          <w:rPr>
            <w:rStyle w:val="Hyperlink"/>
            <w:b/>
            <w:bCs/>
            <w:smallCaps/>
            <w:spacing w:val="5"/>
          </w:rPr>
          <w:t>with bi-annual release strategy</w:t>
        </w:r>
        <w:r w:rsidR="00C428A4">
          <w:rPr>
            <w:webHidden/>
          </w:rPr>
          <w:tab/>
        </w:r>
        <w:r>
          <w:rPr>
            <w:webHidden/>
          </w:rPr>
          <w:fldChar w:fldCharType="begin"/>
        </w:r>
        <w:r w:rsidR="00C428A4">
          <w:rPr>
            <w:webHidden/>
          </w:rPr>
          <w:instrText xml:space="preserve"> PAGEREF _Toc301516627 \h </w:instrText>
        </w:r>
        <w:r>
          <w:rPr>
            <w:webHidden/>
          </w:rPr>
        </w:r>
        <w:r>
          <w:rPr>
            <w:webHidden/>
          </w:rPr>
          <w:fldChar w:fldCharType="separate"/>
        </w:r>
        <w:r w:rsidR="00C428A4">
          <w:rPr>
            <w:webHidden/>
          </w:rPr>
          <w:t>18</w:t>
        </w:r>
        <w:r>
          <w:rPr>
            <w:webHidden/>
          </w:rPr>
          <w:fldChar w:fldCharType="end"/>
        </w:r>
      </w:hyperlink>
    </w:p>
    <w:p w:rsidR="00C428A4" w:rsidRDefault="00CA113C">
      <w:pPr>
        <w:pStyle w:val="TOC1"/>
        <w:rPr>
          <w:rFonts w:asciiTheme="minorHAnsi" w:eastAsiaTheme="minorEastAsia" w:hAnsiTheme="minorHAnsi" w:cstheme="minorBidi"/>
          <w:lang w:val="en-IE" w:eastAsia="en-IE"/>
        </w:rPr>
      </w:pPr>
      <w:hyperlink w:anchor="_Toc301516628" w:history="1">
        <w:r w:rsidR="00C428A4" w:rsidRPr="002711E8">
          <w:rPr>
            <w:rStyle w:val="Hyperlink"/>
          </w:rPr>
          <w:t>V.</w:t>
        </w:r>
        <w:r w:rsidR="00C428A4">
          <w:rPr>
            <w:rFonts w:asciiTheme="minorHAnsi" w:eastAsiaTheme="minorEastAsia" w:hAnsiTheme="minorHAnsi" w:cstheme="minorBidi"/>
            <w:lang w:val="en-IE" w:eastAsia="en-IE"/>
          </w:rPr>
          <w:tab/>
        </w:r>
        <w:r w:rsidR="00C428A4" w:rsidRPr="002711E8">
          <w:rPr>
            <w:rStyle w:val="Hyperlink"/>
          </w:rPr>
          <w:t>Any Other Business</w:t>
        </w:r>
        <w:r w:rsidR="00C428A4">
          <w:rPr>
            <w:webHidden/>
          </w:rPr>
          <w:tab/>
        </w:r>
        <w:r>
          <w:rPr>
            <w:webHidden/>
          </w:rPr>
          <w:fldChar w:fldCharType="begin"/>
        </w:r>
        <w:r w:rsidR="00C428A4">
          <w:rPr>
            <w:webHidden/>
          </w:rPr>
          <w:instrText xml:space="preserve"> PAGEREF _Toc301516628 \h </w:instrText>
        </w:r>
        <w:r>
          <w:rPr>
            <w:webHidden/>
          </w:rPr>
        </w:r>
        <w:r>
          <w:rPr>
            <w:webHidden/>
          </w:rPr>
          <w:fldChar w:fldCharType="separate"/>
        </w:r>
        <w:r w:rsidR="00C428A4">
          <w:rPr>
            <w:webHidden/>
          </w:rPr>
          <w:t>19</w:t>
        </w:r>
        <w:r>
          <w:rPr>
            <w:webHidden/>
          </w:rPr>
          <w:fldChar w:fldCharType="end"/>
        </w:r>
      </w:hyperlink>
    </w:p>
    <w:p w:rsidR="00C428A4" w:rsidRDefault="00CA113C">
      <w:pPr>
        <w:pStyle w:val="TOC1"/>
        <w:rPr>
          <w:rFonts w:asciiTheme="minorHAnsi" w:eastAsiaTheme="minorEastAsia" w:hAnsiTheme="minorHAnsi" w:cstheme="minorBidi"/>
          <w:lang w:val="en-IE" w:eastAsia="en-IE"/>
        </w:rPr>
      </w:pPr>
      <w:hyperlink w:anchor="_Toc301516629" w:history="1">
        <w:r w:rsidR="00C428A4" w:rsidRPr="002711E8">
          <w:rPr>
            <w:rStyle w:val="Hyperlink"/>
          </w:rPr>
          <w:t>VI.</w:t>
        </w:r>
        <w:r w:rsidR="00C428A4">
          <w:rPr>
            <w:rFonts w:asciiTheme="minorHAnsi" w:eastAsiaTheme="minorEastAsia" w:hAnsiTheme="minorHAnsi" w:cstheme="minorBidi"/>
            <w:lang w:val="en-IE" w:eastAsia="en-IE"/>
          </w:rPr>
          <w:tab/>
        </w:r>
        <w:r w:rsidR="00C428A4" w:rsidRPr="002711E8">
          <w:rPr>
            <w:rStyle w:val="Hyperlink"/>
          </w:rPr>
          <w:t>Appendices</w:t>
        </w:r>
        <w:r w:rsidR="00C428A4">
          <w:rPr>
            <w:webHidden/>
          </w:rPr>
          <w:tab/>
        </w:r>
        <w:r>
          <w:rPr>
            <w:webHidden/>
          </w:rPr>
          <w:fldChar w:fldCharType="begin"/>
        </w:r>
        <w:r w:rsidR="00C428A4">
          <w:rPr>
            <w:webHidden/>
          </w:rPr>
          <w:instrText xml:space="preserve"> PAGEREF _Toc301516629 \h </w:instrText>
        </w:r>
        <w:r>
          <w:rPr>
            <w:webHidden/>
          </w:rPr>
        </w:r>
        <w:r>
          <w:rPr>
            <w:webHidden/>
          </w:rPr>
          <w:fldChar w:fldCharType="separate"/>
        </w:r>
        <w:r w:rsidR="00C428A4">
          <w:rPr>
            <w:webHidden/>
          </w:rPr>
          <w:t>20</w:t>
        </w:r>
        <w:r>
          <w:rPr>
            <w:webHidden/>
          </w:rPr>
          <w:fldChar w:fldCharType="end"/>
        </w:r>
      </w:hyperlink>
    </w:p>
    <w:p w:rsidR="00C428A4" w:rsidRDefault="00CA113C">
      <w:pPr>
        <w:pStyle w:val="TOC2"/>
        <w:rPr>
          <w:rFonts w:asciiTheme="minorHAnsi" w:eastAsiaTheme="minorEastAsia" w:hAnsiTheme="minorHAnsi" w:cstheme="minorBidi"/>
          <w:sz w:val="22"/>
          <w:szCs w:val="22"/>
          <w:lang w:val="en-IE" w:eastAsia="en-IE"/>
        </w:rPr>
      </w:pPr>
      <w:hyperlink w:anchor="_Toc301516630" w:history="1">
        <w:r w:rsidR="00C428A4" w:rsidRPr="002711E8">
          <w:rPr>
            <w:rStyle w:val="Hyperlink"/>
          </w:rPr>
          <w:t>a.</w:t>
        </w:r>
        <w:r w:rsidR="00C428A4">
          <w:rPr>
            <w:rFonts w:asciiTheme="minorHAnsi" w:eastAsiaTheme="minorEastAsia" w:hAnsiTheme="minorHAnsi" w:cstheme="minorBidi"/>
            <w:sz w:val="22"/>
            <w:szCs w:val="22"/>
            <w:lang w:val="en-IE" w:eastAsia="en-IE"/>
          </w:rPr>
          <w:tab/>
        </w:r>
        <w:r w:rsidR="00C428A4" w:rsidRPr="002711E8">
          <w:rPr>
            <w:rStyle w:val="Hyperlink"/>
          </w:rPr>
          <w:t>Appendix 1 - Secretariat Programme of Work</w:t>
        </w:r>
        <w:r w:rsidR="00C428A4">
          <w:rPr>
            <w:webHidden/>
          </w:rPr>
          <w:tab/>
        </w:r>
        <w:r>
          <w:rPr>
            <w:webHidden/>
          </w:rPr>
          <w:fldChar w:fldCharType="begin"/>
        </w:r>
        <w:r w:rsidR="00C428A4">
          <w:rPr>
            <w:webHidden/>
          </w:rPr>
          <w:instrText xml:space="preserve"> PAGEREF _Toc301516630 \h </w:instrText>
        </w:r>
        <w:r>
          <w:rPr>
            <w:webHidden/>
          </w:rPr>
        </w:r>
        <w:r>
          <w:rPr>
            <w:webHidden/>
          </w:rPr>
          <w:fldChar w:fldCharType="separate"/>
        </w:r>
        <w:r w:rsidR="00C428A4">
          <w:rPr>
            <w:webHidden/>
          </w:rPr>
          <w:t>20</w:t>
        </w:r>
        <w:r>
          <w:rPr>
            <w:webHidden/>
          </w:rPr>
          <w:fldChar w:fldCharType="end"/>
        </w:r>
      </w:hyperlink>
    </w:p>
    <w:p w:rsidR="00B37C09" w:rsidRDefault="00CA113C" w:rsidP="0051506D">
      <w:pPr>
        <w:rPr>
          <w:noProof/>
        </w:rPr>
      </w:pPr>
      <w:r w:rsidRPr="00310AA9">
        <w:rPr>
          <w:sz w:val="48"/>
          <w:szCs w:val="48"/>
          <w:highlight w:val="yellow"/>
        </w:rPr>
        <w:fldChar w:fldCharType="end"/>
      </w:r>
    </w:p>
    <w:p w:rsidR="00B37C09" w:rsidRPr="00135A1E" w:rsidRDefault="00B37C09" w:rsidP="0051506D">
      <w:pPr>
        <w:rPr>
          <w:noProof/>
        </w:rPr>
      </w:pPr>
    </w:p>
    <w:p w:rsidR="00B37C09" w:rsidRPr="00135A1E" w:rsidRDefault="00B37C09" w:rsidP="00B47FC6">
      <w:pPr>
        <w:rPr>
          <w:noProof/>
        </w:rPr>
      </w:pPr>
      <w:r w:rsidRPr="00135A1E">
        <w:rPr>
          <w:noProof/>
        </w:rPr>
        <w:br w:type="page"/>
      </w:r>
    </w:p>
    <w:p w:rsidR="00B37C09" w:rsidRPr="00135A1E" w:rsidRDefault="00B37C09" w:rsidP="0054297E">
      <w:pPr>
        <w:pStyle w:val="UntitledHeading"/>
      </w:pPr>
      <w:r w:rsidRPr="00135A1E">
        <w:t>Document History</w:t>
      </w:r>
    </w:p>
    <w:p w:rsidR="00B37C09" w:rsidRPr="00135A1E" w:rsidRDefault="00B37C09" w:rsidP="00B4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2307"/>
        <w:gridCol w:w="1507"/>
        <w:gridCol w:w="4788"/>
      </w:tblGrid>
      <w:tr w:rsidR="00B37C09" w:rsidRPr="00135A1E">
        <w:trPr>
          <w:trHeight w:val="300"/>
        </w:trPr>
        <w:tc>
          <w:tcPr>
            <w:tcW w:w="591" w:type="pct"/>
            <w:shd w:val="pct15" w:color="auto" w:fill="FFFFFF"/>
          </w:tcPr>
          <w:p w:rsidR="00B37C09" w:rsidRPr="00135A1E" w:rsidRDefault="00B37C09" w:rsidP="00D8575B">
            <w:pPr>
              <w:spacing w:before="0" w:after="0"/>
              <w:rPr>
                <w:rStyle w:val="TableText"/>
                <w:b/>
                <w:bCs/>
              </w:rPr>
            </w:pPr>
            <w:r w:rsidRPr="00135A1E">
              <w:rPr>
                <w:rStyle w:val="TableText"/>
                <w:b/>
                <w:bCs/>
              </w:rPr>
              <w:t>Version</w:t>
            </w:r>
          </w:p>
        </w:tc>
        <w:tc>
          <w:tcPr>
            <w:tcW w:w="1182" w:type="pct"/>
            <w:shd w:val="pct15" w:color="auto" w:fill="FFFFFF"/>
          </w:tcPr>
          <w:p w:rsidR="00B37C09" w:rsidRPr="00135A1E" w:rsidRDefault="00B37C09" w:rsidP="00D8575B">
            <w:pPr>
              <w:spacing w:before="0" w:after="0"/>
              <w:rPr>
                <w:rStyle w:val="TableText"/>
                <w:b/>
                <w:bCs/>
              </w:rPr>
            </w:pPr>
            <w:r w:rsidRPr="00135A1E">
              <w:rPr>
                <w:rStyle w:val="TableText"/>
                <w:b/>
                <w:bCs/>
              </w:rPr>
              <w:t>Date</w:t>
            </w:r>
          </w:p>
        </w:tc>
        <w:tc>
          <w:tcPr>
            <w:tcW w:w="772" w:type="pct"/>
            <w:shd w:val="pct15" w:color="auto" w:fill="FFFFFF"/>
          </w:tcPr>
          <w:p w:rsidR="00B37C09" w:rsidRPr="00135A1E" w:rsidRDefault="00B37C09" w:rsidP="00D8575B">
            <w:pPr>
              <w:spacing w:before="0" w:after="0"/>
              <w:rPr>
                <w:rStyle w:val="TableText"/>
                <w:b/>
                <w:bCs/>
              </w:rPr>
            </w:pPr>
            <w:r w:rsidRPr="00135A1E">
              <w:rPr>
                <w:rStyle w:val="TableText"/>
                <w:b/>
                <w:bCs/>
              </w:rPr>
              <w:t>Author</w:t>
            </w:r>
          </w:p>
        </w:tc>
        <w:tc>
          <w:tcPr>
            <w:tcW w:w="2454" w:type="pct"/>
            <w:shd w:val="pct15" w:color="auto" w:fill="FFFFFF"/>
          </w:tcPr>
          <w:p w:rsidR="00B37C09" w:rsidRPr="00135A1E" w:rsidRDefault="00B37C09" w:rsidP="00D8575B">
            <w:pPr>
              <w:spacing w:before="0" w:after="0"/>
              <w:rPr>
                <w:rStyle w:val="TableText"/>
                <w:b/>
                <w:bCs/>
              </w:rPr>
            </w:pPr>
            <w:r w:rsidRPr="00135A1E">
              <w:rPr>
                <w:rStyle w:val="TableText"/>
                <w:b/>
                <w:bCs/>
              </w:rPr>
              <w:t>Comment</w:t>
            </w:r>
          </w:p>
        </w:tc>
      </w:tr>
      <w:tr w:rsidR="00B37C09" w:rsidRPr="00135A1E">
        <w:trPr>
          <w:trHeight w:val="300"/>
        </w:trPr>
        <w:tc>
          <w:tcPr>
            <w:tcW w:w="591" w:type="pct"/>
          </w:tcPr>
          <w:p w:rsidR="00B37C09" w:rsidRPr="00135A1E" w:rsidRDefault="00B37C09" w:rsidP="00D8575B">
            <w:pPr>
              <w:spacing w:before="0" w:after="0"/>
              <w:rPr>
                <w:rStyle w:val="TableText"/>
              </w:rPr>
            </w:pPr>
            <w:r>
              <w:rPr>
                <w:rStyle w:val="TableText"/>
              </w:rPr>
              <w:t>1.0</w:t>
            </w:r>
          </w:p>
        </w:tc>
        <w:tc>
          <w:tcPr>
            <w:tcW w:w="1182" w:type="pct"/>
          </w:tcPr>
          <w:p w:rsidR="00B37C09" w:rsidRPr="00135A1E" w:rsidRDefault="00B37C09" w:rsidP="005D29E8">
            <w:pPr>
              <w:spacing w:before="0" w:after="0"/>
              <w:rPr>
                <w:rStyle w:val="TableText"/>
              </w:rPr>
            </w:pPr>
            <w:r w:rsidRPr="005D29E8">
              <w:rPr>
                <w:rStyle w:val="TableText"/>
              </w:rPr>
              <w:t>16 August 2011</w:t>
            </w:r>
          </w:p>
        </w:tc>
        <w:tc>
          <w:tcPr>
            <w:tcW w:w="772" w:type="pct"/>
          </w:tcPr>
          <w:p w:rsidR="00B37C09" w:rsidRPr="00135A1E" w:rsidRDefault="00B37C09" w:rsidP="00D8575B">
            <w:pPr>
              <w:spacing w:before="0" w:after="0"/>
              <w:rPr>
                <w:rStyle w:val="TableText"/>
              </w:rPr>
            </w:pPr>
            <w:r>
              <w:rPr>
                <w:rStyle w:val="TableText"/>
              </w:rPr>
              <w:t>SEMO</w:t>
            </w:r>
          </w:p>
        </w:tc>
        <w:tc>
          <w:tcPr>
            <w:tcW w:w="2454" w:type="pct"/>
          </w:tcPr>
          <w:p w:rsidR="00B37C09" w:rsidRPr="00135A1E" w:rsidRDefault="00B37C09" w:rsidP="00D8575B">
            <w:pPr>
              <w:spacing w:before="0" w:after="0"/>
              <w:rPr>
                <w:rStyle w:val="TableText"/>
              </w:rPr>
            </w:pPr>
            <w:r>
              <w:rPr>
                <w:rStyle w:val="TableText"/>
              </w:rPr>
              <w:t>Issued to Modifications Committee for review and approval</w:t>
            </w:r>
          </w:p>
        </w:tc>
      </w:tr>
      <w:tr w:rsidR="00B37C09" w:rsidRPr="00135A1E">
        <w:trPr>
          <w:trHeight w:val="300"/>
        </w:trPr>
        <w:tc>
          <w:tcPr>
            <w:tcW w:w="591" w:type="pct"/>
          </w:tcPr>
          <w:p w:rsidR="00B37C09" w:rsidRPr="00135A1E" w:rsidRDefault="00B37C09" w:rsidP="00D8575B">
            <w:pPr>
              <w:spacing w:before="0" w:after="0"/>
              <w:rPr>
                <w:rStyle w:val="TableText"/>
              </w:rPr>
            </w:pPr>
            <w:r>
              <w:rPr>
                <w:rStyle w:val="TableText"/>
              </w:rPr>
              <w:t>2.0</w:t>
            </w:r>
          </w:p>
        </w:tc>
        <w:tc>
          <w:tcPr>
            <w:tcW w:w="1182" w:type="pct"/>
          </w:tcPr>
          <w:p w:rsidR="00B37C09" w:rsidRPr="00135A1E" w:rsidRDefault="00C40743" w:rsidP="00D8575B">
            <w:pPr>
              <w:spacing w:before="0" w:after="0"/>
              <w:rPr>
                <w:rStyle w:val="TableText"/>
              </w:rPr>
            </w:pPr>
            <w:r>
              <w:rPr>
                <w:rStyle w:val="TableText"/>
              </w:rPr>
              <w:t>23 August 2011</w:t>
            </w:r>
          </w:p>
        </w:tc>
        <w:tc>
          <w:tcPr>
            <w:tcW w:w="772" w:type="pct"/>
          </w:tcPr>
          <w:p w:rsidR="00B37C09" w:rsidRPr="00135A1E" w:rsidRDefault="00B37C09" w:rsidP="00D8575B">
            <w:pPr>
              <w:spacing w:before="0" w:after="0"/>
              <w:rPr>
                <w:rStyle w:val="TableText"/>
              </w:rPr>
            </w:pPr>
            <w:r>
              <w:rPr>
                <w:rStyle w:val="TableText"/>
              </w:rPr>
              <w:t>SEMO</w:t>
            </w:r>
          </w:p>
        </w:tc>
        <w:tc>
          <w:tcPr>
            <w:tcW w:w="2454" w:type="pct"/>
          </w:tcPr>
          <w:p w:rsidR="00B37C09" w:rsidRPr="00135A1E" w:rsidRDefault="00B37C09" w:rsidP="00C428A4">
            <w:pPr>
              <w:spacing w:before="0" w:after="0"/>
              <w:rPr>
                <w:rStyle w:val="TableText"/>
              </w:rPr>
            </w:pPr>
            <w:r>
              <w:rPr>
                <w:rStyle w:val="TableText"/>
              </w:rPr>
              <w:t>Published including Modifications Committee</w:t>
            </w:r>
            <w:r w:rsidR="00C428A4">
              <w:rPr>
                <w:rStyle w:val="TableText"/>
              </w:rPr>
              <w:t xml:space="preserve"> and observer</w:t>
            </w:r>
            <w:r>
              <w:rPr>
                <w:rStyle w:val="TableText"/>
              </w:rPr>
              <w:t xml:space="preserve"> </w:t>
            </w:r>
            <w:r w:rsidR="00C428A4">
              <w:rPr>
                <w:rStyle w:val="TableText"/>
              </w:rPr>
              <w:t>amendments on SEMO website</w:t>
            </w:r>
          </w:p>
        </w:tc>
      </w:tr>
      <w:tr w:rsidR="00B37C09" w:rsidRPr="00135A1E">
        <w:trPr>
          <w:trHeight w:val="300"/>
        </w:trPr>
        <w:tc>
          <w:tcPr>
            <w:tcW w:w="591" w:type="pct"/>
          </w:tcPr>
          <w:p w:rsidR="00B37C09" w:rsidRPr="00135A1E" w:rsidDel="006E4E61" w:rsidRDefault="00B37C09" w:rsidP="00D8575B">
            <w:pPr>
              <w:spacing w:before="0" w:after="0"/>
              <w:rPr>
                <w:rStyle w:val="TableText"/>
              </w:rPr>
            </w:pPr>
            <w:r>
              <w:rPr>
                <w:rStyle w:val="TableText"/>
              </w:rPr>
              <w:t>3.0</w:t>
            </w:r>
          </w:p>
        </w:tc>
        <w:tc>
          <w:tcPr>
            <w:tcW w:w="1182" w:type="pct"/>
          </w:tcPr>
          <w:p w:rsidR="00B37C09" w:rsidRPr="00135A1E" w:rsidRDefault="00406A60" w:rsidP="00D8575B">
            <w:pPr>
              <w:spacing w:before="0" w:after="0"/>
              <w:rPr>
                <w:rStyle w:val="TableText"/>
              </w:rPr>
            </w:pPr>
            <w:r>
              <w:rPr>
                <w:rStyle w:val="TableText"/>
              </w:rPr>
              <w:t>20 September 2011</w:t>
            </w:r>
          </w:p>
        </w:tc>
        <w:tc>
          <w:tcPr>
            <w:tcW w:w="772" w:type="pct"/>
          </w:tcPr>
          <w:p w:rsidR="00B37C09" w:rsidRPr="00135A1E" w:rsidRDefault="00406A60" w:rsidP="00D8575B">
            <w:pPr>
              <w:spacing w:before="0" w:after="0"/>
              <w:rPr>
                <w:rStyle w:val="TableText"/>
              </w:rPr>
            </w:pPr>
            <w:r>
              <w:rPr>
                <w:rStyle w:val="TableText"/>
              </w:rPr>
              <w:t>SEMO</w:t>
            </w:r>
          </w:p>
        </w:tc>
        <w:tc>
          <w:tcPr>
            <w:tcW w:w="2454" w:type="pct"/>
          </w:tcPr>
          <w:p w:rsidR="00B37C09" w:rsidRPr="00135A1E" w:rsidRDefault="00406A60" w:rsidP="00314CCA">
            <w:pPr>
              <w:spacing w:before="0" w:after="0"/>
              <w:rPr>
                <w:rStyle w:val="TableText"/>
              </w:rPr>
            </w:pPr>
            <w:r>
              <w:rPr>
                <w:rStyle w:val="TableText"/>
              </w:rPr>
              <w:t xml:space="preserve">Published including </w:t>
            </w:r>
            <w:r w:rsidR="009811A2">
              <w:rPr>
                <w:rStyle w:val="TableText"/>
              </w:rPr>
              <w:t>RA changes related to Mod_27_11</w:t>
            </w:r>
          </w:p>
        </w:tc>
      </w:tr>
      <w:tr w:rsidR="00406A60" w:rsidRPr="00135A1E">
        <w:trPr>
          <w:trHeight w:val="300"/>
        </w:trPr>
        <w:tc>
          <w:tcPr>
            <w:tcW w:w="591" w:type="pct"/>
          </w:tcPr>
          <w:p w:rsidR="00406A60" w:rsidRPr="00135A1E" w:rsidRDefault="00835D2D" w:rsidP="00D8575B">
            <w:pPr>
              <w:spacing w:before="0" w:after="0"/>
              <w:rPr>
                <w:rStyle w:val="TableText"/>
              </w:rPr>
            </w:pPr>
            <w:r>
              <w:rPr>
                <w:rStyle w:val="TableText"/>
              </w:rPr>
              <w:t>4.0</w:t>
            </w:r>
          </w:p>
        </w:tc>
        <w:tc>
          <w:tcPr>
            <w:tcW w:w="1182" w:type="pct"/>
          </w:tcPr>
          <w:p w:rsidR="00406A60" w:rsidRPr="00135A1E" w:rsidRDefault="00835D2D" w:rsidP="00D8575B">
            <w:pPr>
              <w:spacing w:before="0" w:after="0"/>
              <w:rPr>
                <w:rStyle w:val="TableText"/>
              </w:rPr>
            </w:pPr>
            <w:r>
              <w:rPr>
                <w:rStyle w:val="TableText"/>
              </w:rPr>
              <w:t>11 October 2011</w:t>
            </w:r>
          </w:p>
        </w:tc>
        <w:tc>
          <w:tcPr>
            <w:tcW w:w="772" w:type="pct"/>
          </w:tcPr>
          <w:p w:rsidR="00406A60" w:rsidRPr="00135A1E" w:rsidRDefault="00406A60" w:rsidP="004B6356">
            <w:pPr>
              <w:spacing w:before="0" w:after="0"/>
              <w:rPr>
                <w:rStyle w:val="TableText"/>
              </w:rPr>
            </w:pPr>
            <w:r>
              <w:rPr>
                <w:rStyle w:val="TableText"/>
              </w:rPr>
              <w:t>SEMO</w:t>
            </w:r>
          </w:p>
        </w:tc>
        <w:tc>
          <w:tcPr>
            <w:tcW w:w="2454" w:type="pct"/>
          </w:tcPr>
          <w:p w:rsidR="00406A60" w:rsidRPr="00135A1E" w:rsidRDefault="00406A60" w:rsidP="004B6356">
            <w:pPr>
              <w:spacing w:before="0" w:after="0"/>
              <w:rPr>
                <w:rStyle w:val="TableText"/>
              </w:rPr>
            </w:pPr>
            <w:r>
              <w:rPr>
                <w:rStyle w:val="TableText"/>
              </w:rPr>
              <w:t>Final version read and approved at Meeting 38 published on SEMO website</w:t>
            </w: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r w:rsidR="00406A60" w:rsidRPr="00135A1E">
        <w:trPr>
          <w:trHeight w:val="300"/>
        </w:trPr>
        <w:tc>
          <w:tcPr>
            <w:tcW w:w="591" w:type="pct"/>
          </w:tcPr>
          <w:p w:rsidR="00406A60" w:rsidRPr="00135A1E" w:rsidRDefault="00406A60" w:rsidP="00D8575B">
            <w:pPr>
              <w:spacing w:before="0" w:after="0"/>
              <w:rPr>
                <w:rStyle w:val="TableText"/>
              </w:rPr>
            </w:pPr>
          </w:p>
        </w:tc>
        <w:tc>
          <w:tcPr>
            <w:tcW w:w="1182" w:type="pct"/>
          </w:tcPr>
          <w:p w:rsidR="00406A60" w:rsidRPr="00135A1E" w:rsidRDefault="00406A60" w:rsidP="00D8575B">
            <w:pPr>
              <w:spacing w:before="0" w:after="0"/>
              <w:rPr>
                <w:rStyle w:val="TableText"/>
              </w:rPr>
            </w:pPr>
          </w:p>
        </w:tc>
        <w:tc>
          <w:tcPr>
            <w:tcW w:w="772" w:type="pct"/>
          </w:tcPr>
          <w:p w:rsidR="00406A60" w:rsidRPr="00135A1E" w:rsidRDefault="00406A60" w:rsidP="00D8575B">
            <w:pPr>
              <w:spacing w:before="0" w:after="0"/>
              <w:rPr>
                <w:rStyle w:val="TableText"/>
              </w:rPr>
            </w:pPr>
          </w:p>
        </w:tc>
        <w:tc>
          <w:tcPr>
            <w:tcW w:w="2454" w:type="pct"/>
          </w:tcPr>
          <w:p w:rsidR="00406A60" w:rsidRPr="00135A1E" w:rsidRDefault="00406A60" w:rsidP="00D8575B">
            <w:pPr>
              <w:spacing w:before="0" w:after="0"/>
              <w:rPr>
                <w:rStyle w:val="TableText"/>
              </w:rPr>
            </w:pPr>
          </w:p>
        </w:tc>
      </w:tr>
    </w:tbl>
    <w:p w:rsidR="00B37C09" w:rsidRPr="00135A1E" w:rsidRDefault="00B37C09" w:rsidP="00B47FC6"/>
    <w:p w:rsidR="00B37C09" w:rsidRPr="00135A1E" w:rsidRDefault="00B37C09" w:rsidP="0054297E">
      <w:pPr>
        <w:pStyle w:val="UntitledHeading"/>
      </w:pPr>
      <w:r w:rsidRPr="00135A1E">
        <w:t>Distribution List</w:t>
      </w:r>
    </w:p>
    <w:p w:rsidR="00B37C09" w:rsidRPr="00135A1E" w:rsidRDefault="00B37C09" w:rsidP="00B4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4878"/>
      </w:tblGrid>
      <w:tr w:rsidR="00B37C09" w:rsidRPr="00135A1E" w:rsidTr="00AB6BEF">
        <w:tc>
          <w:tcPr>
            <w:tcW w:w="2500" w:type="pct"/>
            <w:shd w:val="clear" w:color="auto" w:fill="548DD4"/>
          </w:tcPr>
          <w:p w:rsidR="00B37C09" w:rsidRPr="00AB6BEF" w:rsidRDefault="00B37C09" w:rsidP="00D8575B">
            <w:pPr>
              <w:spacing w:before="0" w:after="0"/>
              <w:rPr>
                <w:rStyle w:val="TableText"/>
                <w:b/>
                <w:bCs/>
                <w:color w:val="FFFFFF"/>
              </w:rPr>
            </w:pPr>
            <w:r w:rsidRPr="00AB6BEF">
              <w:rPr>
                <w:rStyle w:val="TableText"/>
                <w:b/>
                <w:bCs/>
                <w:color w:val="FFFFFF"/>
              </w:rPr>
              <w:t>Name</w:t>
            </w:r>
          </w:p>
        </w:tc>
        <w:tc>
          <w:tcPr>
            <w:tcW w:w="2500" w:type="pct"/>
            <w:shd w:val="clear" w:color="auto" w:fill="548DD4"/>
          </w:tcPr>
          <w:p w:rsidR="00B37C09" w:rsidRPr="00AB6BEF" w:rsidRDefault="00B37C09" w:rsidP="00D8575B">
            <w:pPr>
              <w:spacing w:before="0" w:after="0"/>
              <w:rPr>
                <w:rStyle w:val="TableText"/>
                <w:b/>
                <w:bCs/>
                <w:color w:val="FFFFFF"/>
              </w:rPr>
            </w:pPr>
            <w:r w:rsidRPr="00AB6BEF">
              <w:rPr>
                <w:rStyle w:val="TableText"/>
                <w:b/>
                <w:bCs/>
                <w:color w:val="FFFFFF"/>
              </w:rPr>
              <w:t>Organisation</w:t>
            </w:r>
          </w:p>
        </w:tc>
      </w:tr>
      <w:tr w:rsidR="00B37C09" w:rsidRPr="00135A1E">
        <w:tc>
          <w:tcPr>
            <w:tcW w:w="2500" w:type="pct"/>
          </w:tcPr>
          <w:p w:rsidR="00B37C09" w:rsidRPr="00135A1E" w:rsidRDefault="00B37C09" w:rsidP="00D8575B">
            <w:pPr>
              <w:spacing w:before="0" w:after="0"/>
              <w:rPr>
                <w:rStyle w:val="TableText"/>
              </w:rPr>
            </w:pPr>
            <w:r>
              <w:rPr>
                <w:rStyle w:val="TableText"/>
              </w:rPr>
              <w:t>Modifications Committee Members</w:t>
            </w:r>
          </w:p>
        </w:tc>
        <w:tc>
          <w:tcPr>
            <w:tcW w:w="2500" w:type="pct"/>
          </w:tcPr>
          <w:p w:rsidR="00B37C09" w:rsidRPr="00135A1E" w:rsidRDefault="00B37C09" w:rsidP="00D8575B">
            <w:pPr>
              <w:spacing w:before="0" w:after="0"/>
              <w:rPr>
                <w:rStyle w:val="TableText"/>
              </w:rPr>
            </w:pPr>
            <w:r>
              <w:rPr>
                <w:rStyle w:val="TableText"/>
              </w:rPr>
              <w:t>SEM Modifications Committee</w:t>
            </w:r>
          </w:p>
        </w:tc>
      </w:tr>
      <w:tr w:rsidR="00B37C09" w:rsidRPr="00135A1E">
        <w:tc>
          <w:tcPr>
            <w:tcW w:w="2500" w:type="pct"/>
          </w:tcPr>
          <w:p w:rsidR="00B37C09" w:rsidRPr="00135A1E" w:rsidRDefault="00B37C09" w:rsidP="00D8575B">
            <w:pPr>
              <w:spacing w:before="0" w:after="0"/>
              <w:rPr>
                <w:rStyle w:val="TableText"/>
              </w:rPr>
            </w:pPr>
            <w:r>
              <w:rPr>
                <w:rStyle w:val="TableText"/>
              </w:rPr>
              <w:t>Modification Committee Observers</w:t>
            </w:r>
          </w:p>
        </w:tc>
        <w:tc>
          <w:tcPr>
            <w:tcW w:w="2500" w:type="pct"/>
          </w:tcPr>
          <w:p w:rsidR="00B37C09" w:rsidRPr="00135A1E" w:rsidRDefault="00B37C09" w:rsidP="00D8575B">
            <w:pPr>
              <w:spacing w:before="0" w:after="0"/>
              <w:rPr>
                <w:rStyle w:val="TableText"/>
              </w:rPr>
            </w:pPr>
            <w:r>
              <w:rPr>
                <w:rStyle w:val="TableText"/>
              </w:rPr>
              <w:t>Attendees other than Modifications Panel in attendance at Meeting</w:t>
            </w:r>
          </w:p>
        </w:tc>
      </w:tr>
      <w:tr w:rsidR="00B37C09" w:rsidRPr="00135A1E">
        <w:tc>
          <w:tcPr>
            <w:tcW w:w="2500" w:type="pct"/>
          </w:tcPr>
          <w:p w:rsidR="00B37C09" w:rsidRPr="00135A1E" w:rsidRDefault="00B37C09" w:rsidP="00C46FCB">
            <w:pPr>
              <w:spacing w:before="0" w:after="0"/>
              <w:rPr>
                <w:rStyle w:val="TableText"/>
              </w:rPr>
            </w:pPr>
            <w:r>
              <w:rPr>
                <w:rStyle w:val="TableText"/>
              </w:rPr>
              <w:t>Interested Parties</w:t>
            </w:r>
          </w:p>
        </w:tc>
        <w:tc>
          <w:tcPr>
            <w:tcW w:w="2500" w:type="pct"/>
          </w:tcPr>
          <w:p w:rsidR="00B37C09" w:rsidRPr="00135A1E" w:rsidRDefault="00B37C09" w:rsidP="00C46FCB">
            <w:pPr>
              <w:spacing w:before="0" w:after="0"/>
              <w:rPr>
                <w:rStyle w:val="TableText"/>
              </w:rPr>
            </w:pPr>
            <w:r>
              <w:rPr>
                <w:rStyle w:val="TableText"/>
              </w:rPr>
              <w:t>Modifications &amp; Market Rules registered contacts</w:t>
            </w:r>
          </w:p>
        </w:tc>
      </w:tr>
    </w:tbl>
    <w:p w:rsidR="00B37C09" w:rsidRPr="00135A1E" w:rsidRDefault="00B37C09" w:rsidP="00B47FC6"/>
    <w:p w:rsidR="00B37C09" w:rsidRPr="00135A1E" w:rsidRDefault="00B37C09" w:rsidP="0054297E">
      <w:pPr>
        <w:pStyle w:val="UntitledHeading"/>
      </w:pPr>
      <w:r w:rsidRPr="00135A1E">
        <w:t>Reference Documents</w:t>
      </w:r>
    </w:p>
    <w:p w:rsidR="00B37C09" w:rsidRPr="00135A1E" w:rsidRDefault="00B37C09" w:rsidP="00031DAD">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35A1E" w:rsidTr="00AB6BEF">
        <w:tc>
          <w:tcPr>
            <w:tcW w:w="5000" w:type="pct"/>
            <w:shd w:val="clear" w:color="auto" w:fill="548DD4"/>
          </w:tcPr>
          <w:p w:rsidR="00B37C09" w:rsidRPr="00AB6BEF" w:rsidRDefault="00B37C09" w:rsidP="00B35B81">
            <w:pPr>
              <w:spacing w:before="0" w:after="0"/>
              <w:rPr>
                <w:rStyle w:val="TableText"/>
                <w:b/>
                <w:bCs/>
                <w:color w:val="FFFFFF"/>
              </w:rPr>
            </w:pPr>
            <w:r w:rsidRPr="00AB6BEF">
              <w:rPr>
                <w:rStyle w:val="TableText"/>
                <w:b/>
                <w:bCs/>
                <w:color w:val="FFFFFF"/>
              </w:rPr>
              <w:t>Document Name</w:t>
            </w:r>
          </w:p>
        </w:tc>
      </w:tr>
      <w:tr w:rsidR="00B37C09" w:rsidRPr="00135A1E" w:rsidTr="00E6366B">
        <w:tc>
          <w:tcPr>
            <w:tcW w:w="5000" w:type="pct"/>
          </w:tcPr>
          <w:p w:rsidR="00B37C09" w:rsidRPr="00135A1E" w:rsidRDefault="00CA113C" w:rsidP="00B35B81">
            <w:pPr>
              <w:spacing w:before="0" w:after="0"/>
              <w:rPr>
                <w:rStyle w:val="TableText"/>
              </w:rPr>
            </w:pPr>
            <w:hyperlink r:id="rId9" w:history="1">
              <w:r w:rsidR="00B37C09" w:rsidRPr="00BE543C">
                <w:rPr>
                  <w:rStyle w:val="Hyperlink"/>
                  <w:sz w:val="18"/>
                </w:rPr>
                <w:t>Trading and Settlement Code</w:t>
              </w:r>
            </w:hyperlink>
            <w:r w:rsidR="00B37C09">
              <w:rPr>
                <w:rStyle w:val="TableText"/>
              </w:rPr>
              <w:t xml:space="preserve"> and Agreed Procedures: Version 9.0</w:t>
            </w:r>
          </w:p>
        </w:tc>
      </w:tr>
      <w:tr w:rsidR="00B37C09" w:rsidRPr="00135A1E" w:rsidTr="00E6366B">
        <w:tc>
          <w:tcPr>
            <w:tcW w:w="5000" w:type="pct"/>
            <w:vAlign w:val="center"/>
          </w:tcPr>
          <w:p w:rsidR="00B37C09" w:rsidRPr="001819EB" w:rsidRDefault="00CA113C" w:rsidP="00FD3C5D">
            <w:pPr>
              <w:spacing w:before="0" w:after="0"/>
              <w:rPr>
                <w:rStyle w:val="TableText"/>
                <w:sz w:val="17"/>
                <w:szCs w:val="17"/>
              </w:rPr>
            </w:pPr>
            <w:hyperlink r:id="rId10" w:history="1">
              <w:r w:rsidR="00B37C09" w:rsidRPr="00671399">
                <w:rPr>
                  <w:rStyle w:val="Hyperlink"/>
                  <w:sz w:val="17"/>
                  <w:szCs w:val="17"/>
                </w:rPr>
                <w:t>Mod_18_10: Intra-Day Trading</w:t>
              </w:r>
            </w:hyperlink>
          </w:p>
        </w:tc>
      </w:tr>
      <w:tr w:rsidR="00B37C09" w:rsidRPr="00135A1E" w:rsidTr="00E6366B">
        <w:tc>
          <w:tcPr>
            <w:tcW w:w="5000" w:type="pct"/>
            <w:vAlign w:val="center"/>
          </w:tcPr>
          <w:p w:rsidR="00B37C09" w:rsidRPr="001819EB" w:rsidRDefault="00CA113C" w:rsidP="00FD3C5D">
            <w:pPr>
              <w:spacing w:before="0" w:after="0"/>
              <w:rPr>
                <w:rStyle w:val="TableText"/>
                <w:sz w:val="17"/>
                <w:szCs w:val="17"/>
              </w:rPr>
            </w:pPr>
            <w:hyperlink r:id="rId11" w:history="1">
              <w:r w:rsidR="00B37C09" w:rsidRPr="00671399">
                <w:rPr>
                  <w:rStyle w:val="Hyperlink"/>
                  <w:sz w:val="17"/>
                  <w:szCs w:val="17"/>
                </w:rPr>
                <w:t>Mod_04_11: Removal of requirement that a demand site in a DSU shall not have an MEC</w:t>
              </w:r>
            </w:hyperlink>
          </w:p>
        </w:tc>
      </w:tr>
      <w:tr w:rsidR="00B37C09" w:rsidRPr="00135A1E" w:rsidTr="00E6366B">
        <w:tc>
          <w:tcPr>
            <w:tcW w:w="5000" w:type="pct"/>
            <w:vAlign w:val="center"/>
          </w:tcPr>
          <w:p w:rsidR="00B37C09" w:rsidRPr="00252CE3" w:rsidRDefault="00CA113C" w:rsidP="00FD3C5D">
            <w:pPr>
              <w:spacing w:before="0" w:after="0"/>
              <w:rPr>
                <w:rStyle w:val="TableText"/>
                <w:sz w:val="17"/>
                <w:szCs w:val="17"/>
              </w:rPr>
            </w:pPr>
            <w:hyperlink r:id="rId12" w:history="1">
              <w:r w:rsidR="00B37C09" w:rsidRPr="00671399">
                <w:rPr>
                  <w:rStyle w:val="Hyperlink"/>
                  <w:sz w:val="17"/>
                  <w:szCs w:val="17"/>
                </w:rPr>
                <w:t>Mod_14_11: Pumped Storage Under Test</w:t>
              </w:r>
            </w:hyperlink>
            <w:r w:rsidR="00B37C09">
              <w:rPr>
                <w:rStyle w:val="TableText"/>
                <w:sz w:val="17"/>
                <w:szCs w:val="17"/>
              </w:rPr>
              <w:t xml:space="preserve"> </w:t>
            </w:r>
          </w:p>
        </w:tc>
      </w:tr>
      <w:tr w:rsidR="00B37C09" w:rsidRPr="00135A1E" w:rsidTr="00E6366B">
        <w:tc>
          <w:tcPr>
            <w:tcW w:w="5000" w:type="pct"/>
            <w:vAlign w:val="center"/>
          </w:tcPr>
          <w:p w:rsidR="00B37C09" w:rsidRPr="00252CE3" w:rsidRDefault="00CA113C" w:rsidP="00FD3C5D">
            <w:pPr>
              <w:spacing w:before="0" w:after="0"/>
              <w:rPr>
                <w:rStyle w:val="TableText"/>
                <w:sz w:val="17"/>
                <w:szCs w:val="17"/>
              </w:rPr>
            </w:pPr>
            <w:hyperlink r:id="rId13" w:history="1">
              <w:r w:rsidR="00B37C09" w:rsidRPr="00671399">
                <w:rPr>
                  <w:rStyle w:val="Hyperlink"/>
                  <w:sz w:val="17"/>
                  <w:szCs w:val="17"/>
                </w:rPr>
                <w:t>Mod_16_11: Credit Worthiness Test for the SEM Bank and Credit Cover Provider banks</w:t>
              </w:r>
            </w:hyperlink>
          </w:p>
        </w:tc>
      </w:tr>
      <w:tr w:rsidR="00B37C09" w:rsidRPr="00135A1E" w:rsidTr="00E6366B">
        <w:tc>
          <w:tcPr>
            <w:tcW w:w="5000" w:type="pct"/>
            <w:vAlign w:val="center"/>
          </w:tcPr>
          <w:p w:rsidR="00B37C09" w:rsidRPr="001819EB" w:rsidRDefault="00CA113C" w:rsidP="00FD3C5D">
            <w:pPr>
              <w:spacing w:before="0" w:after="0"/>
              <w:rPr>
                <w:rStyle w:val="TableText"/>
                <w:sz w:val="17"/>
                <w:szCs w:val="17"/>
              </w:rPr>
            </w:pPr>
            <w:hyperlink r:id="rId14" w:history="1">
              <w:r w:rsidR="00B37C09" w:rsidRPr="00671399">
                <w:rPr>
                  <w:rStyle w:val="Hyperlink"/>
                  <w:sz w:val="17"/>
                  <w:szCs w:val="17"/>
                </w:rPr>
                <w:t>Mod_17_11: Clarifying the requirement to provide Dispatch Instruction for Generator Units</w:t>
              </w:r>
            </w:hyperlink>
          </w:p>
        </w:tc>
      </w:tr>
      <w:tr w:rsidR="00B37C09" w:rsidRPr="00135A1E" w:rsidTr="00E6366B">
        <w:tc>
          <w:tcPr>
            <w:tcW w:w="5000" w:type="pct"/>
            <w:vAlign w:val="center"/>
          </w:tcPr>
          <w:p w:rsidR="00B37C09" w:rsidRPr="00252CE3" w:rsidRDefault="00CA113C" w:rsidP="00FD3C5D">
            <w:pPr>
              <w:spacing w:before="0" w:after="0"/>
              <w:rPr>
                <w:rStyle w:val="TableText"/>
                <w:sz w:val="17"/>
                <w:szCs w:val="17"/>
              </w:rPr>
            </w:pPr>
            <w:hyperlink r:id="rId15" w:history="1">
              <w:r w:rsidR="00B37C09" w:rsidRPr="00671399">
                <w:rPr>
                  <w:rStyle w:val="Hyperlink"/>
                  <w:sz w:val="17"/>
                  <w:szCs w:val="17"/>
                </w:rPr>
                <w:t>Mod_18_11: Definition of ‘Availability’</w:t>
              </w:r>
            </w:hyperlink>
          </w:p>
        </w:tc>
      </w:tr>
      <w:tr w:rsidR="00B37C09" w:rsidRPr="00135A1E" w:rsidTr="00E6366B">
        <w:tc>
          <w:tcPr>
            <w:tcW w:w="5000" w:type="pct"/>
            <w:vAlign w:val="center"/>
          </w:tcPr>
          <w:p w:rsidR="00B37C09" w:rsidRDefault="00CA113C" w:rsidP="00FD3C5D">
            <w:pPr>
              <w:spacing w:before="0" w:after="0"/>
              <w:rPr>
                <w:rStyle w:val="TableText"/>
                <w:sz w:val="17"/>
                <w:szCs w:val="17"/>
              </w:rPr>
            </w:pPr>
            <w:hyperlink r:id="rId16" w:history="1">
              <w:r w:rsidR="00B37C09" w:rsidRPr="00671399">
                <w:rPr>
                  <w:rStyle w:val="Hyperlink"/>
                  <w:sz w:val="17"/>
                  <w:szCs w:val="17"/>
                </w:rPr>
                <w:t>Mod_21_11 UI Payments for generator units constrained on</w:t>
              </w:r>
            </w:hyperlink>
          </w:p>
        </w:tc>
      </w:tr>
      <w:tr w:rsidR="00B37C09" w:rsidTr="00AB6BEF">
        <w:tc>
          <w:tcPr>
            <w:tcW w:w="5000" w:type="pct"/>
            <w:vAlign w:val="center"/>
          </w:tcPr>
          <w:p w:rsidR="00B37C09" w:rsidRDefault="00CA113C" w:rsidP="00FD3C5D">
            <w:pPr>
              <w:spacing w:before="0" w:after="0"/>
              <w:rPr>
                <w:rStyle w:val="TableText"/>
                <w:sz w:val="17"/>
                <w:szCs w:val="17"/>
              </w:rPr>
            </w:pPr>
            <w:hyperlink r:id="rId17" w:history="1">
              <w:r w:rsidR="00B37C09" w:rsidRPr="00671399">
                <w:rPr>
                  <w:rStyle w:val="Hyperlink"/>
                  <w:sz w:val="17"/>
                  <w:szCs w:val="17"/>
                </w:rPr>
                <w:t>Mod_23_11: Additional clause for Standard Letter of Credit</w:t>
              </w:r>
            </w:hyperlink>
          </w:p>
        </w:tc>
      </w:tr>
      <w:tr w:rsidR="00B37C09" w:rsidRPr="00E82CFD" w:rsidTr="00AB6BEF">
        <w:tc>
          <w:tcPr>
            <w:tcW w:w="5000" w:type="pct"/>
            <w:vAlign w:val="center"/>
          </w:tcPr>
          <w:p w:rsidR="00B37C09" w:rsidRPr="00E82CFD" w:rsidRDefault="00CA113C" w:rsidP="00FD3C5D">
            <w:pPr>
              <w:spacing w:before="0" w:after="0"/>
              <w:rPr>
                <w:rStyle w:val="TableText"/>
                <w:sz w:val="17"/>
                <w:szCs w:val="17"/>
              </w:rPr>
            </w:pPr>
            <w:hyperlink r:id="rId18" w:history="1">
              <w:r w:rsidR="00B37C09" w:rsidRPr="00671399">
                <w:rPr>
                  <w:rStyle w:val="Hyperlink"/>
                  <w:sz w:val="17"/>
                  <w:szCs w:val="17"/>
                </w:rPr>
                <w:t>Mod_29_11: Revision of Standard Letter of Credit Template</w:t>
              </w:r>
            </w:hyperlink>
          </w:p>
        </w:tc>
      </w:tr>
      <w:tr w:rsidR="00B37C09" w:rsidRPr="001819EB" w:rsidTr="00AB6BEF">
        <w:tc>
          <w:tcPr>
            <w:tcW w:w="5000" w:type="pct"/>
            <w:vAlign w:val="center"/>
          </w:tcPr>
          <w:p w:rsidR="00B37C09" w:rsidRPr="001819EB" w:rsidRDefault="00CA113C" w:rsidP="00FD3C5D">
            <w:pPr>
              <w:spacing w:before="0" w:after="0"/>
              <w:rPr>
                <w:rStyle w:val="TableText"/>
                <w:sz w:val="17"/>
                <w:szCs w:val="17"/>
              </w:rPr>
            </w:pPr>
            <w:hyperlink r:id="rId19" w:history="1">
              <w:r w:rsidR="00B37C09" w:rsidRPr="00671399">
                <w:rPr>
                  <w:rStyle w:val="Hyperlink"/>
                  <w:sz w:val="17"/>
                  <w:szCs w:val="17"/>
                </w:rPr>
                <w:t>Mod_24_11: Reflection of Physical Fixity of Interconnector Flows in Operational Data Transactions</w:t>
              </w:r>
            </w:hyperlink>
          </w:p>
        </w:tc>
      </w:tr>
      <w:tr w:rsidR="00B37C09" w:rsidRPr="001819EB" w:rsidTr="00AB6BEF">
        <w:tc>
          <w:tcPr>
            <w:tcW w:w="5000" w:type="pct"/>
            <w:vAlign w:val="center"/>
          </w:tcPr>
          <w:p w:rsidR="00B37C09" w:rsidRPr="001819EB" w:rsidRDefault="00CA113C" w:rsidP="00FD3C5D">
            <w:pPr>
              <w:spacing w:before="0" w:after="0"/>
              <w:rPr>
                <w:rStyle w:val="TableText"/>
                <w:sz w:val="17"/>
                <w:szCs w:val="17"/>
              </w:rPr>
            </w:pPr>
            <w:hyperlink r:id="rId20" w:history="1">
              <w:r w:rsidR="00B37C09" w:rsidRPr="00671399">
                <w:rPr>
                  <w:rStyle w:val="Hyperlink"/>
                  <w:sz w:val="17"/>
                  <w:szCs w:val="17"/>
                </w:rPr>
                <w:t>Mod_25_11: Separate Residual Meter Volume Interval Proportions for each Jurisdiction</w:t>
              </w:r>
            </w:hyperlink>
          </w:p>
        </w:tc>
      </w:tr>
      <w:tr w:rsidR="00B37C09" w:rsidRPr="001819EB" w:rsidTr="00AB6BEF">
        <w:tc>
          <w:tcPr>
            <w:tcW w:w="5000" w:type="pct"/>
            <w:vAlign w:val="center"/>
          </w:tcPr>
          <w:p w:rsidR="00B37C09" w:rsidRPr="001819EB" w:rsidRDefault="00CA113C" w:rsidP="00FD3C5D">
            <w:pPr>
              <w:spacing w:before="0" w:after="0"/>
              <w:rPr>
                <w:rStyle w:val="TableText"/>
                <w:sz w:val="17"/>
                <w:szCs w:val="17"/>
              </w:rPr>
            </w:pPr>
            <w:hyperlink r:id="rId21" w:history="1">
              <w:r w:rsidR="00B37C09" w:rsidRPr="00671399">
                <w:rPr>
                  <w:rStyle w:val="Hyperlink"/>
                  <w:sz w:val="17"/>
                  <w:szCs w:val="17"/>
                </w:rPr>
                <w:t>Mod_26_11: Process change for assessing Firm Access Quantity of Trading Site (FAQSst)</w:t>
              </w:r>
            </w:hyperlink>
          </w:p>
        </w:tc>
      </w:tr>
      <w:tr w:rsidR="00B37C09" w:rsidTr="00AB6BEF">
        <w:tc>
          <w:tcPr>
            <w:tcW w:w="5000" w:type="pct"/>
            <w:vAlign w:val="center"/>
          </w:tcPr>
          <w:p w:rsidR="00B37C09" w:rsidRDefault="00CA113C" w:rsidP="00FD3C5D">
            <w:pPr>
              <w:spacing w:before="0" w:after="0"/>
              <w:rPr>
                <w:rStyle w:val="TableText"/>
                <w:sz w:val="17"/>
                <w:szCs w:val="17"/>
              </w:rPr>
            </w:pPr>
            <w:hyperlink r:id="rId22" w:history="1">
              <w:r w:rsidR="00B37C09" w:rsidRPr="00671399">
                <w:rPr>
                  <w:rStyle w:val="Hyperlink"/>
                  <w:sz w:val="17"/>
                  <w:szCs w:val="17"/>
                </w:rPr>
                <w:t>Mod_27_11: Market Operator Solver Policy</w:t>
              </w:r>
            </w:hyperlink>
          </w:p>
        </w:tc>
      </w:tr>
      <w:tr w:rsidR="00B37C09" w:rsidTr="00AB6BEF">
        <w:tc>
          <w:tcPr>
            <w:tcW w:w="5000" w:type="pct"/>
            <w:vAlign w:val="center"/>
          </w:tcPr>
          <w:p w:rsidR="00B37C09" w:rsidRDefault="00CA113C" w:rsidP="00FD3C5D">
            <w:pPr>
              <w:spacing w:before="0" w:after="0"/>
              <w:rPr>
                <w:rStyle w:val="TableText"/>
                <w:sz w:val="17"/>
                <w:szCs w:val="17"/>
              </w:rPr>
            </w:pPr>
            <w:hyperlink r:id="rId23" w:history="1">
              <w:r w:rsidR="00B37C09" w:rsidRPr="00671399">
                <w:rPr>
                  <w:rStyle w:val="Hyperlink"/>
                  <w:sz w:val="17"/>
                  <w:szCs w:val="17"/>
                </w:rPr>
                <w:t>Mod_28_11: Alignment of AP11 with Bi-Annual Release Strategy</w:t>
              </w:r>
            </w:hyperlink>
          </w:p>
        </w:tc>
      </w:tr>
    </w:tbl>
    <w:p w:rsidR="00B37C09" w:rsidRPr="00135A1E" w:rsidRDefault="00B37C09" w:rsidP="00031DAD"/>
    <w:p w:rsidR="00B37C09" w:rsidRDefault="00B37C09" w:rsidP="00C46FCB">
      <w:pPr>
        <w:pStyle w:val="UntitledHeading"/>
      </w:pPr>
      <w:r>
        <w:br w:type="page"/>
      </w:r>
      <w:r>
        <w:lastRenderedPageBreak/>
        <w:t>In Attendance</w:t>
      </w:r>
    </w:p>
    <w:tbl>
      <w:tblPr>
        <w:tblW w:w="3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2439"/>
        <w:gridCol w:w="2437"/>
      </w:tblGrid>
      <w:tr w:rsidR="00B37C09" w:rsidRPr="00135A1E" w:rsidTr="00831DF1">
        <w:trPr>
          <w:jc w:val="center"/>
        </w:trPr>
        <w:tc>
          <w:tcPr>
            <w:tcW w:w="1667" w:type="pct"/>
            <w:shd w:val="clear" w:color="auto" w:fill="548DD4"/>
          </w:tcPr>
          <w:p w:rsidR="00B37C09" w:rsidRPr="00F4198E" w:rsidRDefault="00B37C09" w:rsidP="003D3544">
            <w:pPr>
              <w:spacing w:before="40" w:after="40"/>
              <w:jc w:val="center"/>
              <w:rPr>
                <w:rFonts w:cs="Arial"/>
                <w:b/>
                <w:color w:val="FFFFFF"/>
                <w:sz w:val="16"/>
                <w:szCs w:val="16"/>
              </w:rPr>
            </w:pPr>
            <w:r w:rsidRPr="00F4198E">
              <w:rPr>
                <w:rFonts w:cs="Arial"/>
                <w:b/>
                <w:bCs/>
                <w:color w:val="000000"/>
                <w:sz w:val="16"/>
                <w:szCs w:val="16"/>
                <w:lang w:eastAsia="en-GB"/>
              </w:rPr>
              <w:t>Name</w:t>
            </w:r>
          </w:p>
        </w:tc>
        <w:tc>
          <w:tcPr>
            <w:tcW w:w="1667" w:type="pct"/>
            <w:shd w:val="clear" w:color="auto" w:fill="548DD4"/>
          </w:tcPr>
          <w:p w:rsidR="00B37C09" w:rsidRPr="00F4198E" w:rsidRDefault="00B37C09" w:rsidP="003D3544">
            <w:pPr>
              <w:spacing w:before="40" w:after="40"/>
              <w:jc w:val="center"/>
              <w:rPr>
                <w:rFonts w:cs="Arial"/>
                <w:b/>
                <w:color w:val="FFFFFF"/>
                <w:sz w:val="16"/>
                <w:szCs w:val="16"/>
              </w:rPr>
            </w:pPr>
            <w:r w:rsidRPr="00F4198E">
              <w:rPr>
                <w:rFonts w:cs="Arial"/>
                <w:b/>
                <w:bCs/>
                <w:color w:val="000000"/>
                <w:sz w:val="16"/>
                <w:szCs w:val="16"/>
                <w:lang w:eastAsia="en-GB"/>
              </w:rPr>
              <w:t>Company</w:t>
            </w:r>
          </w:p>
        </w:tc>
        <w:tc>
          <w:tcPr>
            <w:tcW w:w="1666" w:type="pct"/>
            <w:shd w:val="clear" w:color="auto" w:fill="548DD4"/>
          </w:tcPr>
          <w:p w:rsidR="00B37C09" w:rsidRPr="00F4198E" w:rsidRDefault="00B37C09" w:rsidP="003D3544">
            <w:pPr>
              <w:spacing w:before="40" w:after="40"/>
              <w:jc w:val="center"/>
              <w:rPr>
                <w:rFonts w:cs="Arial"/>
                <w:b/>
                <w:color w:val="FFFFFF"/>
                <w:sz w:val="16"/>
                <w:szCs w:val="16"/>
              </w:rPr>
            </w:pPr>
            <w:r w:rsidRPr="00F4198E">
              <w:rPr>
                <w:rFonts w:cs="Arial"/>
                <w:b/>
                <w:bCs/>
                <w:color w:val="000000"/>
                <w:sz w:val="16"/>
                <w:szCs w:val="16"/>
                <w:lang w:eastAsia="en-GB"/>
              </w:rPr>
              <w:t>Position</w:t>
            </w:r>
          </w:p>
        </w:tc>
      </w:tr>
      <w:tr w:rsidR="00B37C09" w:rsidRPr="0077334E" w:rsidTr="00831DF1">
        <w:trPr>
          <w:jc w:val="center"/>
        </w:trPr>
        <w:tc>
          <w:tcPr>
            <w:tcW w:w="5000" w:type="pct"/>
            <w:gridSpan w:val="3"/>
            <w:shd w:val="clear" w:color="auto" w:fill="DBE5F1"/>
          </w:tcPr>
          <w:p w:rsidR="00B37C09" w:rsidRPr="00F4198E" w:rsidRDefault="00B37C09" w:rsidP="003D3544">
            <w:pPr>
              <w:spacing w:before="40" w:after="40"/>
              <w:rPr>
                <w:rFonts w:cs="Arial"/>
                <w:b/>
                <w:sz w:val="16"/>
                <w:szCs w:val="16"/>
              </w:rPr>
            </w:pPr>
            <w:smartTag w:uri="urn:schemas-microsoft-com:office:smarttags" w:element="PersonName">
              <w:r w:rsidRPr="00F4198E">
                <w:rPr>
                  <w:rFonts w:cs="Arial"/>
                  <w:b/>
                  <w:bCs/>
                  <w:color w:val="000080"/>
                  <w:sz w:val="16"/>
                  <w:szCs w:val="16"/>
                </w:rPr>
                <w:t>Modifications</w:t>
              </w:r>
            </w:smartTag>
            <w:r w:rsidRPr="00F4198E">
              <w:rPr>
                <w:rFonts w:cs="Arial"/>
                <w:b/>
                <w:bCs/>
                <w:color w:val="000080"/>
                <w:sz w:val="16"/>
                <w:szCs w:val="16"/>
              </w:rPr>
              <w:t xml:space="preserve"> Committee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Aileen O’ Connor</w:t>
            </w:r>
          </w:p>
        </w:tc>
        <w:tc>
          <w:tcPr>
            <w:tcW w:w="1667" w:type="pct"/>
            <w:vAlign w:val="bottom"/>
          </w:tcPr>
          <w:p w:rsidR="00B37C09" w:rsidRPr="00F4198E" w:rsidRDefault="00B37C09" w:rsidP="003D3544">
            <w:pPr>
              <w:rPr>
                <w:rFonts w:cs="Arial"/>
                <w:sz w:val="16"/>
                <w:szCs w:val="16"/>
              </w:rPr>
            </w:pPr>
            <w:r w:rsidRPr="00F4198E">
              <w:rPr>
                <w:rFonts w:cs="Arial"/>
                <w:sz w:val="16"/>
                <w:szCs w:val="16"/>
              </w:rPr>
              <w:t>ESB Networks</w:t>
            </w:r>
          </w:p>
        </w:tc>
        <w:tc>
          <w:tcPr>
            <w:tcW w:w="1666" w:type="pct"/>
            <w:vAlign w:val="bottom"/>
          </w:tcPr>
          <w:p w:rsidR="00B37C09" w:rsidRPr="00F4198E" w:rsidRDefault="00B37C09" w:rsidP="003D3544">
            <w:pPr>
              <w:rPr>
                <w:rFonts w:cs="Arial"/>
                <w:sz w:val="16"/>
                <w:szCs w:val="16"/>
              </w:rPr>
            </w:pPr>
            <w:r w:rsidRPr="00F4198E">
              <w:rPr>
                <w:rFonts w:cs="Arial"/>
                <w:sz w:val="16"/>
                <w:szCs w:val="16"/>
              </w:rPr>
              <w:t>MDP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Andrew Burke</w:t>
            </w:r>
          </w:p>
        </w:tc>
        <w:tc>
          <w:tcPr>
            <w:tcW w:w="1667" w:type="pct"/>
            <w:vAlign w:val="bottom"/>
          </w:tcPr>
          <w:p w:rsidR="00B37C09" w:rsidRPr="00F4198E" w:rsidRDefault="00B37C09" w:rsidP="003D3544">
            <w:pPr>
              <w:rPr>
                <w:rFonts w:cs="Arial"/>
                <w:sz w:val="16"/>
                <w:szCs w:val="16"/>
              </w:rPr>
            </w:pPr>
            <w:r w:rsidRPr="00F4198E">
              <w:rPr>
                <w:rFonts w:cs="Arial"/>
                <w:sz w:val="16"/>
                <w:szCs w:val="16"/>
              </w:rPr>
              <w:t>ESBI</w:t>
            </w:r>
          </w:p>
        </w:tc>
        <w:tc>
          <w:tcPr>
            <w:tcW w:w="1666" w:type="pct"/>
            <w:vAlign w:val="bottom"/>
          </w:tcPr>
          <w:p w:rsidR="00B37C09" w:rsidRPr="00F4198E" w:rsidRDefault="00B37C09" w:rsidP="003D3544">
            <w:pPr>
              <w:rPr>
                <w:rFonts w:cs="Arial"/>
                <w:sz w:val="16"/>
                <w:szCs w:val="16"/>
              </w:rPr>
            </w:pPr>
            <w:r w:rsidRPr="00F4198E">
              <w:rPr>
                <w:rFonts w:cs="Arial"/>
                <w:sz w:val="16"/>
                <w:szCs w:val="16"/>
              </w:rPr>
              <w:t>Generator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Aodhagan Downey </w:t>
            </w:r>
          </w:p>
        </w:tc>
        <w:tc>
          <w:tcPr>
            <w:tcW w:w="1667" w:type="pct"/>
            <w:vAlign w:val="bottom"/>
          </w:tcPr>
          <w:p w:rsidR="00B37C09" w:rsidRPr="00F4198E" w:rsidRDefault="00B37C09" w:rsidP="003D3544">
            <w:pPr>
              <w:rPr>
                <w:rFonts w:cs="Arial"/>
                <w:sz w:val="16"/>
                <w:szCs w:val="16"/>
              </w:rPr>
            </w:pPr>
            <w:r w:rsidRPr="00F4198E">
              <w:rPr>
                <w:rFonts w:cs="Arial"/>
                <w:sz w:val="16"/>
                <w:szCs w:val="16"/>
              </w:rPr>
              <w:t>SEMO</w:t>
            </w:r>
          </w:p>
        </w:tc>
        <w:tc>
          <w:tcPr>
            <w:tcW w:w="1666" w:type="pct"/>
            <w:vAlign w:val="bottom"/>
          </w:tcPr>
          <w:p w:rsidR="00B37C09" w:rsidRPr="00F4198E" w:rsidRDefault="00B37C09" w:rsidP="003D3544">
            <w:pPr>
              <w:rPr>
                <w:rFonts w:cs="Arial"/>
                <w:sz w:val="16"/>
                <w:szCs w:val="16"/>
              </w:rPr>
            </w:pPr>
            <w:r w:rsidRPr="00F4198E">
              <w:rPr>
                <w:rFonts w:cs="Arial"/>
                <w:sz w:val="16"/>
                <w:szCs w:val="16"/>
              </w:rPr>
              <w:t>MO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Brian Mongan</w:t>
            </w:r>
          </w:p>
        </w:tc>
        <w:tc>
          <w:tcPr>
            <w:tcW w:w="1667" w:type="pct"/>
            <w:vAlign w:val="bottom"/>
          </w:tcPr>
          <w:p w:rsidR="00B37C09" w:rsidRPr="00F4198E" w:rsidRDefault="00B37C09" w:rsidP="003D3544">
            <w:pPr>
              <w:rPr>
                <w:rFonts w:cs="Arial"/>
                <w:sz w:val="16"/>
                <w:szCs w:val="16"/>
              </w:rPr>
            </w:pPr>
            <w:r w:rsidRPr="00F4198E">
              <w:rPr>
                <w:rFonts w:cs="Arial"/>
                <w:sz w:val="16"/>
                <w:szCs w:val="16"/>
              </w:rPr>
              <w:t>AES</w:t>
            </w:r>
          </w:p>
        </w:tc>
        <w:tc>
          <w:tcPr>
            <w:tcW w:w="1666" w:type="pct"/>
            <w:vAlign w:val="bottom"/>
          </w:tcPr>
          <w:p w:rsidR="00B37C09" w:rsidRPr="00F4198E" w:rsidRDefault="00B37C09" w:rsidP="003D3544">
            <w:pPr>
              <w:rPr>
                <w:rFonts w:cs="Arial"/>
                <w:sz w:val="16"/>
                <w:szCs w:val="16"/>
              </w:rPr>
            </w:pPr>
            <w:r w:rsidRPr="00F4198E">
              <w:rPr>
                <w:rFonts w:cs="Arial"/>
                <w:sz w:val="16"/>
                <w:szCs w:val="16"/>
              </w:rPr>
              <w:t>Generator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Emeka Chukwureh</w:t>
            </w:r>
          </w:p>
        </w:tc>
        <w:tc>
          <w:tcPr>
            <w:tcW w:w="1667" w:type="pct"/>
            <w:vAlign w:val="bottom"/>
          </w:tcPr>
          <w:p w:rsidR="00B37C09" w:rsidRPr="00F4198E" w:rsidRDefault="00B37C09" w:rsidP="003D3544">
            <w:pPr>
              <w:rPr>
                <w:rFonts w:cs="Arial"/>
                <w:sz w:val="16"/>
                <w:szCs w:val="16"/>
              </w:rPr>
            </w:pPr>
            <w:r w:rsidRPr="00F4198E">
              <w:rPr>
                <w:rFonts w:cs="Arial"/>
                <w:sz w:val="16"/>
                <w:szCs w:val="16"/>
              </w:rPr>
              <w:t>Airtricity</w:t>
            </w:r>
          </w:p>
        </w:tc>
        <w:tc>
          <w:tcPr>
            <w:tcW w:w="1666" w:type="pct"/>
            <w:vAlign w:val="bottom"/>
          </w:tcPr>
          <w:p w:rsidR="00B37C09" w:rsidRPr="00F4198E" w:rsidRDefault="00B37C09" w:rsidP="003D3544">
            <w:pPr>
              <w:rPr>
                <w:rFonts w:cs="Arial"/>
                <w:sz w:val="16"/>
                <w:szCs w:val="16"/>
              </w:rPr>
            </w:pPr>
            <w:r w:rsidRPr="00F4198E">
              <w:rPr>
                <w:rFonts w:cs="Arial"/>
                <w:sz w:val="16"/>
                <w:szCs w:val="16"/>
              </w:rPr>
              <w:t>Supplier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Iain Wright</w:t>
            </w:r>
          </w:p>
        </w:tc>
        <w:tc>
          <w:tcPr>
            <w:tcW w:w="1667" w:type="pct"/>
            <w:vAlign w:val="bottom"/>
          </w:tcPr>
          <w:p w:rsidR="00B37C09" w:rsidRPr="00F4198E" w:rsidRDefault="00B37C09" w:rsidP="003D3544">
            <w:pPr>
              <w:rPr>
                <w:rFonts w:cs="Arial"/>
                <w:sz w:val="16"/>
                <w:szCs w:val="16"/>
              </w:rPr>
            </w:pPr>
            <w:r w:rsidRPr="00F4198E">
              <w:rPr>
                <w:rFonts w:cs="Arial"/>
                <w:sz w:val="16"/>
                <w:szCs w:val="16"/>
              </w:rPr>
              <w:t>Airtricity</w:t>
            </w:r>
          </w:p>
        </w:tc>
        <w:tc>
          <w:tcPr>
            <w:tcW w:w="1666" w:type="pct"/>
            <w:vAlign w:val="bottom"/>
          </w:tcPr>
          <w:p w:rsidR="00B37C09" w:rsidRPr="00F4198E" w:rsidRDefault="00B37C09" w:rsidP="003D3544">
            <w:pPr>
              <w:rPr>
                <w:rFonts w:cs="Arial"/>
                <w:sz w:val="16"/>
                <w:szCs w:val="16"/>
              </w:rPr>
            </w:pPr>
            <w:r w:rsidRPr="00F4198E">
              <w:rPr>
                <w:rFonts w:cs="Arial"/>
                <w:sz w:val="16"/>
                <w:szCs w:val="16"/>
              </w:rPr>
              <w:t>Supplier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smartTag w:uri="urn:schemas-microsoft-com:office:smarttags" w:element="PersonName">
              <w:r w:rsidRPr="00F4198E">
                <w:rPr>
                  <w:rFonts w:cs="Arial"/>
                  <w:sz w:val="16"/>
                  <w:szCs w:val="16"/>
                </w:rPr>
                <w:t>Jean Pierre Miura</w:t>
              </w:r>
            </w:smartTag>
          </w:p>
        </w:tc>
        <w:tc>
          <w:tcPr>
            <w:tcW w:w="1667" w:type="pct"/>
            <w:vAlign w:val="bottom"/>
          </w:tcPr>
          <w:p w:rsidR="00B37C09" w:rsidRPr="00F4198E" w:rsidRDefault="00B37C09" w:rsidP="003D3544">
            <w:pPr>
              <w:rPr>
                <w:rFonts w:cs="Arial"/>
                <w:sz w:val="16"/>
                <w:szCs w:val="16"/>
              </w:rPr>
            </w:pPr>
            <w:r w:rsidRPr="00F4198E">
              <w:rPr>
                <w:rFonts w:cs="Arial"/>
                <w:sz w:val="16"/>
                <w:szCs w:val="16"/>
              </w:rPr>
              <w:t>NIAUR</w:t>
            </w:r>
          </w:p>
        </w:tc>
        <w:tc>
          <w:tcPr>
            <w:tcW w:w="1666" w:type="pct"/>
            <w:vAlign w:val="bottom"/>
          </w:tcPr>
          <w:p w:rsidR="00B37C09" w:rsidRPr="00F4198E" w:rsidRDefault="00B37C09" w:rsidP="003D3544">
            <w:pPr>
              <w:rPr>
                <w:rFonts w:cs="Arial"/>
                <w:sz w:val="16"/>
                <w:szCs w:val="16"/>
              </w:rPr>
            </w:pPr>
            <w:r w:rsidRPr="00F4198E">
              <w:rPr>
                <w:rFonts w:cs="Arial"/>
                <w:sz w:val="16"/>
                <w:szCs w:val="16"/>
              </w:rPr>
              <w:t>NIAUR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Jill Murray</w:t>
            </w:r>
          </w:p>
        </w:tc>
        <w:tc>
          <w:tcPr>
            <w:tcW w:w="1667" w:type="pct"/>
            <w:vAlign w:val="bottom"/>
          </w:tcPr>
          <w:p w:rsidR="00B37C09" w:rsidRPr="00F4198E" w:rsidRDefault="00B37C09" w:rsidP="0022541B">
            <w:pPr>
              <w:rPr>
                <w:rFonts w:cs="Arial"/>
                <w:sz w:val="16"/>
                <w:szCs w:val="16"/>
              </w:rPr>
            </w:pPr>
            <w:r w:rsidRPr="00F4198E">
              <w:rPr>
                <w:rFonts w:cs="Arial"/>
                <w:sz w:val="16"/>
                <w:szCs w:val="16"/>
              </w:rPr>
              <w:t>Bord G</w:t>
            </w:r>
            <w:r w:rsidR="0022541B">
              <w:rPr>
                <w:rFonts w:cs="Arial"/>
                <w:sz w:val="16"/>
                <w:szCs w:val="16"/>
              </w:rPr>
              <w:t>á</w:t>
            </w:r>
            <w:r w:rsidRPr="00F4198E">
              <w:rPr>
                <w:rFonts w:cs="Arial"/>
                <w:sz w:val="16"/>
                <w:szCs w:val="16"/>
              </w:rPr>
              <w:t>is</w:t>
            </w:r>
          </w:p>
        </w:tc>
        <w:tc>
          <w:tcPr>
            <w:tcW w:w="1666" w:type="pct"/>
            <w:vAlign w:val="bottom"/>
          </w:tcPr>
          <w:p w:rsidR="00B37C09" w:rsidRPr="00F4198E" w:rsidRDefault="00B37C09" w:rsidP="003D3544">
            <w:pPr>
              <w:rPr>
                <w:rFonts w:cs="Arial"/>
                <w:sz w:val="16"/>
                <w:szCs w:val="16"/>
              </w:rPr>
            </w:pPr>
            <w:r w:rsidRPr="00F4198E">
              <w:rPr>
                <w:rFonts w:cs="Arial"/>
                <w:sz w:val="16"/>
                <w:szCs w:val="16"/>
              </w:rPr>
              <w:t>Supplier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Karen Meneely</w:t>
            </w:r>
          </w:p>
        </w:tc>
        <w:tc>
          <w:tcPr>
            <w:tcW w:w="1667" w:type="pct"/>
            <w:vAlign w:val="bottom"/>
          </w:tcPr>
          <w:p w:rsidR="00B37C09" w:rsidRPr="00F4198E" w:rsidRDefault="00B37C09" w:rsidP="003D3544">
            <w:pPr>
              <w:rPr>
                <w:rFonts w:cs="Arial"/>
                <w:sz w:val="16"/>
                <w:szCs w:val="16"/>
              </w:rPr>
            </w:pPr>
            <w:r w:rsidRPr="00F4198E">
              <w:rPr>
                <w:rFonts w:cs="Arial"/>
                <w:sz w:val="16"/>
                <w:szCs w:val="16"/>
              </w:rPr>
              <w:t>NIE T&amp;D</w:t>
            </w:r>
          </w:p>
        </w:tc>
        <w:tc>
          <w:tcPr>
            <w:tcW w:w="1666" w:type="pct"/>
            <w:vAlign w:val="bottom"/>
          </w:tcPr>
          <w:p w:rsidR="00B37C09" w:rsidRPr="00F4198E" w:rsidRDefault="00B37C09" w:rsidP="003D3544">
            <w:pPr>
              <w:rPr>
                <w:rFonts w:cs="Arial"/>
                <w:sz w:val="16"/>
                <w:szCs w:val="16"/>
              </w:rPr>
            </w:pPr>
            <w:r w:rsidRPr="00F4198E">
              <w:rPr>
                <w:rFonts w:cs="Arial"/>
                <w:sz w:val="16"/>
                <w:szCs w:val="16"/>
              </w:rPr>
              <w:t>MDP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smartTag w:uri="urn:schemas-microsoft-com:office:smarttags" w:element="PersonName">
              <w:r w:rsidRPr="00F4198E">
                <w:rPr>
                  <w:rFonts w:cs="Arial"/>
                  <w:sz w:val="16"/>
                  <w:szCs w:val="16"/>
                </w:rPr>
                <w:t>Kevin Hannafin</w:t>
              </w:r>
            </w:smartTag>
            <w:r w:rsidRPr="00F4198E">
              <w:rPr>
                <w:rFonts w:cs="Arial"/>
                <w:sz w:val="16"/>
                <w:szCs w:val="16"/>
              </w:rPr>
              <w:t xml:space="preserve"> </w:t>
            </w:r>
          </w:p>
        </w:tc>
        <w:tc>
          <w:tcPr>
            <w:tcW w:w="1667" w:type="pct"/>
            <w:vAlign w:val="bottom"/>
          </w:tcPr>
          <w:p w:rsidR="00B37C09" w:rsidRPr="00F4198E" w:rsidRDefault="00B37C09" w:rsidP="003D3544">
            <w:pPr>
              <w:rPr>
                <w:rFonts w:cs="Arial"/>
                <w:sz w:val="16"/>
                <w:szCs w:val="16"/>
              </w:rPr>
            </w:pPr>
            <w:r w:rsidRPr="00F4198E">
              <w:rPr>
                <w:rFonts w:cs="Arial"/>
                <w:sz w:val="16"/>
                <w:szCs w:val="16"/>
              </w:rPr>
              <w:t>Viridian P&amp;E</w:t>
            </w:r>
          </w:p>
        </w:tc>
        <w:tc>
          <w:tcPr>
            <w:tcW w:w="1666" w:type="pct"/>
            <w:vAlign w:val="bottom"/>
          </w:tcPr>
          <w:p w:rsidR="00B37C09" w:rsidRPr="00F4198E" w:rsidRDefault="00B37C09" w:rsidP="003D3544">
            <w:pPr>
              <w:rPr>
                <w:rFonts w:cs="Arial"/>
                <w:sz w:val="16"/>
                <w:szCs w:val="16"/>
              </w:rPr>
            </w:pPr>
            <w:r w:rsidRPr="00F4198E">
              <w:rPr>
                <w:rFonts w:cs="Arial"/>
                <w:sz w:val="16"/>
                <w:szCs w:val="16"/>
              </w:rPr>
              <w:t xml:space="preserve">Generator Member </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Kris Kennedy </w:t>
            </w:r>
          </w:p>
        </w:tc>
        <w:tc>
          <w:tcPr>
            <w:tcW w:w="1667" w:type="pct"/>
            <w:vAlign w:val="bottom"/>
          </w:tcPr>
          <w:p w:rsidR="00B37C09" w:rsidRPr="00F4198E" w:rsidRDefault="00B37C09" w:rsidP="003D3544">
            <w:pPr>
              <w:rPr>
                <w:rFonts w:cs="Arial"/>
                <w:sz w:val="16"/>
                <w:szCs w:val="16"/>
              </w:rPr>
            </w:pPr>
            <w:r w:rsidRPr="00F4198E">
              <w:rPr>
                <w:rFonts w:cs="Arial"/>
                <w:sz w:val="16"/>
                <w:szCs w:val="16"/>
              </w:rPr>
              <w:t>SONI</w:t>
            </w:r>
          </w:p>
        </w:tc>
        <w:tc>
          <w:tcPr>
            <w:tcW w:w="1666" w:type="pct"/>
            <w:vAlign w:val="bottom"/>
          </w:tcPr>
          <w:p w:rsidR="00B37C09" w:rsidRPr="00F4198E" w:rsidRDefault="00B37C09" w:rsidP="003D3544">
            <w:pPr>
              <w:rPr>
                <w:rFonts w:cs="Arial"/>
                <w:sz w:val="16"/>
                <w:szCs w:val="16"/>
              </w:rPr>
            </w:pPr>
            <w:r w:rsidRPr="00F4198E">
              <w:rPr>
                <w:rFonts w:cs="Arial"/>
                <w:sz w:val="16"/>
                <w:szCs w:val="16"/>
              </w:rPr>
              <w:t>TSO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Mary Doorly</w:t>
            </w:r>
          </w:p>
        </w:tc>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IWEA </w:t>
            </w:r>
          </w:p>
        </w:tc>
        <w:tc>
          <w:tcPr>
            <w:tcW w:w="1666" w:type="pct"/>
            <w:vAlign w:val="bottom"/>
          </w:tcPr>
          <w:p w:rsidR="00B37C09" w:rsidRPr="00F4198E" w:rsidRDefault="00B37C09" w:rsidP="003D3544">
            <w:pPr>
              <w:rPr>
                <w:rFonts w:cs="Arial"/>
                <w:sz w:val="16"/>
                <w:szCs w:val="16"/>
              </w:rPr>
            </w:pPr>
            <w:r w:rsidRPr="00F4198E">
              <w:rPr>
                <w:rFonts w:cs="Arial"/>
                <w:sz w:val="16"/>
                <w:szCs w:val="16"/>
              </w:rPr>
              <w:t>Generator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Niamh Delaney </w:t>
            </w:r>
          </w:p>
        </w:tc>
        <w:tc>
          <w:tcPr>
            <w:tcW w:w="1667" w:type="pct"/>
            <w:vAlign w:val="bottom"/>
          </w:tcPr>
          <w:p w:rsidR="00B37C09" w:rsidRPr="00F4198E" w:rsidRDefault="00B37C09" w:rsidP="003D3544">
            <w:pPr>
              <w:rPr>
                <w:rFonts w:cs="Arial"/>
                <w:sz w:val="16"/>
                <w:szCs w:val="16"/>
              </w:rPr>
            </w:pPr>
            <w:r w:rsidRPr="00F4198E">
              <w:rPr>
                <w:rFonts w:cs="Arial"/>
                <w:sz w:val="16"/>
                <w:szCs w:val="16"/>
              </w:rPr>
              <w:t>SEMO</w:t>
            </w:r>
          </w:p>
        </w:tc>
        <w:tc>
          <w:tcPr>
            <w:tcW w:w="1666" w:type="pct"/>
            <w:vAlign w:val="bottom"/>
          </w:tcPr>
          <w:p w:rsidR="00B37C09" w:rsidRPr="00F4198E" w:rsidRDefault="00B37C09" w:rsidP="003D3544">
            <w:pPr>
              <w:rPr>
                <w:rFonts w:cs="Arial"/>
                <w:sz w:val="16"/>
                <w:szCs w:val="16"/>
              </w:rPr>
            </w:pPr>
            <w:r w:rsidRPr="00F4198E">
              <w:rPr>
                <w:rFonts w:cs="Arial"/>
                <w:sz w:val="16"/>
                <w:szCs w:val="16"/>
              </w:rPr>
              <w:t>MO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Niamh Quinn</w:t>
            </w:r>
          </w:p>
        </w:tc>
        <w:tc>
          <w:tcPr>
            <w:tcW w:w="1667" w:type="pct"/>
            <w:vAlign w:val="bottom"/>
          </w:tcPr>
          <w:p w:rsidR="00B37C09" w:rsidRPr="00F4198E" w:rsidRDefault="00B37C09" w:rsidP="003D3544">
            <w:pPr>
              <w:rPr>
                <w:rFonts w:cs="Arial"/>
                <w:sz w:val="16"/>
                <w:szCs w:val="16"/>
              </w:rPr>
            </w:pPr>
            <w:r w:rsidRPr="00F4198E">
              <w:rPr>
                <w:rFonts w:cs="Arial"/>
                <w:sz w:val="16"/>
                <w:szCs w:val="16"/>
              </w:rPr>
              <w:t>ESBI</w:t>
            </w:r>
          </w:p>
        </w:tc>
        <w:tc>
          <w:tcPr>
            <w:tcW w:w="1666" w:type="pct"/>
            <w:vAlign w:val="bottom"/>
          </w:tcPr>
          <w:p w:rsidR="00B37C09" w:rsidRPr="00F4198E" w:rsidRDefault="00B37C09" w:rsidP="003D3544">
            <w:pPr>
              <w:rPr>
                <w:rFonts w:cs="Arial"/>
                <w:sz w:val="16"/>
                <w:szCs w:val="16"/>
              </w:rPr>
            </w:pPr>
            <w:r w:rsidRPr="00F4198E">
              <w:rPr>
                <w:rFonts w:cs="Arial"/>
                <w:sz w:val="16"/>
                <w:szCs w:val="16"/>
              </w:rPr>
              <w:t>Generator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Sheenagh Rooney</w:t>
            </w:r>
          </w:p>
        </w:tc>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CER </w:t>
            </w:r>
          </w:p>
        </w:tc>
        <w:tc>
          <w:tcPr>
            <w:tcW w:w="1666" w:type="pct"/>
            <w:vAlign w:val="bottom"/>
          </w:tcPr>
          <w:p w:rsidR="00B37C09" w:rsidRPr="00F4198E" w:rsidRDefault="00B37C09" w:rsidP="003D3544">
            <w:pPr>
              <w:rPr>
                <w:rFonts w:cs="Arial"/>
                <w:sz w:val="16"/>
                <w:szCs w:val="16"/>
              </w:rPr>
            </w:pPr>
            <w:r w:rsidRPr="00F4198E">
              <w:rPr>
                <w:rFonts w:cs="Arial"/>
                <w:sz w:val="16"/>
                <w:szCs w:val="16"/>
              </w:rPr>
              <w:t>CER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Sonya Twohig</w:t>
            </w:r>
          </w:p>
        </w:tc>
        <w:tc>
          <w:tcPr>
            <w:tcW w:w="1667" w:type="pct"/>
            <w:vAlign w:val="bottom"/>
          </w:tcPr>
          <w:p w:rsidR="00B37C09" w:rsidRPr="00F4198E" w:rsidRDefault="00B37C09" w:rsidP="003D3544">
            <w:pPr>
              <w:rPr>
                <w:rFonts w:cs="Arial"/>
                <w:sz w:val="16"/>
                <w:szCs w:val="16"/>
              </w:rPr>
            </w:pPr>
            <w:r w:rsidRPr="00F4198E">
              <w:rPr>
                <w:rFonts w:cs="Arial"/>
                <w:sz w:val="16"/>
                <w:szCs w:val="16"/>
              </w:rPr>
              <w:t>EirGrid</w:t>
            </w:r>
          </w:p>
        </w:tc>
        <w:tc>
          <w:tcPr>
            <w:tcW w:w="1666" w:type="pct"/>
            <w:vAlign w:val="bottom"/>
          </w:tcPr>
          <w:p w:rsidR="00B37C09" w:rsidRPr="00F4198E" w:rsidRDefault="00B37C09" w:rsidP="003D3544">
            <w:pPr>
              <w:rPr>
                <w:rFonts w:cs="Arial"/>
                <w:sz w:val="16"/>
                <w:szCs w:val="16"/>
              </w:rPr>
            </w:pPr>
            <w:r w:rsidRPr="00F4198E">
              <w:rPr>
                <w:rFonts w:cs="Arial"/>
                <w:sz w:val="16"/>
                <w:szCs w:val="16"/>
              </w:rPr>
              <w:t>TSO Member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William Carr</w:t>
            </w:r>
          </w:p>
        </w:tc>
        <w:tc>
          <w:tcPr>
            <w:tcW w:w="1667" w:type="pct"/>
            <w:vAlign w:val="bottom"/>
          </w:tcPr>
          <w:p w:rsidR="00B37C09" w:rsidRPr="00F4198E" w:rsidRDefault="00B37C09" w:rsidP="003D3544">
            <w:pPr>
              <w:rPr>
                <w:rFonts w:cs="Arial"/>
                <w:sz w:val="16"/>
                <w:szCs w:val="16"/>
              </w:rPr>
            </w:pPr>
            <w:r w:rsidRPr="00F4198E">
              <w:rPr>
                <w:rFonts w:cs="Arial"/>
                <w:sz w:val="16"/>
                <w:szCs w:val="16"/>
              </w:rPr>
              <w:t>ESB Electric Ireland</w:t>
            </w:r>
          </w:p>
        </w:tc>
        <w:tc>
          <w:tcPr>
            <w:tcW w:w="1666" w:type="pct"/>
            <w:vAlign w:val="bottom"/>
          </w:tcPr>
          <w:p w:rsidR="00B37C09" w:rsidRPr="00F4198E" w:rsidRDefault="00B37C09" w:rsidP="003D3544">
            <w:pPr>
              <w:rPr>
                <w:rFonts w:cs="Arial"/>
                <w:sz w:val="16"/>
                <w:szCs w:val="16"/>
              </w:rPr>
            </w:pPr>
            <w:r w:rsidRPr="00F4198E">
              <w:rPr>
                <w:rFonts w:cs="Arial"/>
                <w:sz w:val="16"/>
                <w:szCs w:val="16"/>
              </w:rPr>
              <w:t>Supplier Alternate</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smartTag w:uri="urn:schemas-microsoft-com:office:smarttags" w:element="PersonName">
              <w:r w:rsidRPr="00F4198E">
                <w:rPr>
                  <w:rFonts w:cs="Arial"/>
                  <w:sz w:val="16"/>
                  <w:szCs w:val="16"/>
                </w:rPr>
                <w:t>William Steele</w:t>
              </w:r>
            </w:smartTag>
          </w:p>
        </w:tc>
        <w:tc>
          <w:tcPr>
            <w:tcW w:w="1667" w:type="pct"/>
            <w:vAlign w:val="bottom"/>
          </w:tcPr>
          <w:p w:rsidR="00B37C09" w:rsidRPr="00F4198E" w:rsidRDefault="00B37C09" w:rsidP="003D3544">
            <w:pPr>
              <w:rPr>
                <w:rFonts w:cs="Arial"/>
                <w:sz w:val="16"/>
                <w:szCs w:val="16"/>
              </w:rPr>
            </w:pPr>
            <w:r w:rsidRPr="00F4198E">
              <w:rPr>
                <w:rFonts w:cs="Arial"/>
                <w:sz w:val="16"/>
                <w:szCs w:val="16"/>
              </w:rPr>
              <w:t>NIE Energy Supply</w:t>
            </w:r>
          </w:p>
        </w:tc>
        <w:tc>
          <w:tcPr>
            <w:tcW w:w="1666" w:type="pct"/>
            <w:vAlign w:val="bottom"/>
          </w:tcPr>
          <w:p w:rsidR="00B37C09" w:rsidRPr="00F4198E" w:rsidRDefault="00B37C09" w:rsidP="003D3544">
            <w:pPr>
              <w:rPr>
                <w:rFonts w:cs="Arial"/>
                <w:sz w:val="16"/>
                <w:szCs w:val="16"/>
              </w:rPr>
            </w:pPr>
            <w:r w:rsidRPr="00F4198E">
              <w:rPr>
                <w:rFonts w:cs="Arial"/>
                <w:sz w:val="16"/>
                <w:szCs w:val="16"/>
              </w:rPr>
              <w:t>Supplier Member</w:t>
            </w:r>
          </w:p>
        </w:tc>
      </w:tr>
      <w:tr w:rsidR="00B37C09" w:rsidRPr="0077334E" w:rsidTr="00831DF1">
        <w:trPr>
          <w:jc w:val="center"/>
        </w:trPr>
        <w:tc>
          <w:tcPr>
            <w:tcW w:w="5000" w:type="pct"/>
            <w:gridSpan w:val="3"/>
            <w:shd w:val="clear" w:color="auto" w:fill="DBE5F1"/>
          </w:tcPr>
          <w:p w:rsidR="00B37C09" w:rsidRPr="00F4198E" w:rsidRDefault="00B37C09" w:rsidP="00831DF1">
            <w:pPr>
              <w:spacing w:before="40" w:after="40"/>
              <w:rPr>
                <w:rFonts w:cs="Arial"/>
                <w:b/>
                <w:sz w:val="16"/>
                <w:szCs w:val="16"/>
              </w:rPr>
            </w:pPr>
            <w:r w:rsidRPr="00F4198E">
              <w:rPr>
                <w:rFonts w:cs="Arial"/>
                <w:b/>
                <w:bCs/>
                <w:color w:val="000080"/>
                <w:sz w:val="16"/>
                <w:szCs w:val="16"/>
              </w:rPr>
              <w:t>Secretariat</w:t>
            </w:r>
          </w:p>
        </w:tc>
      </w:tr>
      <w:tr w:rsidR="00B37C09" w:rsidRPr="0077334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Aisling O'Donnell</w:t>
            </w:r>
          </w:p>
        </w:tc>
        <w:tc>
          <w:tcPr>
            <w:tcW w:w="1667" w:type="pct"/>
            <w:vAlign w:val="bottom"/>
          </w:tcPr>
          <w:p w:rsidR="00B37C09" w:rsidRPr="00F4198E" w:rsidRDefault="00B37C09" w:rsidP="003D3544">
            <w:pPr>
              <w:rPr>
                <w:rFonts w:cs="Arial"/>
                <w:sz w:val="16"/>
                <w:szCs w:val="16"/>
              </w:rPr>
            </w:pPr>
            <w:r w:rsidRPr="00F4198E">
              <w:rPr>
                <w:rFonts w:cs="Arial"/>
                <w:sz w:val="16"/>
                <w:szCs w:val="16"/>
              </w:rPr>
              <w:t>SEMO</w:t>
            </w:r>
          </w:p>
        </w:tc>
        <w:tc>
          <w:tcPr>
            <w:tcW w:w="1666" w:type="pct"/>
            <w:vAlign w:val="bottom"/>
          </w:tcPr>
          <w:p w:rsidR="00B37C09" w:rsidRPr="00F4198E" w:rsidRDefault="00B37C09" w:rsidP="003D3544">
            <w:pPr>
              <w:rPr>
                <w:rFonts w:cs="Arial"/>
                <w:sz w:val="16"/>
                <w:szCs w:val="16"/>
              </w:rPr>
            </w:pPr>
            <w:r w:rsidRPr="00F4198E">
              <w:rPr>
                <w:rFonts w:cs="Arial"/>
                <w:sz w:val="16"/>
                <w:szCs w:val="16"/>
              </w:rPr>
              <w:t>Secretariat</w:t>
            </w:r>
          </w:p>
        </w:tc>
      </w:tr>
      <w:tr w:rsidR="00B37C09" w:rsidRPr="0077334E" w:rsidTr="003D3544">
        <w:trPr>
          <w:jc w:val="center"/>
        </w:trPr>
        <w:tc>
          <w:tcPr>
            <w:tcW w:w="1667" w:type="pct"/>
            <w:vAlign w:val="bottom"/>
          </w:tcPr>
          <w:p w:rsidR="00B37C09" w:rsidRPr="00F4198E" w:rsidRDefault="00B37C09" w:rsidP="003D3544">
            <w:pPr>
              <w:rPr>
                <w:rFonts w:cs="Arial"/>
                <w:sz w:val="16"/>
                <w:szCs w:val="16"/>
              </w:rPr>
            </w:pPr>
            <w:smartTag w:uri="urn:schemas-microsoft-com:office:smarttags" w:element="PersonName">
              <w:r w:rsidRPr="00F4198E">
                <w:rPr>
                  <w:rFonts w:cs="Arial"/>
                  <w:sz w:val="16"/>
                  <w:szCs w:val="16"/>
                </w:rPr>
                <w:t>Sherine King</w:t>
              </w:r>
            </w:smartTag>
          </w:p>
        </w:tc>
        <w:tc>
          <w:tcPr>
            <w:tcW w:w="1667" w:type="pct"/>
            <w:vAlign w:val="bottom"/>
          </w:tcPr>
          <w:p w:rsidR="00B37C09" w:rsidRPr="00F4198E" w:rsidRDefault="00B37C09" w:rsidP="003D3544">
            <w:pPr>
              <w:rPr>
                <w:rFonts w:cs="Arial"/>
                <w:sz w:val="16"/>
                <w:szCs w:val="16"/>
              </w:rPr>
            </w:pPr>
            <w:r w:rsidRPr="00F4198E">
              <w:rPr>
                <w:rFonts w:cs="Arial"/>
                <w:sz w:val="16"/>
                <w:szCs w:val="16"/>
              </w:rPr>
              <w:t>SEMO</w:t>
            </w:r>
          </w:p>
        </w:tc>
        <w:tc>
          <w:tcPr>
            <w:tcW w:w="1666" w:type="pct"/>
            <w:vAlign w:val="bottom"/>
          </w:tcPr>
          <w:p w:rsidR="00B37C09" w:rsidRPr="00F4198E" w:rsidRDefault="00B37C09" w:rsidP="003D3544">
            <w:pPr>
              <w:rPr>
                <w:rFonts w:cs="Arial"/>
                <w:sz w:val="16"/>
                <w:szCs w:val="16"/>
              </w:rPr>
            </w:pPr>
            <w:r w:rsidRPr="00F4198E">
              <w:rPr>
                <w:rFonts w:cs="Arial"/>
                <w:sz w:val="16"/>
                <w:szCs w:val="16"/>
              </w:rPr>
              <w:t>Secretariat</w:t>
            </w:r>
          </w:p>
        </w:tc>
      </w:tr>
      <w:tr w:rsidR="00B37C09" w:rsidRPr="0077334E" w:rsidTr="00831DF1">
        <w:trPr>
          <w:jc w:val="center"/>
        </w:trPr>
        <w:tc>
          <w:tcPr>
            <w:tcW w:w="5000" w:type="pct"/>
            <w:gridSpan w:val="3"/>
            <w:shd w:val="clear" w:color="auto" w:fill="DBE5F1"/>
          </w:tcPr>
          <w:p w:rsidR="00B37C09" w:rsidRPr="00F4198E" w:rsidRDefault="00B37C09" w:rsidP="003D3544">
            <w:pPr>
              <w:spacing w:before="40" w:after="40"/>
              <w:rPr>
                <w:rFonts w:cs="Arial"/>
                <w:b/>
                <w:sz w:val="16"/>
                <w:szCs w:val="16"/>
              </w:rPr>
            </w:pPr>
            <w:r w:rsidRPr="00F4198E">
              <w:rPr>
                <w:rFonts w:cs="Arial"/>
                <w:b/>
                <w:bCs/>
                <w:color w:val="000080"/>
                <w:sz w:val="16"/>
                <w:szCs w:val="16"/>
              </w:rPr>
              <w:t>Observers</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David Macartney</w:t>
            </w:r>
          </w:p>
        </w:tc>
        <w:tc>
          <w:tcPr>
            <w:tcW w:w="1667" w:type="pct"/>
            <w:vAlign w:val="bottom"/>
          </w:tcPr>
          <w:p w:rsidR="00B37C09" w:rsidRPr="00F4198E" w:rsidRDefault="00B37C09" w:rsidP="003D3544">
            <w:pPr>
              <w:rPr>
                <w:rFonts w:cs="Arial"/>
                <w:sz w:val="16"/>
                <w:szCs w:val="16"/>
              </w:rPr>
            </w:pPr>
            <w:r w:rsidRPr="00F4198E">
              <w:rPr>
                <w:rFonts w:cs="Arial"/>
                <w:sz w:val="16"/>
                <w:szCs w:val="16"/>
              </w:rPr>
              <w:t>NIE Energy</w:t>
            </w:r>
          </w:p>
        </w:tc>
        <w:tc>
          <w:tcPr>
            <w:tcW w:w="1666" w:type="pct"/>
            <w:vAlign w:val="bottom"/>
          </w:tcPr>
          <w:p w:rsidR="00B37C09" w:rsidRPr="00F4198E" w:rsidRDefault="00B37C09" w:rsidP="003D3544">
            <w:pPr>
              <w:rPr>
                <w:rFonts w:cs="Arial"/>
                <w:sz w:val="16"/>
                <w:szCs w:val="16"/>
              </w:rPr>
            </w:pPr>
            <w:r w:rsidRPr="00F4198E">
              <w:rPr>
                <w:rFonts w:cs="Arial"/>
                <w:sz w:val="16"/>
                <w:szCs w:val="16"/>
              </w:rPr>
              <w:t>Observer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Grainne O’ Shea</w:t>
            </w:r>
          </w:p>
        </w:tc>
        <w:tc>
          <w:tcPr>
            <w:tcW w:w="1667" w:type="pct"/>
            <w:vAlign w:val="bottom"/>
          </w:tcPr>
          <w:p w:rsidR="00B37C09" w:rsidRPr="00F4198E" w:rsidRDefault="00B37C09" w:rsidP="003D3544">
            <w:pPr>
              <w:rPr>
                <w:rFonts w:cs="Arial"/>
                <w:sz w:val="16"/>
                <w:szCs w:val="16"/>
              </w:rPr>
            </w:pPr>
            <w:r w:rsidRPr="00F4198E">
              <w:rPr>
                <w:rFonts w:cs="Arial"/>
                <w:sz w:val="16"/>
                <w:szCs w:val="16"/>
              </w:rPr>
              <w:t>ESB PG</w:t>
            </w:r>
          </w:p>
        </w:tc>
        <w:tc>
          <w:tcPr>
            <w:tcW w:w="1666" w:type="pct"/>
            <w:vAlign w:val="bottom"/>
          </w:tcPr>
          <w:p w:rsidR="00B37C09" w:rsidRPr="00F4198E" w:rsidRDefault="00B37C09" w:rsidP="003D3544">
            <w:pPr>
              <w:rPr>
                <w:rFonts w:cs="Arial"/>
                <w:sz w:val="16"/>
                <w:szCs w:val="16"/>
              </w:rPr>
            </w:pPr>
            <w:r w:rsidRPr="00F4198E">
              <w:rPr>
                <w:rFonts w:cs="Arial"/>
                <w:sz w:val="16"/>
                <w:szCs w:val="16"/>
              </w:rPr>
              <w:t>Observer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Mary Doyle</w:t>
            </w:r>
          </w:p>
        </w:tc>
        <w:tc>
          <w:tcPr>
            <w:tcW w:w="1667" w:type="pct"/>
            <w:vAlign w:val="bottom"/>
          </w:tcPr>
          <w:p w:rsidR="00B37C09" w:rsidRPr="00F4198E" w:rsidRDefault="00B37C09" w:rsidP="003D3544">
            <w:pPr>
              <w:rPr>
                <w:rFonts w:cs="Arial"/>
                <w:sz w:val="16"/>
                <w:szCs w:val="16"/>
              </w:rPr>
            </w:pPr>
            <w:r w:rsidRPr="00F4198E">
              <w:rPr>
                <w:rFonts w:cs="Arial"/>
                <w:sz w:val="16"/>
                <w:szCs w:val="16"/>
              </w:rPr>
              <w:t>SEMO</w:t>
            </w:r>
          </w:p>
        </w:tc>
        <w:tc>
          <w:tcPr>
            <w:tcW w:w="1666" w:type="pct"/>
            <w:vAlign w:val="bottom"/>
          </w:tcPr>
          <w:p w:rsidR="00B37C09" w:rsidRPr="00F4198E" w:rsidRDefault="00B37C09" w:rsidP="003D3544">
            <w:pPr>
              <w:rPr>
                <w:rFonts w:cs="Arial"/>
                <w:sz w:val="16"/>
                <w:szCs w:val="16"/>
              </w:rPr>
            </w:pPr>
            <w:r w:rsidRPr="00F4198E">
              <w:rPr>
                <w:rFonts w:cs="Arial"/>
                <w:sz w:val="16"/>
                <w:szCs w:val="16"/>
              </w:rPr>
              <w:t>Observer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Marian Troy </w:t>
            </w:r>
          </w:p>
        </w:tc>
        <w:tc>
          <w:tcPr>
            <w:tcW w:w="1667" w:type="pct"/>
            <w:vAlign w:val="bottom"/>
          </w:tcPr>
          <w:p w:rsidR="00B37C09" w:rsidRPr="00F4198E" w:rsidRDefault="00B37C09" w:rsidP="003D3544">
            <w:pPr>
              <w:rPr>
                <w:rFonts w:cs="Arial"/>
                <w:sz w:val="16"/>
                <w:szCs w:val="16"/>
              </w:rPr>
            </w:pPr>
            <w:r w:rsidRPr="00F4198E">
              <w:rPr>
                <w:rFonts w:cs="Arial"/>
                <w:sz w:val="16"/>
                <w:szCs w:val="16"/>
              </w:rPr>
              <w:t xml:space="preserve">Endesa </w:t>
            </w:r>
            <w:smartTag w:uri="urn:schemas-microsoft-com:office:smarttags" w:element="place">
              <w:smartTag w:uri="urn:schemas-microsoft-com:office:smarttags" w:element="country-region">
                <w:r w:rsidRPr="00F4198E">
                  <w:rPr>
                    <w:rFonts w:cs="Arial"/>
                    <w:sz w:val="16"/>
                    <w:szCs w:val="16"/>
                  </w:rPr>
                  <w:t>Ireland</w:t>
                </w:r>
              </w:smartTag>
            </w:smartTag>
          </w:p>
        </w:tc>
        <w:tc>
          <w:tcPr>
            <w:tcW w:w="1666" w:type="pct"/>
            <w:vAlign w:val="bottom"/>
          </w:tcPr>
          <w:p w:rsidR="00B37C09" w:rsidRPr="00F4198E" w:rsidRDefault="00B37C09" w:rsidP="003D3544">
            <w:pPr>
              <w:rPr>
                <w:rFonts w:cs="Arial"/>
                <w:sz w:val="16"/>
                <w:szCs w:val="16"/>
              </w:rPr>
            </w:pPr>
            <w:r w:rsidRPr="00F4198E">
              <w:rPr>
                <w:rFonts w:cs="Arial"/>
                <w:sz w:val="16"/>
                <w:szCs w:val="16"/>
              </w:rPr>
              <w:t>Observer</w:t>
            </w:r>
          </w:p>
        </w:tc>
      </w:tr>
      <w:tr w:rsidR="00B37C09" w:rsidRPr="00135A1E" w:rsidTr="003D3544">
        <w:trPr>
          <w:jc w:val="center"/>
        </w:trPr>
        <w:tc>
          <w:tcPr>
            <w:tcW w:w="1667" w:type="pct"/>
            <w:vAlign w:val="bottom"/>
          </w:tcPr>
          <w:p w:rsidR="00B37C09" w:rsidRPr="00F4198E" w:rsidRDefault="00B37C09" w:rsidP="003D3544">
            <w:pPr>
              <w:rPr>
                <w:rFonts w:cs="Arial"/>
                <w:sz w:val="16"/>
                <w:szCs w:val="16"/>
              </w:rPr>
            </w:pPr>
            <w:r w:rsidRPr="00F4198E">
              <w:rPr>
                <w:rFonts w:cs="Arial"/>
                <w:sz w:val="16"/>
                <w:szCs w:val="16"/>
              </w:rPr>
              <w:t>Sarah McKenna</w:t>
            </w:r>
          </w:p>
        </w:tc>
        <w:tc>
          <w:tcPr>
            <w:tcW w:w="1667" w:type="pct"/>
            <w:vAlign w:val="bottom"/>
          </w:tcPr>
          <w:p w:rsidR="00B37C09" w:rsidRPr="00F4198E" w:rsidRDefault="00B37C09" w:rsidP="003D3544">
            <w:pPr>
              <w:rPr>
                <w:rFonts w:cs="Arial"/>
                <w:sz w:val="16"/>
                <w:szCs w:val="16"/>
              </w:rPr>
            </w:pPr>
            <w:r w:rsidRPr="00F4198E">
              <w:rPr>
                <w:rFonts w:cs="Arial"/>
                <w:sz w:val="16"/>
                <w:szCs w:val="16"/>
              </w:rPr>
              <w:t>NIAUR</w:t>
            </w:r>
          </w:p>
        </w:tc>
        <w:tc>
          <w:tcPr>
            <w:tcW w:w="1666" w:type="pct"/>
            <w:vAlign w:val="bottom"/>
          </w:tcPr>
          <w:p w:rsidR="00B37C09" w:rsidRPr="00F4198E" w:rsidRDefault="00B37C09" w:rsidP="003D3544">
            <w:pPr>
              <w:rPr>
                <w:rFonts w:cs="Arial"/>
                <w:sz w:val="16"/>
                <w:szCs w:val="16"/>
              </w:rPr>
            </w:pPr>
            <w:r w:rsidRPr="00F4198E">
              <w:rPr>
                <w:rFonts w:cs="Arial"/>
                <w:sz w:val="16"/>
                <w:szCs w:val="16"/>
              </w:rPr>
              <w:t>Observer</w:t>
            </w:r>
          </w:p>
        </w:tc>
      </w:tr>
    </w:tbl>
    <w:p w:rsidR="00B37C09" w:rsidRDefault="00B37C09" w:rsidP="00C46FCB">
      <w:pPr>
        <w:pStyle w:val="UntitledHeading"/>
      </w:pPr>
    </w:p>
    <w:p w:rsidR="00B37C09" w:rsidRPr="00135A1E" w:rsidRDefault="00B37C09" w:rsidP="00D26C9A">
      <w:pPr>
        <w:pStyle w:val="Heading1"/>
        <w:numPr>
          <w:ilvl w:val="0"/>
          <w:numId w:val="18"/>
        </w:numPr>
      </w:pPr>
      <w:bookmarkStart w:id="4" w:name="_Toc301516610"/>
      <w:r>
        <w:lastRenderedPageBreak/>
        <w:t>SEMO Update</w:t>
      </w:r>
      <w:bookmarkEnd w:id="4"/>
    </w:p>
    <w:p w:rsidR="00B37C09" w:rsidRDefault="00B37C09" w:rsidP="005D4342">
      <w:pPr>
        <w:jc w:val="both"/>
        <w:rPr>
          <w:rFonts w:ascii="Lucida Sans Unicode" w:hAnsi="Lucida Sans Unicode" w:cs="Lucida Sans Unicode"/>
          <w:b/>
          <w:bCs/>
          <w:lang w:val="en-IE"/>
        </w:rPr>
      </w:pPr>
      <w:r>
        <w:rPr>
          <w:rFonts w:ascii="Lucida Sans Unicode" w:hAnsi="Lucida Sans Unicode" w:cs="Lucida Sans Unicode"/>
          <w:b/>
          <w:bCs/>
          <w:lang w:val="en-IE"/>
        </w:rPr>
        <w:tab/>
      </w:r>
    </w:p>
    <w:p w:rsidR="00B37C09" w:rsidRPr="005D4342" w:rsidRDefault="00B37C09" w:rsidP="005D4342">
      <w:pPr>
        <w:jc w:val="both"/>
        <w:rPr>
          <w:rFonts w:ascii="Lucida Sans Unicode" w:hAnsi="Lucida Sans Unicode" w:cs="Lucida Sans Unicode"/>
          <w:b/>
          <w:bCs/>
          <w:lang w:val="en-IE"/>
        </w:rPr>
      </w:pPr>
      <w:r>
        <w:t xml:space="preserve">Secretariat gave a </w:t>
      </w:r>
      <w:hyperlink r:id="rId24" w:history="1">
        <w:r w:rsidRPr="00B34FD1">
          <w:rPr>
            <w:rStyle w:val="Hyperlink"/>
          </w:rPr>
          <w:t>presentation</w:t>
        </w:r>
      </w:hyperlink>
      <w:r>
        <w:t xml:space="preserve"> on both Supplier and Generation activity and the outcome of the 2011 Elections. The new Members and Alternates are as follows:</w:t>
      </w:r>
    </w:p>
    <w:tbl>
      <w:tblPr>
        <w:tblW w:w="3749" w:type="pct"/>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2439"/>
        <w:gridCol w:w="2437"/>
      </w:tblGrid>
      <w:tr w:rsidR="00B37C09" w:rsidRPr="00135A1E" w:rsidTr="005D4342">
        <w:trPr>
          <w:jc w:val="center"/>
        </w:trPr>
        <w:tc>
          <w:tcPr>
            <w:tcW w:w="5000" w:type="pct"/>
            <w:gridSpan w:val="3"/>
            <w:shd w:val="clear" w:color="auto" w:fill="548DD4"/>
          </w:tcPr>
          <w:p w:rsidR="00B37C09" w:rsidRPr="00135A1E" w:rsidRDefault="00B37C09" w:rsidP="004D10DF">
            <w:pPr>
              <w:spacing w:before="40" w:after="40"/>
              <w:jc w:val="center"/>
              <w:rPr>
                <w:b/>
                <w:color w:val="FFFFFF"/>
                <w:sz w:val="16"/>
                <w:szCs w:val="16"/>
              </w:rPr>
            </w:pPr>
            <w:r>
              <w:rPr>
                <w:b/>
                <w:color w:val="FFFFFF"/>
                <w:sz w:val="16"/>
                <w:szCs w:val="16"/>
              </w:rPr>
              <w:t>Successful Candidates</w:t>
            </w:r>
          </w:p>
        </w:tc>
      </w:tr>
      <w:tr w:rsidR="00B37C09" w:rsidRPr="0077334E" w:rsidTr="00EF5143">
        <w:trPr>
          <w:trHeight w:val="382"/>
          <w:jc w:val="center"/>
        </w:trPr>
        <w:tc>
          <w:tcPr>
            <w:tcW w:w="1667" w:type="pct"/>
            <w:shd w:val="clear" w:color="auto" w:fill="DBE5F1"/>
          </w:tcPr>
          <w:p w:rsidR="00B37C09" w:rsidRPr="0077334E" w:rsidRDefault="00B37C09" w:rsidP="009C6EDF">
            <w:pPr>
              <w:spacing w:before="40" w:after="40"/>
              <w:rPr>
                <w:b/>
                <w:sz w:val="16"/>
                <w:szCs w:val="16"/>
              </w:rPr>
            </w:pPr>
            <w:r>
              <w:rPr>
                <w:b/>
                <w:sz w:val="16"/>
                <w:szCs w:val="16"/>
              </w:rPr>
              <w:t>Generation Representation</w:t>
            </w:r>
          </w:p>
        </w:tc>
        <w:tc>
          <w:tcPr>
            <w:tcW w:w="1667" w:type="pct"/>
            <w:shd w:val="clear" w:color="auto" w:fill="DBE5F1"/>
          </w:tcPr>
          <w:p w:rsidR="00B37C09" w:rsidRPr="0077334E" w:rsidRDefault="00B37C09" w:rsidP="009C6EDF">
            <w:pPr>
              <w:spacing w:before="40" w:after="40"/>
              <w:rPr>
                <w:b/>
                <w:sz w:val="16"/>
                <w:szCs w:val="16"/>
              </w:rPr>
            </w:pPr>
            <w:r>
              <w:rPr>
                <w:b/>
                <w:sz w:val="16"/>
                <w:szCs w:val="16"/>
              </w:rPr>
              <w:t>Member</w:t>
            </w:r>
          </w:p>
        </w:tc>
        <w:tc>
          <w:tcPr>
            <w:tcW w:w="1666" w:type="pct"/>
            <w:shd w:val="clear" w:color="auto" w:fill="DBE5F1"/>
          </w:tcPr>
          <w:p w:rsidR="00B37C09" w:rsidRPr="0077334E" w:rsidRDefault="00B37C09" w:rsidP="004D10DF">
            <w:pPr>
              <w:spacing w:before="40" w:after="40"/>
              <w:rPr>
                <w:b/>
                <w:sz w:val="16"/>
                <w:szCs w:val="16"/>
              </w:rPr>
            </w:pPr>
            <w:r>
              <w:rPr>
                <w:b/>
                <w:sz w:val="16"/>
                <w:szCs w:val="16"/>
              </w:rPr>
              <w:t>Alternate</w:t>
            </w:r>
          </w:p>
        </w:tc>
      </w:tr>
      <w:tr w:rsidR="00B37C09" w:rsidRPr="00135A1E" w:rsidTr="005D4342">
        <w:trPr>
          <w:jc w:val="center"/>
        </w:trPr>
        <w:tc>
          <w:tcPr>
            <w:tcW w:w="1667" w:type="pct"/>
          </w:tcPr>
          <w:p w:rsidR="00B37C09" w:rsidRPr="00135A1E" w:rsidRDefault="00B37C09" w:rsidP="004D10DF">
            <w:pPr>
              <w:spacing w:before="40" w:after="40"/>
              <w:rPr>
                <w:sz w:val="16"/>
                <w:szCs w:val="16"/>
              </w:rPr>
            </w:pPr>
            <w:r>
              <w:rPr>
                <w:sz w:val="16"/>
                <w:szCs w:val="16"/>
              </w:rPr>
              <w:t>IWEA</w:t>
            </w:r>
          </w:p>
        </w:tc>
        <w:tc>
          <w:tcPr>
            <w:tcW w:w="1667" w:type="pct"/>
          </w:tcPr>
          <w:p w:rsidR="00B37C09" w:rsidRPr="00135A1E" w:rsidRDefault="00B37C09" w:rsidP="004D10DF">
            <w:pPr>
              <w:spacing w:before="40" w:after="40"/>
              <w:rPr>
                <w:sz w:val="16"/>
                <w:szCs w:val="16"/>
              </w:rPr>
            </w:pPr>
            <w:r>
              <w:rPr>
                <w:sz w:val="16"/>
                <w:szCs w:val="16"/>
              </w:rPr>
              <w:t>Catriona Diviney</w:t>
            </w:r>
          </w:p>
        </w:tc>
        <w:tc>
          <w:tcPr>
            <w:tcW w:w="1666" w:type="pct"/>
          </w:tcPr>
          <w:p w:rsidR="00B37C09" w:rsidRPr="00135A1E" w:rsidRDefault="00B37C09" w:rsidP="004D10DF">
            <w:pPr>
              <w:spacing w:before="40" w:after="40"/>
              <w:rPr>
                <w:sz w:val="16"/>
                <w:szCs w:val="16"/>
              </w:rPr>
            </w:pPr>
            <w:r>
              <w:rPr>
                <w:sz w:val="16"/>
                <w:szCs w:val="16"/>
              </w:rPr>
              <w:t>Mary Doorly</w:t>
            </w:r>
          </w:p>
        </w:tc>
      </w:tr>
      <w:tr w:rsidR="00B37C09" w:rsidRPr="00135A1E" w:rsidTr="005D4342">
        <w:trPr>
          <w:jc w:val="center"/>
        </w:trPr>
        <w:tc>
          <w:tcPr>
            <w:tcW w:w="1667" w:type="pct"/>
          </w:tcPr>
          <w:p w:rsidR="00B37C09" w:rsidRDefault="00B37C09" w:rsidP="004D10DF">
            <w:pPr>
              <w:spacing w:before="40" w:after="40"/>
              <w:rPr>
                <w:sz w:val="16"/>
                <w:szCs w:val="16"/>
              </w:rPr>
            </w:pPr>
            <w:r>
              <w:rPr>
                <w:sz w:val="16"/>
                <w:szCs w:val="16"/>
              </w:rPr>
              <w:t>Viridian Power &amp; Energy</w:t>
            </w:r>
          </w:p>
        </w:tc>
        <w:tc>
          <w:tcPr>
            <w:tcW w:w="1667" w:type="pct"/>
          </w:tcPr>
          <w:p w:rsidR="00B37C09" w:rsidRPr="00135A1E" w:rsidRDefault="00B37C09" w:rsidP="004D10DF">
            <w:pPr>
              <w:spacing w:before="40" w:after="40"/>
              <w:rPr>
                <w:sz w:val="16"/>
                <w:szCs w:val="16"/>
              </w:rPr>
            </w:pPr>
            <w:r>
              <w:rPr>
                <w:sz w:val="16"/>
                <w:szCs w:val="16"/>
              </w:rPr>
              <w:t>Kevin Hannafin</w:t>
            </w:r>
          </w:p>
        </w:tc>
        <w:tc>
          <w:tcPr>
            <w:tcW w:w="1666" w:type="pct"/>
          </w:tcPr>
          <w:p w:rsidR="00B37C09" w:rsidRPr="00135A1E" w:rsidRDefault="00B37C09" w:rsidP="004D10DF">
            <w:pPr>
              <w:spacing w:before="40" w:after="40"/>
              <w:rPr>
                <w:sz w:val="16"/>
                <w:szCs w:val="16"/>
              </w:rPr>
            </w:pPr>
            <w:r>
              <w:rPr>
                <w:sz w:val="16"/>
                <w:szCs w:val="16"/>
              </w:rPr>
              <w:t>Derek Scully</w:t>
            </w:r>
          </w:p>
        </w:tc>
      </w:tr>
      <w:tr w:rsidR="00B37C09" w:rsidRPr="0077334E" w:rsidTr="005D4342">
        <w:trPr>
          <w:jc w:val="center"/>
        </w:trPr>
        <w:tc>
          <w:tcPr>
            <w:tcW w:w="1667" w:type="pct"/>
            <w:shd w:val="clear" w:color="auto" w:fill="DBE5F1"/>
          </w:tcPr>
          <w:p w:rsidR="00B37C09" w:rsidRPr="0077334E" w:rsidRDefault="00B37C09" w:rsidP="004D10DF">
            <w:pPr>
              <w:spacing w:before="40" w:after="40"/>
              <w:rPr>
                <w:b/>
                <w:sz w:val="16"/>
                <w:szCs w:val="16"/>
              </w:rPr>
            </w:pPr>
            <w:r>
              <w:rPr>
                <w:b/>
                <w:sz w:val="16"/>
                <w:szCs w:val="16"/>
              </w:rPr>
              <w:t>Supplier Representation</w:t>
            </w:r>
          </w:p>
        </w:tc>
        <w:tc>
          <w:tcPr>
            <w:tcW w:w="1667" w:type="pct"/>
            <w:shd w:val="clear" w:color="auto" w:fill="DBE5F1"/>
          </w:tcPr>
          <w:p w:rsidR="00B37C09" w:rsidRPr="0077334E" w:rsidRDefault="00B37C09" w:rsidP="004D10DF">
            <w:pPr>
              <w:spacing w:before="40" w:after="40"/>
              <w:rPr>
                <w:b/>
                <w:sz w:val="16"/>
                <w:szCs w:val="16"/>
              </w:rPr>
            </w:pPr>
            <w:r>
              <w:rPr>
                <w:b/>
                <w:sz w:val="16"/>
                <w:szCs w:val="16"/>
              </w:rPr>
              <w:t>Member</w:t>
            </w:r>
          </w:p>
        </w:tc>
        <w:tc>
          <w:tcPr>
            <w:tcW w:w="1666" w:type="pct"/>
            <w:shd w:val="clear" w:color="auto" w:fill="DBE5F1"/>
          </w:tcPr>
          <w:p w:rsidR="00B37C09" w:rsidRPr="0077334E" w:rsidRDefault="00B37C09" w:rsidP="004D10DF">
            <w:pPr>
              <w:spacing w:before="40" w:after="40"/>
              <w:rPr>
                <w:b/>
                <w:sz w:val="16"/>
                <w:szCs w:val="16"/>
              </w:rPr>
            </w:pPr>
            <w:r>
              <w:rPr>
                <w:b/>
                <w:sz w:val="16"/>
                <w:szCs w:val="16"/>
              </w:rPr>
              <w:t>Alternate</w:t>
            </w:r>
          </w:p>
        </w:tc>
      </w:tr>
      <w:tr w:rsidR="00B37C09" w:rsidRPr="00135A1E" w:rsidTr="005D4342">
        <w:trPr>
          <w:jc w:val="center"/>
        </w:trPr>
        <w:tc>
          <w:tcPr>
            <w:tcW w:w="1667" w:type="pct"/>
          </w:tcPr>
          <w:p w:rsidR="00B37C09" w:rsidRPr="00135A1E" w:rsidRDefault="00B37C09" w:rsidP="00367EF5">
            <w:pPr>
              <w:spacing w:before="40" w:after="40"/>
              <w:rPr>
                <w:sz w:val="16"/>
                <w:szCs w:val="16"/>
              </w:rPr>
            </w:pPr>
            <w:r>
              <w:rPr>
                <w:sz w:val="16"/>
                <w:szCs w:val="16"/>
              </w:rPr>
              <w:t>Bord G</w:t>
            </w:r>
            <w:r w:rsidR="00367EF5">
              <w:rPr>
                <w:rFonts w:cs="Arial"/>
                <w:sz w:val="16"/>
                <w:szCs w:val="16"/>
              </w:rPr>
              <w:t>á</w:t>
            </w:r>
            <w:r>
              <w:rPr>
                <w:sz w:val="16"/>
                <w:szCs w:val="16"/>
              </w:rPr>
              <w:t xml:space="preserve">is </w:t>
            </w:r>
          </w:p>
        </w:tc>
        <w:tc>
          <w:tcPr>
            <w:tcW w:w="1667" w:type="pct"/>
          </w:tcPr>
          <w:p w:rsidR="00B37C09" w:rsidRPr="00135A1E" w:rsidRDefault="00B37C09" w:rsidP="002E6AFD">
            <w:pPr>
              <w:spacing w:before="40" w:after="40"/>
              <w:rPr>
                <w:sz w:val="16"/>
                <w:szCs w:val="16"/>
              </w:rPr>
            </w:pPr>
            <w:r>
              <w:rPr>
                <w:sz w:val="16"/>
                <w:szCs w:val="16"/>
              </w:rPr>
              <w:t>Jill Murray</w:t>
            </w:r>
          </w:p>
        </w:tc>
        <w:tc>
          <w:tcPr>
            <w:tcW w:w="1666" w:type="pct"/>
          </w:tcPr>
          <w:p w:rsidR="00B37C09" w:rsidRPr="00135A1E" w:rsidRDefault="00B37C09" w:rsidP="004D10DF">
            <w:pPr>
              <w:spacing w:before="40" w:after="40"/>
              <w:rPr>
                <w:sz w:val="16"/>
                <w:szCs w:val="16"/>
              </w:rPr>
            </w:pPr>
            <w:r>
              <w:rPr>
                <w:sz w:val="16"/>
                <w:szCs w:val="16"/>
              </w:rPr>
              <w:t>Joe Collins</w:t>
            </w:r>
          </w:p>
        </w:tc>
      </w:tr>
      <w:tr w:rsidR="00B37C09" w:rsidRPr="00135A1E" w:rsidTr="005D4342">
        <w:trPr>
          <w:jc w:val="center"/>
        </w:trPr>
        <w:tc>
          <w:tcPr>
            <w:tcW w:w="1667" w:type="pct"/>
          </w:tcPr>
          <w:p w:rsidR="00B37C09" w:rsidRDefault="00B37C09" w:rsidP="004D10DF">
            <w:pPr>
              <w:spacing w:before="40" w:after="40"/>
              <w:rPr>
                <w:sz w:val="16"/>
                <w:szCs w:val="16"/>
              </w:rPr>
            </w:pPr>
            <w:r>
              <w:rPr>
                <w:sz w:val="16"/>
                <w:szCs w:val="16"/>
              </w:rPr>
              <w:t>NIE Energy (Supply)</w:t>
            </w:r>
          </w:p>
        </w:tc>
        <w:tc>
          <w:tcPr>
            <w:tcW w:w="1667" w:type="pct"/>
          </w:tcPr>
          <w:p w:rsidR="00B37C09" w:rsidRPr="00135A1E" w:rsidRDefault="00B37C09" w:rsidP="004D10DF">
            <w:pPr>
              <w:spacing w:before="40" w:after="40"/>
              <w:rPr>
                <w:sz w:val="16"/>
                <w:szCs w:val="16"/>
              </w:rPr>
            </w:pPr>
            <w:r>
              <w:rPr>
                <w:sz w:val="16"/>
                <w:szCs w:val="16"/>
              </w:rPr>
              <w:t>William Steele</w:t>
            </w:r>
          </w:p>
        </w:tc>
        <w:tc>
          <w:tcPr>
            <w:tcW w:w="1666" w:type="pct"/>
          </w:tcPr>
          <w:p w:rsidR="00B37C09" w:rsidRPr="00135A1E" w:rsidRDefault="00B37C09" w:rsidP="004D10DF">
            <w:pPr>
              <w:spacing w:before="40" w:after="40"/>
              <w:rPr>
                <w:sz w:val="16"/>
                <w:szCs w:val="16"/>
              </w:rPr>
            </w:pPr>
            <w:r>
              <w:rPr>
                <w:sz w:val="16"/>
                <w:szCs w:val="16"/>
              </w:rPr>
              <w:t>Philip Carson</w:t>
            </w:r>
          </w:p>
        </w:tc>
      </w:tr>
    </w:tbl>
    <w:p w:rsidR="00B37C09" w:rsidRDefault="00B37C09" w:rsidP="005D4342">
      <w:pPr>
        <w:jc w:val="both"/>
      </w:pPr>
    </w:p>
    <w:p w:rsidR="00B37C09" w:rsidRDefault="00B37C09" w:rsidP="005D4342">
      <w:pPr>
        <w:jc w:val="both"/>
      </w:pPr>
      <w:r>
        <w:t>Generator Member queried as to whether it would be possible in future to contact all Participants who didn’t vote and encourage them to do so. Secretariat advised that all registered Participants in the SEM are contacted, thus the onus is on the Participant to ensure that their vote is utilised. In addition, the</w:t>
      </w:r>
      <w:r w:rsidR="0022541B">
        <w:t xml:space="preserve"> responsibility</w:t>
      </w:r>
      <w:r w:rsidR="00E32CB2">
        <w:t xml:space="preserve"> l</w:t>
      </w:r>
      <w:r>
        <w:t>i</w:t>
      </w:r>
      <w:r w:rsidR="00E32CB2">
        <w:t>e</w:t>
      </w:r>
      <w:r>
        <w:t xml:space="preserve">s </w:t>
      </w:r>
      <w:r w:rsidR="00E32CB2">
        <w:t>with</w:t>
      </w:r>
      <w:r w:rsidR="00994A19">
        <w:t xml:space="preserve"> </w:t>
      </w:r>
      <w:r>
        <w:t>nominees</w:t>
      </w:r>
      <w:r w:rsidR="00E32CB2">
        <w:t xml:space="preserve"> </w:t>
      </w:r>
      <w:r>
        <w:t>to deploy effective canvassing.</w:t>
      </w:r>
    </w:p>
    <w:p w:rsidR="00B37C09" w:rsidRDefault="00B37C09" w:rsidP="005D4342">
      <w:pPr>
        <w:jc w:val="both"/>
      </w:pPr>
      <w:r>
        <w:t xml:space="preserve">The Secretariat advised that the Chair and Vice-Chair Elections would take place subsequent to Meeting 37, and that the positions would be effective from Meeting 38. </w:t>
      </w:r>
      <w:r>
        <w:tab/>
      </w:r>
    </w:p>
    <w:p w:rsidR="00B37C09" w:rsidRPr="00D26C9A" w:rsidRDefault="00B37C09" w:rsidP="005D4342">
      <w:pPr>
        <w:jc w:val="both"/>
      </w:pPr>
      <w:r>
        <w:t xml:space="preserve">The </w:t>
      </w:r>
      <w:hyperlink r:id="rId25" w:history="1">
        <w:r w:rsidRPr="00B51427">
          <w:rPr>
            <w:rStyle w:val="Hyperlink"/>
          </w:rPr>
          <w:t>Minutes</w:t>
        </w:r>
      </w:hyperlink>
      <w:r w:rsidRPr="00D26C9A">
        <w:t xml:space="preserve"> from M</w:t>
      </w:r>
      <w:r>
        <w:t>eeting 36 were read and approved.</w:t>
      </w:r>
    </w:p>
    <w:p w:rsidR="00B37C09" w:rsidRPr="00D26C9A" w:rsidRDefault="00B37C09" w:rsidP="005D4342">
      <w:pPr>
        <w:jc w:val="both"/>
        <w:rPr>
          <w:i/>
        </w:rPr>
      </w:pPr>
      <w:r>
        <w:t xml:space="preserve">The </w:t>
      </w:r>
      <w:r w:rsidRPr="00D26C9A">
        <w:t xml:space="preserve">Secretariat Programme of Work </w:t>
      </w:r>
      <w:r>
        <w:t xml:space="preserve">was </w:t>
      </w:r>
      <w:r w:rsidRPr="00D26C9A">
        <w:t>acknowledged</w:t>
      </w:r>
      <w:r w:rsidRPr="000A580F">
        <w:t xml:space="preserve">. </w:t>
      </w:r>
      <w:r>
        <w:t xml:space="preserve">RA Member advised that the RAs are in the process of producing decisions on Mod_37_10 </w:t>
      </w:r>
      <w:r w:rsidRPr="00D26C9A">
        <w:rPr>
          <w:i/>
        </w:rPr>
        <w:t>Constraint Payment for Energy Limited Units</w:t>
      </w:r>
      <w:r>
        <w:t xml:space="preserve">, Mod_01_11 </w:t>
      </w:r>
      <w:r w:rsidRPr="00D26C9A">
        <w:rPr>
          <w:i/>
        </w:rPr>
        <w:t>UI Payments for Generator Units</w:t>
      </w:r>
      <w:r>
        <w:t xml:space="preserve"> and Mod_38_10 </w:t>
      </w:r>
      <w:r w:rsidRPr="00D26C9A">
        <w:rPr>
          <w:i/>
        </w:rPr>
        <w:t>Treatment of Errors under the Code.</w:t>
      </w:r>
      <w:r>
        <w:rPr>
          <w:i/>
        </w:rPr>
        <w:t xml:space="preserve"> </w:t>
      </w:r>
      <w:r>
        <w:t xml:space="preserve">See </w:t>
      </w:r>
      <w:hyperlink w:anchor="_Appendix_1_-" w:history="1">
        <w:r w:rsidRPr="00E32CB2">
          <w:rPr>
            <w:rStyle w:val="Hyperlink"/>
          </w:rPr>
          <w:t>appendix 1</w:t>
        </w:r>
      </w:hyperlink>
      <w:r w:rsidRPr="000A580F">
        <w:t xml:space="preserve"> for </w:t>
      </w:r>
      <w:r>
        <w:t>the Programme of W</w:t>
      </w:r>
      <w:r w:rsidRPr="000A580F">
        <w:t>ork.</w:t>
      </w:r>
    </w:p>
    <w:p w:rsidR="00B37C09" w:rsidRPr="00D22325" w:rsidRDefault="00B37C09" w:rsidP="005D4342">
      <w:pPr>
        <w:jc w:val="both"/>
        <w:rPr>
          <w:lang w:val="en-US"/>
        </w:rPr>
      </w:pPr>
      <w:r>
        <w:t xml:space="preserve">SEMO provided an update on the </w:t>
      </w:r>
      <w:hyperlink r:id="rId26" w:history="1">
        <w:r w:rsidRPr="00957A4A">
          <w:rPr>
            <w:rStyle w:val="Hyperlink"/>
          </w:rPr>
          <w:t>CMS Release</w:t>
        </w:r>
      </w:hyperlink>
      <w:r>
        <w:t>. SEMO Member advised that no RA decision approved Modifications are scheduled for release in October 2011. The scope for this release is Change Request SEM</w:t>
      </w:r>
      <w:r w:rsidRPr="00D22325">
        <w:rPr>
          <w:lang w:val="en-IE"/>
        </w:rPr>
        <w:t>_PC_CR172</w:t>
      </w:r>
      <w:r>
        <w:rPr>
          <w:lang w:val="en-US"/>
        </w:rPr>
        <w:t xml:space="preserve">: </w:t>
      </w:r>
      <w:r>
        <w:t>MIUN calculation. SEMO advised that the cut-off date for the Intra-Day Trading Release July 2012 closed on August 5</w:t>
      </w:r>
      <w:r w:rsidRPr="00D22325">
        <w:rPr>
          <w:vertAlign w:val="superscript"/>
        </w:rPr>
        <w:t>th</w:t>
      </w:r>
      <w:r>
        <w:t xml:space="preserve"> and will include: </w:t>
      </w:r>
    </w:p>
    <w:p w:rsidR="00B37C09" w:rsidRPr="00D22325" w:rsidRDefault="00B37C09" w:rsidP="005D4342">
      <w:pPr>
        <w:numPr>
          <w:ilvl w:val="0"/>
          <w:numId w:val="19"/>
        </w:numPr>
        <w:ind w:left="2231"/>
        <w:jc w:val="both"/>
        <w:rPr>
          <w:lang w:val="en-US"/>
        </w:rPr>
      </w:pPr>
      <w:r>
        <w:t xml:space="preserve">Mod_18_10 </w:t>
      </w:r>
      <w:r w:rsidRPr="00D22325">
        <w:rPr>
          <w:i/>
        </w:rPr>
        <w:t>Intra-Day Trading</w:t>
      </w:r>
      <w:r>
        <w:t>;</w:t>
      </w:r>
    </w:p>
    <w:p w:rsidR="00B37C09" w:rsidRDefault="00B37C09" w:rsidP="005D4342">
      <w:pPr>
        <w:numPr>
          <w:ilvl w:val="0"/>
          <w:numId w:val="19"/>
        </w:numPr>
        <w:ind w:left="2231"/>
        <w:jc w:val="both"/>
        <w:rPr>
          <w:lang w:val="en-US"/>
        </w:rPr>
      </w:pPr>
      <w:r>
        <w:t xml:space="preserve">Mod_43_10 </w:t>
      </w:r>
      <w:r w:rsidRPr="00D22325">
        <w:rPr>
          <w:i/>
          <w:lang w:val="en-IE"/>
        </w:rPr>
        <w:t>Variable Price Taker Generator Units and Firm Access</w:t>
      </w:r>
      <w:r>
        <w:rPr>
          <w:lang w:val="en-US"/>
        </w:rPr>
        <w:t xml:space="preserve">. </w:t>
      </w:r>
    </w:p>
    <w:p w:rsidR="00B37C09" w:rsidRPr="00D22325" w:rsidRDefault="00B37C09" w:rsidP="005D4342">
      <w:pPr>
        <w:jc w:val="both"/>
        <w:rPr>
          <w:lang w:val="en-US"/>
        </w:rPr>
      </w:pPr>
      <w:r>
        <w:rPr>
          <w:lang w:val="en-US"/>
        </w:rPr>
        <w:t xml:space="preserve">SEMO advised that although </w:t>
      </w:r>
      <w:r>
        <w:t xml:space="preserve">Mod_10_11 </w:t>
      </w:r>
      <w:r w:rsidRPr="00D22325">
        <w:rPr>
          <w:i/>
        </w:rPr>
        <w:t>Interconnector Under Test</w:t>
      </w:r>
      <w:r>
        <w:t xml:space="preserve"> and Mod_12_11 </w:t>
      </w:r>
      <w:r w:rsidRPr="00D22325">
        <w:rPr>
          <w:i/>
        </w:rPr>
        <w:t>Interconnector Unit Loss Adjustment when Exporting</w:t>
      </w:r>
      <w:r>
        <w:t xml:space="preserve"> were approved in time for the July 2012 release, the vendor stated that there is insufficient capacity for their inclusion. SEMO Member advised that currently the Intra-Day Trading project is on schedule across all workstreams. </w:t>
      </w:r>
    </w:p>
    <w:p w:rsidR="00B37C09" w:rsidRPr="00135A1E" w:rsidRDefault="00B37C09" w:rsidP="00D147ED">
      <w:pPr>
        <w:pStyle w:val="Heading1"/>
        <w:numPr>
          <w:ilvl w:val="0"/>
          <w:numId w:val="18"/>
        </w:numPr>
      </w:pPr>
      <w:bookmarkStart w:id="5" w:name="_Toc301516611"/>
      <w:r>
        <w:lastRenderedPageBreak/>
        <w:t>REview of Actions</w:t>
      </w:r>
      <w:bookmarkEnd w:id="5"/>
    </w:p>
    <w:p w:rsidR="00B37C09" w:rsidRDefault="00B37C09" w:rsidP="00D26C9A">
      <w:pPr>
        <w:jc w:val="both"/>
      </w:pPr>
    </w:p>
    <w:tbl>
      <w:tblPr>
        <w:tblW w:w="4771" w:type="pct"/>
        <w:jc w:val="center"/>
        <w:tblInd w:w="-1396" w:type="dxa"/>
        <w:tblCellMar>
          <w:left w:w="0" w:type="dxa"/>
          <w:right w:w="0" w:type="dxa"/>
        </w:tblCellMar>
        <w:tblLook w:val="00A0"/>
      </w:tblPr>
      <w:tblGrid>
        <w:gridCol w:w="2882"/>
        <w:gridCol w:w="3899"/>
        <w:gridCol w:w="2528"/>
      </w:tblGrid>
      <w:tr w:rsidR="00B37C09" w:rsidRPr="00892E6B" w:rsidTr="002C4C5D">
        <w:trPr>
          <w:cantSplit/>
          <w:tblHeader/>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tcPr>
          <w:p w:rsidR="00B37C09" w:rsidRPr="00892E6B" w:rsidRDefault="00B37C09" w:rsidP="002C4C5D">
            <w:pPr>
              <w:spacing w:before="40" w:after="40"/>
              <w:jc w:val="center"/>
              <w:rPr>
                <w:rFonts w:cs="Arial"/>
                <w:b/>
                <w:bCs/>
                <w:color w:val="FFFFFF"/>
                <w:sz w:val="24"/>
                <w:szCs w:val="24"/>
                <w:lang w:val="en-US"/>
              </w:rPr>
            </w:pPr>
            <w:r w:rsidRPr="00892E6B">
              <w:rPr>
                <w:rFonts w:cs="Arial"/>
                <w:b/>
                <w:bCs/>
                <w:color w:val="FFFFFF"/>
                <w:sz w:val="24"/>
                <w:szCs w:val="24"/>
                <w:lang w:val="en-US"/>
              </w:rPr>
              <w:t xml:space="preserve">Review of Action </w:t>
            </w:r>
            <w:r w:rsidRPr="00892E6B">
              <w:rPr>
                <w:rFonts w:cs="Arial"/>
                <w:b/>
                <w:color w:val="FFFFFF"/>
                <w:sz w:val="24"/>
                <w:szCs w:val="24"/>
              </w:rPr>
              <w:t>Items</w:t>
            </w:r>
            <w:r w:rsidRPr="00892E6B">
              <w:rPr>
                <w:rFonts w:cs="Arial"/>
                <w:b/>
                <w:bCs/>
                <w:color w:val="FFFFFF"/>
                <w:sz w:val="24"/>
                <w:szCs w:val="24"/>
                <w:lang w:val="en-US"/>
              </w:rPr>
              <w:t xml:space="preserve"> from previous Meetings</w:t>
            </w:r>
          </w:p>
        </w:tc>
      </w:tr>
      <w:tr w:rsidR="00B37C09" w:rsidRPr="00892E6B" w:rsidTr="002C4C5D">
        <w:trPr>
          <w:cantSplit/>
          <w:tblHeader/>
          <w:jc w:val="center"/>
        </w:trPr>
        <w:tc>
          <w:tcPr>
            <w:tcW w:w="154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Mod ID</w:t>
            </w:r>
          </w:p>
        </w:tc>
        <w:tc>
          <w:tcPr>
            <w:tcW w:w="2094" w:type="pct"/>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Action</w:t>
            </w:r>
          </w:p>
        </w:tc>
        <w:tc>
          <w:tcPr>
            <w:tcW w:w="1358" w:type="pct"/>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Comment</w:t>
            </w:r>
          </w:p>
        </w:tc>
      </w:tr>
      <w:tr w:rsidR="00B37C09" w:rsidRPr="00C24EDD"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lang w:val="en-US"/>
              </w:rPr>
            </w:pPr>
            <w:r w:rsidRPr="00892E6B">
              <w:rPr>
                <w:rFonts w:cs="Arial"/>
                <w:sz w:val="18"/>
                <w:szCs w:val="18"/>
                <w:lang w:val="en-US"/>
              </w:rPr>
              <w:t xml:space="preserve">Mod_41_10: Validation of Firm Access Quantity of </w:t>
            </w:r>
            <w:r w:rsidRPr="00BE75EA">
              <w:rPr>
                <w:rFonts w:cs="Arial"/>
                <w:sz w:val="18"/>
                <w:szCs w:val="18"/>
              </w:rPr>
              <w:t>Trading</w:t>
            </w:r>
            <w:r w:rsidRPr="00892E6B">
              <w:rPr>
                <w:rFonts w:cs="Arial"/>
                <w:sz w:val="18"/>
                <w:szCs w:val="18"/>
                <w:lang w:val="en-US"/>
              </w:rPr>
              <w:t xml:space="preserve"> Site (FAQSst) by the System Operator</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TSOs to draft Modification to include process in AP1</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Closed-Modification Proposal received</w:t>
            </w:r>
          </w:p>
        </w:tc>
      </w:tr>
      <w:tr w:rsidR="00B37C09" w:rsidRPr="00C24EDD"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Mod_08_11: Correcting Calculation of Net Demand Used for Settlement (An Amendment to Global Settlement Modification)</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raise a Change Request to address the issue</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Closed-CR raised</w:t>
            </w:r>
          </w:p>
        </w:tc>
      </w:tr>
      <w:tr w:rsidR="00B37C09" w:rsidRPr="00C24EDD"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Mod_19_11: Modification Committee Representation</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Secretariat to provide election details on the SEMO website to enhance transparency and awareness of the process</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 xml:space="preserve">Complete- Secretariat will publish </w:t>
            </w:r>
            <w:r>
              <w:rPr>
                <w:rFonts w:cs="Arial"/>
                <w:sz w:val="18"/>
                <w:szCs w:val="18"/>
              </w:rPr>
              <w:t xml:space="preserve">Election </w:t>
            </w:r>
            <w:r w:rsidRPr="00BE75EA">
              <w:rPr>
                <w:rFonts w:cs="Arial"/>
                <w:sz w:val="18"/>
                <w:szCs w:val="18"/>
              </w:rPr>
              <w:t xml:space="preserve">presentation from Meeting 37 </w:t>
            </w:r>
          </w:p>
        </w:tc>
      </w:tr>
      <w:tr w:rsidR="00B37C09" w:rsidRPr="00C24EDD" w:rsidTr="002C4C5D">
        <w:trPr>
          <w:cantSplit/>
          <w:tblHeader/>
          <w:jc w:val="center"/>
        </w:trPr>
        <w:tc>
          <w:tcPr>
            <w:tcW w:w="5000"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after="0" w:line="240" w:lineRule="auto"/>
              <w:rPr>
                <w:rFonts w:ascii="Lucida Sans Unicode" w:hAnsi="Lucida Sans Unicode" w:cs="Lucida Sans Unicode"/>
                <w:color w:val="1F497D"/>
                <w:sz w:val="18"/>
                <w:szCs w:val="18"/>
                <w:lang w:val="en-US"/>
              </w:rPr>
            </w:pPr>
            <w:r w:rsidRPr="00892E6B">
              <w:rPr>
                <w:rFonts w:ascii="Times New Roman" w:hAnsi="Times New Roman"/>
                <w:b/>
                <w:bCs/>
                <w:color w:val="1F497D"/>
                <w:lang w:val="en-US"/>
              </w:rPr>
              <w:t>Review of Action Items from Meeting  36</w:t>
            </w:r>
          </w:p>
        </w:tc>
      </w:tr>
      <w:tr w:rsidR="00B37C09" w:rsidRPr="00892E6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Mod ID</w:t>
            </w:r>
          </w:p>
        </w:tc>
        <w:tc>
          <w:tcPr>
            <w:tcW w:w="2094" w:type="pct"/>
            <w:tcBorders>
              <w:top w:val="single" w:sz="4" w:space="0" w:color="auto"/>
              <w:left w:val="nil"/>
              <w:bottom w:val="single" w:sz="4"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Action</w:t>
            </w:r>
          </w:p>
        </w:tc>
        <w:tc>
          <w:tcPr>
            <w:tcW w:w="1358" w:type="pct"/>
            <w:tcBorders>
              <w:top w:val="single" w:sz="4" w:space="0" w:color="auto"/>
              <w:left w:val="nil"/>
              <w:bottom w:val="single" w:sz="4" w:space="0" w:color="auto"/>
              <w:right w:val="single" w:sz="8" w:space="0" w:color="auto"/>
            </w:tcBorders>
            <w:shd w:val="clear" w:color="auto" w:fill="DBE5F1"/>
            <w:tcMar>
              <w:top w:w="0" w:type="dxa"/>
              <w:left w:w="108" w:type="dxa"/>
              <w:bottom w:w="0" w:type="dxa"/>
              <w:right w:w="108" w:type="dxa"/>
            </w:tcMar>
          </w:tcPr>
          <w:p w:rsidR="00B37C09" w:rsidRPr="00892E6B" w:rsidRDefault="00B37C09" w:rsidP="002C4C5D">
            <w:pPr>
              <w:spacing w:before="120" w:after="120"/>
              <w:jc w:val="center"/>
              <w:rPr>
                <w:rFonts w:cs="Arial"/>
                <w:b/>
                <w:bCs/>
                <w:color w:val="1F497D"/>
              </w:rPr>
            </w:pPr>
            <w:r w:rsidRPr="00892E6B">
              <w:rPr>
                <w:rFonts w:cs="Arial"/>
                <w:b/>
                <w:bCs/>
                <w:color w:val="1F497D"/>
              </w:rPr>
              <w:t>Comment</w:t>
            </w:r>
          </w:p>
        </w:tc>
      </w:tr>
      <w:tr w:rsidR="00B37C09" w:rsidRPr="00C24EDD"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Mod_18_10: Intra-Day Trading</w:t>
            </w:r>
          </w:p>
          <w:p w:rsidR="00B37C09" w:rsidRPr="00BE75EA" w:rsidRDefault="00B37C09" w:rsidP="002C4C5D">
            <w:pPr>
              <w:spacing w:before="120" w:after="120"/>
              <w:rPr>
                <w:rFonts w:cs="Arial"/>
                <w:sz w:val="18"/>
                <w:szCs w:val="18"/>
              </w:rPr>
            </w:pP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RAs to consider publishing POYRY Day Ahead report</w:t>
            </w:r>
          </w:p>
          <w:p w:rsidR="00B37C09" w:rsidRPr="00BE75EA" w:rsidRDefault="00B37C09" w:rsidP="002C4C5D">
            <w:pPr>
              <w:spacing w:before="120" w:after="120"/>
              <w:ind w:left="-77"/>
              <w:rPr>
                <w:rFonts w:cs="Arial"/>
                <w:sz w:val="18"/>
                <w:szCs w:val="18"/>
              </w:rPr>
            </w:pPr>
            <w:r w:rsidRPr="00BE75EA">
              <w:rPr>
                <w:rFonts w:cs="Arial"/>
                <w:sz w:val="18"/>
                <w:szCs w:val="18"/>
              </w:rPr>
              <w:t xml:space="preserve">Working Group Actions: </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address comments submitted by Participants as part of the ongoing development and provide an update at WG 9 on 29th June.</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address comments submitted by Participants both during and subsequent to Working Group 9 as part of the ongoing development, and provide an update at WG 10.</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Participants to submit comments regarding FG3 Settlement and Credit Management via issued spreadsheet by COB July 20th</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Secretariat to draft and circulate Working Group 9 report</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 xml:space="preserve">Closed- report published on All Island Project website. </w:t>
            </w:r>
          </w:p>
          <w:p w:rsidR="00B37C09" w:rsidRPr="00BE75EA" w:rsidRDefault="00B37C09" w:rsidP="002C4C5D">
            <w:pPr>
              <w:spacing w:before="120" w:after="120"/>
              <w:rPr>
                <w:rFonts w:cs="Arial"/>
                <w:sz w:val="18"/>
                <w:szCs w:val="18"/>
              </w:rPr>
            </w:pPr>
          </w:p>
          <w:p w:rsidR="00B37C09" w:rsidRPr="00BE75EA" w:rsidRDefault="00B37C09" w:rsidP="002C4C5D">
            <w:pPr>
              <w:spacing w:before="120" w:after="120"/>
              <w:rPr>
                <w:rFonts w:cs="Arial"/>
                <w:sz w:val="18"/>
                <w:szCs w:val="18"/>
              </w:rPr>
            </w:pPr>
            <w:r w:rsidRPr="00BE75EA">
              <w:rPr>
                <w:rFonts w:cs="Arial"/>
                <w:sz w:val="18"/>
                <w:szCs w:val="18"/>
              </w:rPr>
              <w:t xml:space="preserve">Closed – Update provided at WG9 </w:t>
            </w:r>
          </w:p>
          <w:p w:rsidR="00B37C09" w:rsidRPr="00BE75EA" w:rsidRDefault="00B37C09" w:rsidP="002C4C5D">
            <w:pPr>
              <w:spacing w:before="120" w:after="120"/>
              <w:rPr>
                <w:rFonts w:cs="Arial"/>
                <w:sz w:val="18"/>
                <w:szCs w:val="18"/>
              </w:rPr>
            </w:pPr>
            <w:r w:rsidRPr="00BE75EA">
              <w:rPr>
                <w:rFonts w:cs="Arial"/>
                <w:sz w:val="18"/>
                <w:szCs w:val="18"/>
              </w:rPr>
              <w:t>Open-in development</w:t>
            </w:r>
          </w:p>
          <w:p w:rsidR="00B37C09" w:rsidRPr="00BE75EA" w:rsidRDefault="00B37C09" w:rsidP="002C4C5D">
            <w:pPr>
              <w:spacing w:before="120" w:after="120"/>
              <w:rPr>
                <w:rFonts w:cs="Arial"/>
                <w:sz w:val="18"/>
                <w:szCs w:val="18"/>
              </w:rPr>
            </w:pPr>
          </w:p>
          <w:p w:rsidR="00B37C09" w:rsidRPr="00BE75EA" w:rsidRDefault="00B37C09" w:rsidP="002C4C5D">
            <w:pPr>
              <w:spacing w:before="120" w:after="120"/>
              <w:rPr>
                <w:rFonts w:cs="Arial"/>
                <w:sz w:val="18"/>
                <w:szCs w:val="18"/>
              </w:rPr>
            </w:pPr>
            <w:r w:rsidRPr="00BE75EA">
              <w:rPr>
                <w:rFonts w:cs="Arial"/>
                <w:sz w:val="18"/>
                <w:szCs w:val="18"/>
              </w:rPr>
              <w:t>Closed-responses received</w:t>
            </w:r>
          </w:p>
          <w:p w:rsidR="00B37C09" w:rsidRPr="00BE75EA" w:rsidRDefault="00B37C09" w:rsidP="002C4C5D">
            <w:pPr>
              <w:spacing w:before="120" w:after="120"/>
              <w:rPr>
                <w:rFonts w:cs="Arial"/>
                <w:sz w:val="18"/>
                <w:szCs w:val="18"/>
              </w:rPr>
            </w:pPr>
          </w:p>
          <w:p w:rsidR="00B37C09" w:rsidRPr="00BE75EA" w:rsidRDefault="00B37C09" w:rsidP="002C4C5D">
            <w:pPr>
              <w:spacing w:before="120" w:after="120"/>
              <w:rPr>
                <w:rFonts w:cs="Arial"/>
                <w:sz w:val="18"/>
                <w:szCs w:val="18"/>
              </w:rPr>
            </w:pPr>
          </w:p>
          <w:p w:rsidR="00B37C09" w:rsidRPr="00BE75EA" w:rsidRDefault="00B37C09" w:rsidP="002C4C5D">
            <w:pPr>
              <w:spacing w:before="120" w:after="120"/>
              <w:rPr>
                <w:rFonts w:cs="Arial"/>
                <w:sz w:val="18"/>
                <w:szCs w:val="18"/>
              </w:rPr>
            </w:pPr>
            <w:r w:rsidRPr="00BE75EA">
              <w:rPr>
                <w:rFonts w:cs="Arial"/>
                <w:sz w:val="18"/>
                <w:szCs w:val="18"/>
              </w:rPr>
              <w:t>Closed</w:t>
            </w:r>
          </w:p>
        </w:tc>
      </w:tr>
      <w:tr w:rsidR="00B37C09" w:rsidRPr="002F600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Mod_04_11: Removal of a requirement that a demand site in a DSU shall not have an MEC</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Representative from Grid Code Panel to provide an update at next Meeting</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Closed-update was provided at Meeting 37</w:t>
            </w:r>
          </w:p>
        </w:tc>
      </w:tr>
      <w:tr w:rsidR="00B37C09" w:rsidRPr="002F600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892E6B">
              <w:rPr>
                <w:rFonts w:cs="Arial"/>
                <w:sz w:val="18"/>
                <w:szCs w:val="18"/>
              </w:rPr>
              <w:t>Mod_14_11: Pumped Storage Under Test</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initiate IA for next meeting.</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provide update on IA at next meeting.</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 IA result: €113,000 excluding testing</w:t>
            </w:r>
          </w:p>
        </w:tc>
      </w:tr>
      <w:tr w:rsidR="00B37C09" w:rsidRPr="002F600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lastRenderedPageBreak/>
              <w:t>Mod_16_11: Credit Worthiness Test for SEM Bank and Credit Cover Provider Banks</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Participants to forward views of scope of issues within 3 weeks of Meeting</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Secretariat to circulate feedback</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Participants to decide upon receipt of feedback if a conference call is necessary in advance of Meeting 37</w:t>
            </w:r>
          </w:p>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seek financial advice on the proposed changes</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 – Views received from 3 Participants.</w:t>
            </w:r>
          </w:p>
          <w:p w:rsidR="00B37C09" w:rsidRPr="00BE75EA" w:rsidRDefault="00B37C09" w:rsidP="002C4C5D">
            <w:pPr>
              <w:spacing w:before="120" w:after="120"/>
              <w:rPr>
                <w:rFonts w:cs="Arial"/>
                <w:sz w:val="18"/>
                <w:szCs w:val="18"/>
              </w:rPr>
            </w:pPr>
            <w:r w:rsidRPr="00BE75EA">
              <w:rPr>
                <w:rFonts w:cs="Arial"/>
                <w:sz w:val="18"/>
                <w:szCs w:val="18"/>
              </w:rPr>
              <w:t>Complete</w:t>
            </w:r>
          </w:p>
          <w:p w:rsidR="00B37C09" w:rsidRPr="00BE75EA" w:rsidRDefault="00B37C09" w:rsidP="002C4C5D">
            <w:pPr>
              <w:spacing w:before="120" w:after="120"/>
              <w:rPr>
                <w:rFonts w:cs="Arial"/>
                <w:sz w:val="18"/>
                <w:szCs w:val="18"/>
              </w:rPr>
            </w:pPr>
            <w:r w:rsidRPr="00BE75EA">
              <w:rPr>
                <w:rFonts w:cs="Arial"/>
                <w:sz w:val="18"/>
                <w:szCs w:val="18"/>
              </w:rPr>
              <w:t>Closed-No feedback received regarding conference call</w:t>
            </w:r>
          </w:p>
          <w:p w:rsidR="00B37C09" w:rsidRPr="00BE75EA" w:rsidRDefault="00B37C09" w:rsidP="002C4C5D">
            <w:pPr>
              <w:spacing w:before="120" w:after="120"/>
              <w:rPr>
                <w:rFonts w:cs="Arial"/>
                <w:sz w:val="18"/>
                <w:szCs w:val="18"/>
              </w:rPr>
            </w:pPr>
            <w:r w:rsidRPr="00BE75EA">
              <w:rPr>
                <w:rFonts w:cs="Arial"/>
                <w:sz w:val="18"/>
                <w:szCs w:val="18"/>
              </w:rPr>
              <w:t xml:space="preserve">Complete- See deferred section for further detail. </w:t>
            </w:r>
          </w:p>
        </w:tc>
      </w:tr>
      <w:tr w:rsidR="00B37C09" w:rsidRPr="002F600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Mod_17_11: Clarifying the requirement to provide Dispatch Instruction for Generator Units</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SOs and SEMO to initiate Impact Assessment</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Open- See deferred section for further detail.</w:t>
            </w:r>
          </w:p>
        </w:tc>
      </w:tr>
      <w:tr w:rsidR="00B37C09" w:rsidRPr="002F600B" w:rsidTr="002C4C5D">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Mod_18_11: Definition of Availability</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Participants to read Consultation Paper and bring views to next Meeting.</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sidRPr="00BE75EA">
              <w:rPr>
                <w:rFonts w:cs="Arial"/>
                <w:sz w:val="18"/>
                <w:szCs w:val="18"/>
              </w:rPr>
              <w:t>Closed-Discussed at Meeting 37</w:t>
            </w:r>
          </w:p>
        </w:tc>
      </w:tr>
      <w:tr w:rsidR="00B37C09" w:rsidRPr="002F600B" w:rsidTr="002C4C5D">
        <w:trPr>
          <w:cantSplit/>
          <w:tblHeader/>
          <w:jc w:val="center"/>
        </w:trPr>
        <w:tc>
          <w:tcPr>
            <w:tcW w:w="15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37C09" w:rsidRPr="00892E6B" w:rsidRDefault="00B37C09" w:rsidP="002C4C5D">
            <w:pPr>
              <w:spacing w:before="120" w:after="120"/>
              <w:rPr>
                <w:rFonts w:cs="Arial"/>
                <w:sz w:val="18"/>
                <w:szCs w:val="18"/>
              </w:rPr>
            </w:pPr>
            <w:r w:rsidRPr="00892E6B">
              <w:rPr>
                <w:rFonts w:cs="Arial"/>
                <w:sz w:val="18"/>
                <w:szCs w:val="18"/>
              </w:rPr>
              <w:t>Mod_21_11: UI Payments for Generator Units constrained on</w:t>
            </w:r>
          </w:p>
        </w:tc>
        <w:tc>
          <w:tcPr>
            <w:tcW w:w="209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37C09" w:rsidRPr="00BE75EA" w:rsidRDefault="00B37C09" w:rsidP="002C4C5D">
            <w:pPr>
              <w:numPr>
                <w:ilvl w:val="0"/>
                <w:numId w:val="13"/>
              </w:numPr>
              <w:tabs>
                <w:tab w:val="clear" w:pos="720"/>
              </w:tabs>
              <w:spacing w:before="120" w:after="120"/>
              <w:ind w:left="103" w:hanging="180"/>
              <w:rPr>
                <w:rFonts w:cs="Arial"/>
                <w:sz w:val="18"/>
                <w:szCs w:val="18"/>
              </w:rPr>
            </w:pPr>
            <w:r w:rsidRPr="00BE75EA">
              <w:rPr>
                <w:rFonts w:cs="Arial"/>
                <w:sz w:val="18"/>
                <w:szCs w:val="18"/>
              </w:rPr>
              <w:t>SEMO to initiate Impact assessment</w:t>
            </w:r>
          </w:p>
        </w:tc>
        <w:tc>
          <w:tcPr>
            <w:tcW w:w="13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37C09" w:rsidRPr="00BE75EA" w:rsidRDefault="00B37C09" w:rsidP="002C4C5D">
            <w:pPr>
              <w:spacing w:before="120" w:after="120"/>
              <w:rPr>
                <w:rFonts w:cs="Arial"/>
                <w:sz w:val="18"/>
                <w:szCs w:val="18"/>
              </w:rPr>
            </w:pPr>
            <w:r>
              <w:rPr>
                <w:rFonts w:cs="Arial"/>
                <w:sz w:val="18"/>
                <w:szCs w:val="18"/>
              </w:rPr>
              <w:t>Closed – IA result:</w:t>
            </w:r>
            <w:r w:rsidRPr="00BE75EA">
              <w:rPr>
                <w:rFonts w:cs="Arial"/>
                <w:sz w:val="18"/>
                <w:szCs w:val="18"/>
              </w:rPr>
              <w:t xml:space="preserve"> €38,130</w:t>
            </w:r>
          </w:p>
          <w:p w:rsidR="00B37C09" w:rsidRPr="00BE75EA" w:rsidRDefault="00B37C09" w:rsidP="002C4C5D">
            <w:pPr>
              <w:spacing w:before="120" w:after="120"/>
              <w:rPr>
                <w:rFonts w:cs="Arial"/>
                <w:sz w:val="18"/>
                <w:szCs w:val="18"/>
              </w:rPr>
            </w:pPr>
          </w:p>
        </w:tc>
      </w:tr>
    </w:tbl>
    <w:p w:rsidR="00B37C09" w:rsidRPr="002F600B" w:rsidRDefault="00B37C09" w:rsidP="00D147ED">
      <w:pPr>
        <w:rPr>
          <w:highlight w:val="yellow"/>
        </w:rPr>
      </w:pPr>
    </w:p>
    <w:p w:rsidR="00B37C09" w:rsidRPr="002F600B" w:rsidRDefault="00B37C09" w:rsidP="00D147ED">
      <w:pPr>
        <w:rPr>
          <w:highlight w:val="yellow"/>
        </w:rPr>
      </w:pPr>
    </w:p>
    <w:p w:rsidR="00B37C09" w:rsidRPr="002F600B" w:rsidRDefault="00B37C09" w:rsidP="00D147ED">
      <w:pPr>
        <w:rPr>
          <w:highlight w:val="yellow"/>
        </w:rPr>
      </w:pPr>
    </w:p>
    <w:p w:rsidR="00B37C09" w:rsidRPr="002F600B" w:rsidRDefault="00B37C09" w:rsidP="00D147ED">
      <w:pPr>
        <w:rPr>
          <w:highlight w:val="yellow"/>
        </w:rPr>
      </w:pPr>
    </w:p>
    <w:p w:rsidR="00B37C09" w:rsidRPr="00135A1E" w:rsidRDefault="00B37C09" w:rsidP="00D147ED"/>
    <w:p w:rsidR="00B37C09" w:rsidRDefault="00B37C09" w:rsidP="002F573C"/>
    <w:p w:rsidR="00B37C09" w:rsidRDefault="00B37C09" w:rsidP="002F573C"/>
    <w:p w:rsidR="00B37C09" w:rsidRDefault="00B37C09" w:rsidP="002F573C"/>
    <w:p w:rsidR="00B37C09" w:rsidRDefault="00B37C09" w:rsidP="00A572DA">
      <w:pPr>
        <w:jc w:val="both"/>
      </w:pPr>
    </w:p>
    <w:p w:rsidR="00B37C09" w:rsidRDefault="00B37C09" w:rsidP="00A572DA">
      <w:pPr>
        <w:jc w:val="both"/>
      </w:pPr>
    </w:p>
    <w:p w:rsidR="00B37C09" w:rsidRPr="00135A1E" w:rsidRDefault="00B37C09" w:rsidP="00D147ED">
      <w:pPr>
        <w:pStyle w:val="Heading1"/>
        <w:numPr>
          <w:ilvl w:val="0"/>
          <w:numId w:val="18"/>
        </w:numPr>
      </w:pPr>
      <w:bookmarkStart w:id="6" w:name="_Toc301516612"/>
      <w:r>
        <w:lastRenderedPageBreak/>
        <w:t>Deferred Modification Proposals</w:t>
      </w:r>
      <w:bookmarkEnd w:id="6"/>
    </w:p>
    <w:p w:rsidR="00B37C09" w:rsidRDefault="00B37C09" w:rsidP="00B47FC6"/>
    <w:p w:rsidR="00B37C09" w:rsidRPr="004D3D56" w:rsidRDefault="00B37C09" w:rsidP="000F7636">
      <w:pPr>
        <w:pStyle w:val="Heading2"/>
        <w:numPr>
          <w:ilvl w:val="0"/>
          <w:numId w:val="22"/>
        </w:numPr>
        <w:rPr>
          <w:rStyle w:val="IntenseReference"/>
          <w:color w:val="1F497D"/>
        </w:rPr>
      </w:pPr>
      <w:bookmarkStart w:id="7" w:name="_Toc301516613"/>
      <w:r w:rsidRPr="004D3D56">
        <w:rPr>
          <w:rStyle w:val="IntenseReference"/>
          <w:color w:val="1F497D"/>
        </w:rPr>
        <w:t>Mod_18_10 intra-Day Trading</w:t>
      </w:r>
      <w:bookmarkEnd w:id="7"/>
    </w:p>
    <w:p w:rsidR="00B37C09" w:rsidRPr="004D3D56" w:rsidRDefault="00B37C09" w:rsidP="004D3D56">
      <w:pPr>
        <w:pStyle w:val="Quote"/>
      </w:pPr>
      <w:r>
        <w:t>Proposer: Regulatory Authorities</w:t>
      </w:r>
    </w:p>
    <w:p w:rsidR="00B37C09" w:rsidRPr="002258B2" w:rsidRDefault="00B37C09" w:rsidP="009C6EDF">
      <w:pPr>
        <w:pStyle w:val="Quote"/>
        <w:rPr>
          <w:i w:val="0"/>
        </w:rPr>
      </w:pPr>
      <w:r>
        <w:rPr>
          <w:i w:val="0"/>
        </w:rPr>
        <w:t xml:space="preserve">SEMO Member advised that </w:t>
      </w:r>
      <w:r w:rsidRPr="002258B2">
        <w:rPr>
          <w:i w:val="0"/>
        </w:rPr>
        <w:t xml:space="preserve">130 comments </w:t>
      </w:r>
      <w:r>
        <w:rPr>
          <w:i w:val="0"/>
        </w:rPr>
        <w:t xml:space="preserve">were </w:t>
      </w:r>
      <w:r w:rsidRPr="002258B2">
        <w:rPr>
          <w:i w:val="0"/>
        </w:rPr>
        <w:t xml:space="preserve">received from </w:t>
      </w:r>
      <w:r>
        <w:rPr>
          <w:i w:val="0"/>
        </w:rPr>
        <w:t xml:space="preserve">Regulatory Authorities and </w:t>
      </w:r>
      <w:r w:rsidRPr="002258B2">
        <w:rPr>
          <w:i w:val="0"/>
        </w:rPr>
        <w:t>Participants</w:t>
      </w:r>
      <w:r>
        <w:rPr>
          <w:i w:val="0"/>
        </w:rPr>
        <w:t xml:space="preserve"> regarding FG3 (Functional Group 3) Settlement and Credit Risk Management, and that these comments w</w:t>
      </w:r>
      <w:r w:rsidRPr="002258B2">
        <w:rPr>
          <w:i w:val="0"/>
        </w:rPr>
        <w:t xml:space="preserve">ill be listed on </w:t>
      </w:r>
      <w:r>
        <w:rPr>
          <w:i w:val="0"/>
        </w:rPr>
        <w:t xml:space="preserve">the </w:t>
      </w:r>
      <w:r w:rsidRPr="002258B2">
        <w:rPr>
          <w:i w:val="0"/>
        </w:rPr>
        <w:t>spreadsheet when it</w:t>
      </w:r>
      <w:r>
        <w:rPr>
          <w:i w:val="0"/>
        </w:rPr>
        <w:t xml:space="preserve"> i</w:t>
      </w:r>
      <w:r w:rsidRPr="002258B2">
        <w:rPr>
          <w:i w:val="0"/>
        </w:rPr>
        <w:t>s circulated to Participants</w:t>
      </w:r>
      <w:r>
        <w:rPr>
          <w:i w:val="0"/>
        </w:rPr>
        <w:t xml:space="preserve">. SEMO Member stated that Working Group (WG) 10 which will cover FG2: </w:t>
      </w:r>
      <w:r w:rsidRPr="00127A54">
        <w:t>Other Data Transactions &amp; MSP Software</w:t>
      </w:r>
      <w:r w:rsidRPr="005D5BF9">
        <w:rPr>
          <w:i w:val="0"/>
        </w:rPr>
        <w:t xml:space="preserve"> </w:t>
      </w:r>
      <w:r>
        <w:rPr>
          <w:i w:val="0"/>
        </w:rPr>
        <w:t>has been rescheduled to Tuesday September 27</w:t>
      </w:r>
      <w:r w:rsidRPr="008C485E">
        <w:rPr>
          <w:i w:val="0"/>
          <w:vertAlign w:val="superscript"/>
        </w:rPr>
        <w:t>th</w:t>
      </w:r>
      <w:r>
        <w:rPr>
          <w:i w:val="0"/>
        </w:rPr>
        <w:t xml:space="preserve"> 2011.</w:t>
      </w:r>
      <w:r w:rsidRPr="002258B2">
        <w:rPr>
          <w:i w:val="0"/>
        </w:rPr>
        <w:t xml:space="preserve"> </w:t>
      </w:r>
    </w:p>
    <w:p w:rsidR="00B37C09" w:rsidRPr="005E0974" w:rsidRDefault="00B37C09" w:rsidP="009C6EDF">
      <w:pPr>
        <w:pStyle w:val="Quote"/>
        <w:rPr>
          <w:i w:val="0"/>
        </w:rPr>
      </w:pPr>
      <w:r w:rsidRPr="005D5BF9">
        <w:rPr>
          <w:i w:val="0"/>
        </w:rPr>
        <w:t xml:space="preserve">SEMO Member queried as to whether Participants would be </w:t>
      </w:r>
      <w:r>
        <w:rPr>
          <w:i w:val="0"/>
        </w:rPr>
        <w:t>in favour of</w:t>
      </w:r>
      <w:r w:rsidRPr="005D5BF9">
        <w:rPr>
          <w:i w:val="0"/>
        </w:rPr>
        <w:t xml:space="preserve"> holding a conference call before the next WG to discuss FG3 feedback. Participants agreed that a conference call in advanc</w:t>
      </w:r>
      <w:r>
        <w:rPr>
          <w:i w:val="0"/>
        </w:rPr>
        <w:t>e of WG 10 would be beneficial, with September 14</w:t>
      </w:r>
      <w:r w:rsidRPr="005C3246">
        <w:rPr>
          <w:i w:val="0"/>
          <w:vertAlign w:val="superscript"/>
        </w:rPr>
        <w:t>th</w:t>
      </w:r>
      <w:r>
        <w:rPr>
          <w:i w:val="0"/>
        </w:rPr>
        <w:t xml:space="preserve"> being agreed as the date.</w:t>
      </w:r>
      <w:r w:rsidRPr="005D5BF9">
        <w:rPr>
          <w:i w:val="0"/>
        </w:rPr>
        <w:t xml:space="preserve"> Supplier Alternate voiced discontent at Intra-Day trading process expressing the view that Participants currently have </w:t>
      </w:r>
      <w:r>
        <w:rPr>
          <w:i w:val="0"/>
        </w:rPr>
        <w:t>minimal</w:t>
      </w:r>
      <w:r w:rsidRPr="005D5BF9">
        <w:rPr>
          <w:i w:val="0"/>
        </w:rPr>
        <w:t xml:space="preserve"> input into the design and that receiving responses from SEMO regarding</w:t>
      </w:r>
      <w:r>
        <w:rPr>
          <w:i w:val="0"/>
        </w:rPr>
        <w:t xml:space="preserve"> </w:t>
      </w:r>
      <w:r w:rsidRPr="005D5BF9">
        <w:rPr>
          <w:i w:val="0"/>
        </w:rPr>
        <w:t>their comments is insufficient</w:t>
      </w:r>
      <w:r>
        <w:rPr>
          <w:i w:val="0"/>
        </w:rPr>
        <w:t xml:space="preserve">. Supplier Alternate further stated that it is not satisfactory </w:t>
      </w:r>
      <w:r w:rsidRPr="005D5BF9">
        <w:rPr>
          <w:i w:val="0"/>
        </w:rPr>
        <w:t xml:space="preserve">to </w:t>
      </w:r>
      <w:r>
        <w:rPr>
          <w:i w:val="0"/>
        </w:rPr>
        <w:t xml:space="preserve">only </w:t>
      </w:r>
      <w:r w:rsidRPr="005D5BF9">
        <w:rPr>
          <w:i w:val="0"/>
        </w:rPr>
        <w:t xml:space="preserve">have </w:t>
      </w:r>
      <w:r>
        <w:rPr>
          <w:i w:val="0"/>
        </w:rPr>
        <w:t xml:space="preserve">participation during the </w:t>
      </w:r>
      <w:r w:rsidRPr="005D5BF9">
        <w:rPr>
          <w:i w:val="0"/>
        </w:rPr>
        <w:t>WGs</w:t>
      </w:r>
      <w:r>
        <w:rPr>
          <w:i w:val="0"/>
        </w:rPr>
        <w:t xml:space="preserve"> and suggested an idea of utilising weekly conference calls to further </w:t>
      </w:r>
      <w:r w:rsidRPr="005E0974">
        <w:rPr>
          <w:i w:val="0"/>
        </w:rPr>
        <w:t xml:space="preserve">involve Participants in the process.  </w:t>
      </w:r>
    </w:p>
    <w:p w:rsidR="00B37C09" w:rsidRDefault="00B37C09" w:rsidP="002258B2">
      <w:r w:rsidRPr="005E0974">
        <w:t xml:space="preserve">SEMO explained that it is not feasible to discuss every issue with Participants </w:t>
      </w:r>
      <w:r>
        <w:t xml:space="preserve">due to </w:t>
      </w:r>
      <w:r w:rsidRPr="005E0974">
        <w:t>time</w:t>
      </w:r>
      <w:r>
        <w:t xml:space="preserve"> constraints and further stated that SEMO are doing everything within their remit to ensure that Participants are as involved in the process as possible. </w:t>
      </w:r>
      <w:r w:rsidRPr="00B63EBE">
        <w:t xml:space="preserve">Supplier Alternate queried as to whether Participants can </w:t>
      </w:r>
      <w:r>
        <w:t>trust that the Detailed D</w:t>
      </w:r>
      <w:r w:rsidRPr="00B63EBE">
        <w:t xml:space="preserve">esign aligns with </w:t>
      </w:r>
      <w:r>
        <w:t xml:space="preserve">the previously agreed High-level Design. </w:t>
      </w:r>
      <w:r w:rsidRPr="00B63EBE">
        <w:t xml:space="preserve"> </w:t>
      </w:r>
      <w:r>
        <w:t xml:space="preserve">Supplier Alternate further stated that what is seen as </w:t>
      </w:r>
      <w:r w:rsidRPr="00083395">
        <w:t>the best solution for the system from SEMO</w:t>
      </w:r>
      <w:r>
        <w:t>’</w:t>
      </w:r>
      <w:r w:rsidRPr="00083395">
        <w:t xml:space="preserve">s point of view may not be </w:t>
      </w:r>
      <w:r>
        <w:t>conducive to</w:t>
      </w:r>
      <w:r w:rsidRPr="00083395">
        <w:t xml:space="preserve"> Participant</w:t>
      </w:r>
      <w:r>
        <w:t>’</w:t>
      </w:r>
      <w:r w:rsidRPr="00083395">
        <w:t xml:space="preserve">s point of view. SEMO </w:t>
      </w:r>
      <w:r>
        <w:t xml:space="preserve">explained that the design is not done from SEMO’s point of view but that  the </w:t>
      </w:r>
      <w:r w:rsidRPr="00083395">
        <w:t xml:space="preserve">CMS (Central Market </w:t>
      </w:r>
      <w:r w:rsidRPr="00EF3D92">
        <w:t>Systems)</w:t>
      </w:r>
      <w:r>
        <w:t xml:space="preserve"> implementation is governed by the technical architecture of the CMS and that SEMO seeks the best technical and most </w:t>
      </w:r>
      <w:r w:rsidRPr="00EF3D92">
        <w:t>cost-effective</w:t>
      </w:r>
      <w:r>
        <w:t xml:space="preserve"> solution in conjunction with the CMS vendor.</w:t>
      </w:r>
      <w:r w:rsidRPr="00EF3D92">
        <w:t xml:space="preserve"> Supplier Alternate queried as to whether it would be possible to have an additional single interface in an effort to aid further Participant </w:t>
      </w:r>
      <w:r w:rsidRPr="00775942">
        <w:t>involvement?</w:t>
      </w:r>
      <w:r>
        <w:t xml:space="preserve"> </w:t>
      </w:r>
      <w:r w:rsidRPr="00775942">
        <w:t>Generator</w:t>
      </w:r>
      <w:r w:rsidRPr="00EF3D92">
        <w:t xml:space="preserve"> Member stated that a conference call every week could result in bureaucratic disorder and fe</w:t>
      </w:r>
      <w:r>
        <w:t>lt</w:t>
      </w:r>
      <w:r w:rsidRPr="00EF3D92">
        <w:t xml:space="preserve"> that the process is </w:t>
      </w:r>
      <w:r>
        <w:t xml:space="preserve">progressing </w:t>
      </w:r>
      <w:r w:rsidRPr="00EF3D92">
        <w:t>well</w:t>
      </w:r>
      <w:r>
        <w:t>, thus saw</w:t>
      </w:r>
      <w:r w:rsidRPr="00EF3D92">
        <w:t xml:space="preserve"> no need to change the process. </w:t>
      </w:r>
      <w:r w:rsidRPr="00775942">
        <w:t>Generator</w:t>
      </w:r>
      <w:r w:rsidRPr="00EF3D92">
        <w:t xml:space="preserve"> Member </w:t>
      </w:r>
      <w:r>
        <w:t xml:space="preserve">queried as to whether the </w:t>
      </w:r>
      <w:r w:rsidRPr="00775942">
        <w:t xml:space="preserve">comments received are taken into account by SEMO. </w:t>
      </w:r>
      <w:r w:rsidRPr="005C3246">
        <w:t xml:space="preserve">SEMO Member confirmed that where </w:t>
      </w:r>
      <w:r>
        <w:t>appropriate</w:t>
      </w:r>
      <w:r w:rsidRPr="005C3246">
        <w:t xml:space="preserve">, the comments are included in the design </w:t>
      </w:r>
      <w:r>
        <w:t xml:space="preserve">and where not, an explanation is given in the response spreadsheet. </w:t>
      </w:r>
      <w:r w:rsidRPr="005C3246">
        <w:t xml:space="preserve"> </w:t>
      </w:r>
      <w:r w:rsidRPr="00775942">
        <w:t>Generator</w:t>
      </w:r>
      <w:r w:rsidRPr="00EF3D92">
        <w:t xml:space="preserve"> Member</w:t>
      </w:r>
      <w:r>
        <w:t xml:space="preserve"> commented that any issues arising now with regard the Intra-Day Trading design process may provide lessons to be learned for impending future projects. The Chair </w:t>
      </w:r>
      <w:r w:rsidRPr="009C6026">
        <w:t>suggested to defer the issue and further discuss it at the conference call on September 14</w:t>
      </w:r>
      <w:r w:rsidRPr="009C6026">
        <w:rPr>
          <w:vertAlign w:val="superscript"/>
        </w:rPr>
        <w:t>th</w:t>
      </w:r>
      <w:r w:rsidRPr="009C6026">
        <w:t>.</w:t>
      </w:r>
      <w:r>
        <w:t xml:space="preserve"> </w:t>
      </w:r>
      <w:r w:rsidRPr="009C6026">
        <w:t xml:space="preserve">Supplier Member stated that the Modifications Committee is the governing body of the WGs on Intra-Day Trading, </w:t>
      </w:r>
      <w:r>
        <w:t>thus</w:t>
      </w:r>
      <w:r w:rsidRPr="009C6026">
        <w:t xml:space="preserve"> if Participants are unhappy</w:t>
      </w:r>
      <w:r>
        <w:t xml:space="preserve"> with the process, </w:t>
      </w:r>
      <w:r w:rsidRPr="009C6026">
        <w:t>it should be discussed at the Modifications Committee Meeting. Supplier Member</w:t>
      </w:r>
      <w:r>
        <w:t xml:space="preserve"> expressed the view that </w:t>
      </w:r>
      <w:r w:rsidRPr="009C6026">
        <w:t>the WGs are very specific, and questioned as to whether there is a possibility for more direct involvement of Participants</w:t>
      </w:r>
      <w:r>
        <w:t>.</w:t>
      </w:r>
    </w:p>
    <w:p w:rsidR="00B37C09" w:rsidRDefault="00B37C09" w:rsidP="002258B2">
      <w:r>
        <w:t xml:space="preserve">Generator Member put forth a suggestion of having the vendors present their ideas directly to the Modifications Committee. Generator Alternate suggested holding more Participant workshops with both Participants and vendors to ensure compatibility with Participant systems. Supplier Alternate stated that Participant training when the design has already been decided would be too late. SEMO Member advised that SEMO IT held a </w:t>
      </w:r>
      <w:r w:rsidRPr="004D3D56">
        <w:t>successful workshop on August 3</w:t>
      </w:r>
      <w:r w:rsidRPr="004D3D56">
        <w:rPr>
          <w:vertAlign w:val="superscript"/>
        </w:rPr>
        <w:t>rd</w:t>
      </w:r>
      <w:r>
        <w:t xml:space="preserve">, </w:t>
      </w:r>
      <w:r w:rsidRPr="004D3D56">
        <w:t xml:space="preserve">and that </w:t>
      </w:r>
      <w:r>
        <w:t xml:space="preserve">the planned </w:t>
      </w:r>
      <w:r w:rsidRPr="004D3D56">
        <w:t>fut</w:t>
      </w:r>
      <w:r>
        <w:t xml:space="preserve">ure workshops will be an additional </w:t>
      </w:r>
      <w:r w:rsidRPr="004D3D56">
        <w:t>communication forum</w:t>
      </w:r>
      <w:r>
        <w:t xml:space="preserve"> in which Participants can engage</w:t>
      </w:r>
      <w:r w:rsidRPr="004D3D56">
        <w:t xml:space="preserve">. RA Member advised that the </w:t>
      </w:r>
      <w:r>
        <w:t xml:space="preserve">current </w:t>
      </w:r>
      <w:r w:rsidRPr="004D3D56">
        <w:t xml:space="preserve">process is </w:t>
      </w:r>
      <w:r>
        <w:t xml:space="preserve">extremely </w:t>
      </w:r>
      <w:r w:rsidRPr="004D3D56">
        <w:t xml:space="preserve">inclusive of Participants and that more </w:t>
      </w:r>
      <w:r>
        <w:t xml:space="preserve">Participant </w:t>
      </w:r>
      <w:r w:rsidRPr="004D3D56">
        <w:t>engagement would not be conducive to allowing SEMO successfully continue delivering the project.  RA Member also expressed concern regarding the lack of engagement by some Participants regarding the process and re-iterated that it is absolutely essential that this</w:t>
      </w:r>
      <w:r>
        <w:t xml:space="preserve"> project is completed. Observer questioned whether it was possible to have a parallel workstream for additional Participant suggestions. SEMO advised that SEMO is always open to </w:t>
      </w:r>
      <w:r>
        <w:lastRenderedPageBreak/>
        <w:t xml:space="preserve">suggestions, however reiterated that they are constrained by vendor capacity in what can be done within the project timeline. </w:t>
      </w:r>
    </w:p>
    <w:p w:rsidR="00B37C09" w:rsidRPr="009C6026" w:rsidRDefault="00B37C09" w:rsidP="002258B2"/>
    <w:p w:rsidR="00B37C09" w:rsidRPr="004D3D56" w:rsidRDefault="00B37C09" w:rsidP="00CF449D">
      <w:pPr>
        <w:pStyle w:val="IntenseQuote"/>
      </w:pPr>
      <w:r w:rsidRPr="004D3D56">
        <w:t xml:space="preserve">Actions </w:t>
      </w:r>
    </w:p>
    <w:p w:rsidR="00B37C09" w:rsidRPr="004D3D56" w:rsidRDefault="00B37C09" w:rsidP="00973F0D">
      <w:pPr>
        <w:pStyle w:val="Bullet1"/>
        <w:numPr>
          <w:ilvl w:val="0"/>
          <w:numId w:val="12"/>
        </w:numPr>
      </w:pPr>
      <w:r w:rsidRPr="004D3D56">
        <w:t>Conference call scheduled for September 14</w:t>
      </w:r>
      <w:r w:rsidRPr="004D3D56">
        <w:rPr>
          <w:vertAlign w:val="superscript"/>
        </w:rPr>
        <w:t xml:space="preserve">th </w:t>
      </w:r>
    </w:p>
    <w:p w:rsidR="00B37C09" w:rsidRPr="004D3D56" w:rsidRDefault="00B37C09" w:rsidP="00973F0D">
      <w:pPr>
        <w:pStyle w:val="Bullet1"/>
        <w:numPr>
          <w:ilvl w:val="0"/>
          <w:numId w:val="12"/>
        </w:numPr>
      </w:pPr>
      <w:r>
        <w:t>Participants</w:t>
      </w:r>
      <w:r w:rsidRPr="004D3D56">
        <w:t xml:space="preserve"> to submit comments regarding IDT process to the Secretariat by COB August 17</w:t>
      </w:r>
      <w:r w:rsidRPr="004D3D56">
        <w:rPr>
          <w:vertAlign w:val="superscript"/>
        </w:rPr>
        <w:t>th</w:t>
      </w:r>
      <w:r w:rsidRPr="004D3D56">
        <w:t>.</w:t>
      </w:r>
    </w:p>
    <w:p w:rsidR="00B37C09" w:rsidRDefault="00B37C09" w:rsidP="00973F0D">
      <w:pPr>
        <w:pStyle w:val="Bullet1"/>
        <w:numPr>
          <w:ilvl w:val="0"/>
          <w:numId w:val="12"/>
        </w:numPr>
      </w:pPr>
      <w:r w:rsidRPr="004D3D56">
        <w:t xml:space="preserve">Secretariat to send out comments to Participants by end of August 2011. </w:t>
      </w:r>
    </w:p>
    <w:p w:rsidR="00B37C09" w:rsidRPr="004D3D56" w:rsidRDefault="00B37C09" w:rsidP="00A8145F">
      <w:pPr>
        <w:pStyle w:val="IntenseQuote"/>
        <w:ind w:left="1080"/>
      </w:pPr>
      <w:r>
        <w:t>Decision</w:t>
      </w:r>
    </w:p>
    <w:p w:rsidR="00B37C09" w:rsidRPr="004D3D56" w:rsidRDefault="00B37C09" w:rsidP="002C4C5D">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5206E0">
        <w:trPr>
          <w:jc w:val="center"/>
        </w:trPr>
        <w:tc>
          <w:tcPr>
            <w:tcW w:w="5000" w:type="pct"/>
            <w:shd w:val="clear" w:color="auto" w:fill="548DD4"/>
          </w:tcPr>
          <w:p w:rsidR="00B37C09" w:rsidRPr="000F7636" w:rsidRDefault="00B37C09" w:rsidP="009B62E3">
            <w:pPr>
              <w:spacing w:before="40" w:after="40"/>
              <w:jc w:val="center"/>
              <w:rPr>
                <w:b/>
                <w:color w:val="FFFFFF"/>
              </w:rPr>
            </w:pPr>
            <w:r>
              <w:rPr>
                <w:b/>
                <w:color w:val="FFFFFF"/>
              </w:rPr>
              <w:t>Deferred</w:t>
            </w:r>
          </w:p>
        </w:tc>
      </w:tr>
    </w:tbl>
    <w:p w:rsidR="00B37C09" w:rsidRPr="002F600B" w:rsidRDefault="00B37C09" w:rsidP="00B47FC6">
      <w:pPr>
        <w:rPr>
          <w:highlight w:val="yellow"/>
        </w:rPr>
      </w:pPr>
    </w:p>
    <w:p w:rsidR="00B37C09" w:rsidRPr="004D3D56" w:rsidRDefault="00B37C09" w:rsidP="000F7636">
      <w:pPr>
        <w:pStyle w:val="Heading2"/>
        <w:numPr>
          <w:ilvl w:val="0"/>
          <w:numId w:val="22"/>
        </w:numPr>
        <w:rPr>
          <w:rStyle w:val="IntenseReference"/>
          <w:color w:val="1F497D"/>
        </w:rPr>
      </w:pPr>
      <w:bookmarkStart w:id="8" w:name="_Toc301516614"/>
      <w:r w:rsidRPr="004D3D56">
        <w:rPr>
          <w:rStyle w:val="IntenseReference"/>
          <w:color w:val="1F497D"/>
        </w:rPr>
        <w:t>Mod_04_11 Removal of requirement that a demand site in a DSU shall not have an MEC</w:t>
      </w:r>
      <w:bookmarkEnd w:id="8"/>
      <w:r w:rsidRPr="004D3D56">
        <w:rPr>
          <w:rStyle w:val="IntenseReference"/>
          <w:color w:val="1F497D"/>
        </w:rPr>
        <w:t xml:space="preserve"> </w:t>
      </w:r>
    </w:p>
    <w:p w:rsidR="00B37C09" w:rsidRPr="000F7636" w:rsidRDefault="00B37C09" w:rsidP="009C6EDF">
      <w:pPr>
        <w:pStyle w:val="Quote"/>
      </w:pPr>
      <w:r w:rsidRPr="000F7636">
        <w:t>Proposer: Fingleton White &amp; Co.</w:t>
      </w:r>
    </w:p>
    <w:p w:rsidR="00B37C09" w:rsidRPr="002F600B" w:rsidRDefault="00B37C09" w:rsidP="00393BC8">
      <w:pPr>
        <w:rPr>
          <w:highlight w:val="yellow"/>
        </w:rPr>
      </w:pPr>
      <w:r w:rsidRPr="000F7636">
        <w:t xml:space="preserve">SO Member advised that there are a number of consequential Modification Proposals required by the Grid Code due to this proposal. SEMO Alternate advised that SEMO will </w:t>
      </w:r>
      <w:r>
        <w:t>examine</w:t>
      </w:r>
      <w:r w:rsidRPr="000F7636">
        <w:t xml:space="preserve"> whether the Grid Code  </w:t>
      </w:r>
      <w:r w:rsidR="00367EF5">
        <w:t>M</w:t>
      </w:r>
      <w:r w:rsidRPr="000F7636">
        <w:t xml:space="preserve">odification </w:t>
      </w:r>
      <w:r w:rsidR="00367EF5">
        <w:t>P</w:t>
      </w:r>
      <w:r>
        <w:t xml:space="preserve">roposal </w:t>
      </w:r>
      <w:r w:rsidRPr="000F7636">
        <w:t xml:space="preserve">impacts on the existing </w:t>
      </w:r>
      <w:r>
        <w:t>TSC Modification</w:t>
      </w:r>
      <w:r w:rsidRPr="000F7636">
        <w:t xml:space="preserve"> </w:t>
      </w:r>
      <w:r>
        <w:t>P</w:t>
      </w:r>
      <w:r w:rsidRPr="000F7636">
        <w:t>roposal. SO Alternate advised that the Northern Ireland changes to the Grid Code require a consultation and that Mod_04_11 has been deferred pending the outcome of the Grid Code. SEMO Alternate advised that the</w:t>
      </w:r>
      <w:r w:rsidR="00367EF5">
        <w:t xml:space="preserve"> </w:t>
      </w:r>
      <w:r w:rsidRPr="000F7636">
        <w:t xml:space="preserve">proposer </w:t>
      </w:r>
      <w:r>
        <w:t>has been keep up to date on the progress of the Grid Code modification proposal</w:t>
      </w:r>
      <w:r w:rsidRPr="000F7636">
        <w:t xml:space="preserve">. </w:t>
      </w:r>
    </w:p>
    <w:p w:rsidR="00B37C09" w:rsidRPr="000F7636" w:rsidRDefault="00B37C09" w:rsidP="00CF449D">
      <w:pPr>
        <w:pStyle w:val="IntenseQuote"/>
      </w:pPr>
      <w:r w:rsidRPr="000F7636">
        <w:t xml:space="preserve">Actions </w:t>
      </w:r>
    </w:p>
    <w:p w:rsidR="00B37C09" w:rsidRDefault="00B37C09" w:rsidP="00973F0D">
      <w:pPr>
        <w:numPr>
          <w:ilvl w:val="0"/>
          <w:numId w:val="11"/>
        </w:numPr>
      </w:pPr>
      <w:r w:rsidRPr="000F7636">
        <w:t xml:space="preserve">N/A </w:t>
      </w:r>
    </w:p>
    <w:p w:rsidR="00B37C09" w:rsidRPr="004D3D56" w:rsidRDefault="00B37C09" w:rsidP="002C4C5D">
      <w:pPr>
        <w:pStyle w:val="IntenseQuote"/>
        <w:ind w:left="1080"/>
      </w:pPr>
      <w:r>
        <w:t>Decision</w:t>
      </w:r>
    </w:p>
    <w:p w:rsidR="00B37C09" w:rsidRPr="004D3D56" w:rsidRDefault="00B37C09" w:rsidP="002C4C5D">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2C4C5D">
        <w:trPr>
          <w:jc w:val="center"/>
        </w:trPr>
        <w:tc>
          <w:tcPr>
            <w:tcW w:w="5000" w:type="pct"/>
            <w:shd w:val="clear" w:color="auto" w:fill="548DD4"/>
          </w:tcPr>
          <w:p w:rsidR="00B37C09" w:rsidRPr="000F7636" w:rsidRDefault="00B37C09" w:rsidP="002C4C5D">
            <w:pPr>
              <w:spacing w:before="40" w:after="40"/>
              <w:jc w:val="center"/>
              <w:rPr>
                <w:b/>
                <w:color w:val="FFFFFF"/>
              </w:rPr>
            </w:pPr>
            <w:r>
              <w:rPr>
                <w:b/>
                <w:color w:val="FFFFFF"/>
              </w:rPr>
              <w:t>Deferred</w:t>
            </w:r>
          </w:p>
        </w:tc>
      </w:tr>
    </w:tbl>
    <w:p w:rsidR="00B37C09" w:rsidRPr="002F600B" w:rsidRDefault="00B37C09" w:rsidP="00B47FC6">
      <w:pPr>
        <w:rPr>
          <w:highlight w:val="yellow"/>
        </w:rPr>
      </w:pPr>
    </w:p>
    <w:p w:rsidR="00B37C09" w:rsidRPr="00A83642" w:rsidRDefault="00B37C09" w:rsidP="00A83642">
      <w:pPr>
        <w:pStyle w:val="Heading2"/>
        <w:numPr>
          <w:ilvl w:val="0"/>
          <w:numId w:val="22"/>
        </w:numPr>
        <w:rPr>
          <w:rStyle w:val="IntenseReference"/>
          <w:color w:val="A80335"/>
        </w:rPr>
      </w:pPr>
      <w:bookmarkStart w:id="9" w:name="_Toc301516615"/>
      <w:r w:rsidRPr="00A83642">
        <w:rPr>
          <w:rStyle w:val="IntenseReference"/>
          <w:color w:val="1F497D"/>
        </w:rPr>
        <w:t>Mod_14_11 pumped storage under test</w:t>
      </w:r>
      <w:bookmarkEnd w:id="9"/>
    </w:p>
    <w:p w:rsidR="00B37C09" w:rsidRPr="00A83642" w:rsidRDefault="00B37C09" w:rsidP="009C6EDF">
      <w:pPr>
        <w:pStyle w:val="Quote"/>
      </w:pPr>
      <w:r w:rsidRPr="00A83642">
        <w:t>Proposer: TSO</w:t>
      </w:r>
    </w:p>
    <w:p w:rsidR="00B37C09" w:rsidRPr="00251BB9" w:rsidRDefault="00B37C09" w:rsidP="00393BC8">
      <w:r w:rsidRPr="00582955">
        <w:t xml:space="preserve">SEMO </w:t>
      </w:r>
      <w:r>
        <w:t xml:space="preserve">Member </w:t>
      </w:r>
      <w:r w:rsidRPr="00582955">
        <w:t xml:space="preserve">provided results of </w:t>
      </w:r>
      <w:r>
        <w:t xml:space="preserve">the </w:t>
      </w:r>
      <w:r w:rsidRPr="00582955">
        <w:t>Impact Assessment as costing</w:t>
      </w:r>
      <w:r>
        <w:t xml:space="preserve"> €113,00</w:t>
      </w:r>
      <w:r w:rsidRPr="00582955">
        <w:t>0 excluding testing. SO Member advised that there are Pumped Storage Units in Gate 3 and that the proposal allows Pumped Storage Units to go under test. Generator Member queried as to what the material benefits of this proposal will be</w:t>
      </w:r>
      <w:r>
        <w:t>.</w:t>
      </w:r>
      <w:r w:rsidRPr="00582955">
        <w:t xml:space="preserve"> SO Member advised that the proposal will eliminate undue discrimination in the market</w:t>
      </w:r>
      <w:r>
        <w:t xml:space="preserve"> and that this should have been in place in November 2007 at the inception of the SEM</w:t>
      </w:r>
      <w:r w:rsidRPr="00582955">
        <w:t xml:space="preserve">. Generator Member </w:t>
      </w:r>
      <w:r>
        <w:t xml:space="preserve">commented that Pumped Storage Units are not built on a regular basis and </w:t>
      </w:r>
      <w:r w:rsidRPr="00582955">
        <w:t>sought clarification as to the effect of this discrimination</w:t>
      </w:r>
      <w:r>
        <w:t>.</w:t>
      </w:r>
      <w:r w:rsidRPr="00582955">
        <w:t xml:space="preserve"> SO Member advised that constraint costs are not captured and that testing tariffs will apply to these units.</w:t>
      </w:r>
      <w:r>
        <w:t xml:space="preserve"> Supplier Alternate queried as to whether any analysis of cost constraints that may arise has been done. SO Member advised that the testing tariff consultation paper explained the impact on the </w:t>
      </w:r>
      <w:r>
        <w:lastRenderedPageBreak/>
        <w:t xml:space="preserve">system. Generator Member questioned how the costs compare to the €113,000 that will be incurred by the systems change if the proposal is approved. Supplier Alternate stated that €113,000 is not a huge amount yet is still significant and queried as to whether a workaround is possible if this change becomes necessary. SEMO Member advised that </w:t>
      </w:r>
      <w:r w:rsidRPr="00251BB9">
        <w:t xml:space="preserve">the workaround that </w:t>
      </w:r>
      <w:r>
        <w:t>has been proposed</w:t>
      </w:r>
      <w:r w:rsidRPr="00251BB9">
        <w:t xml:space="preserve"> for Mod_10_11 </w:t>
      </w:r>
      <w:r w:rsidRPr="00075B38">
        <w:rPr>
          <w:i/>
        </w:rPr>
        <w:t>Interconnector Under Test</w:t>
      </w:r>
      <w:r w:rsidRPr="00251BB9">
        <w:t xml:space="preserve"> is an exception.</w:t>
      </w:r>
      <w:r w:rsidRPr="00A24056">
        <w:t xml:space="preserve"> </w:t>
      </w:r>
      <w:r>
        <w:t xml:space="preserve">In general it is not possible or desirable to use workarounds. The under test change for the Interconnector applies to the Interconnector Error Unit and is quite different from Pumped Storage Under Test.  </w:t>
      </w:r>
      <w:r w:rsidRPr="00251BB9">
        <w:t xml:space="preserve"> SO Member reminded Participants that due to the release schedule it will take at least two years for a change to be implemented in the system and r</w:t>
      </w:r>
      <w:r>
        <w:t xml:space="preserve">eiterated that although </w:t>
      </w:r>
      <w:r w:rsidRPr="00251BB9">
        <w:t xml:space="preserve">an abundance of Pumped Storage Units </w:t>
      </w:r>
      <w:r>
        <w:t>does not exist</w:t>
      </w:r>
      <w:r w:rsidRPr="00251BB9">
        <w:t xml:space="preserve">, a significant quantity </w:t>
      </w:r>
      <w:r>
        <w:t>are present</w:t>
      </w:r>
      <w:r w:rsidRPr="00251BB9">
        <w:t xml:space="preserve"> in Gate 3.</w:t>
      </w:r>
      <w:r>
        <w:t xml:space="preserve"> SO Member offered to provide an example for the next Modifications Committee Meeting. </w:t>
      </w:r>
      <w:r w:rsidRPr="00251BB9">
        <w:t>Generator Member stated that while it is important to eliminate all forms of discrimination in the market, it is not advisable to pay out €113,000 for something that may not get paid back.</w:t>
      </w:r>
      <w:r>
        <w:t xml:space="preserve"> Observer advised that there is no guarantee that it won’t get paid back. Supplier Member sought clarification as to </w:t>
      </w:r>
      <w:r w:rsidRPr="00251BB9">
        <w:t>what the central aspects of the cost were?</w:t>
      </w:r>
      <w:r>
        <w:t xml:space="preserve"> SEMO Member</w:t>
      </w:r>
      <w:r w:rsidRPr="00251BB9">
        <w:t xml:space="preserve"> advised that within the full IA that was carried out, half the change is in the settlement calculation, with the other half being in the MA section which is the central engine.</w:t>
      </w:r>
    </w:p>
    <w:p w:rsidR="00B37C09" w:rsidRPr="00251BB9" w:rsidRDefault="00B37C09" w:rsidP="009B62E3">
      <w:pPr>
        <w:pStyle w:val="IntenseQuote"/>
      </w:pPr>
      <w:r w:rsidRPr="00251BB9">
        <w:t xml:space="preserve">Actions </w:t>
      </w:r>
    </w:p>
    <w:p w:rsidR="00B37C09" w:rsidRDefault="00B37C09" w:rsidP="004E28AC">
      <w:pPr>
        <w:numPr>
          <w:ilvl w:val="0"/>
          <w:numId w:val="11"/>
        </w:numPr>
      </w:pPr>
      <w:r w:rsidRPr="00D550A4">
        <w:t xml:space="preserve">TSOs to provide example to show frequency of </w:t>
      </w:r>
      <w:r w:rsidR="00367EF5" w:rsidRPr="00D550A4">
        <w:t>occurrence</w:t>
      </w:r>
      <w:r w:rsidRPr="00D550A4">
        <w:t xml:space="preserve"> and typical cost incurred by Pumped storage Unit Under Test for Meeting 38. </w:t>
      </w:r>
    </w:p>
    <w:p w:rsidR="00B37C09" w:rsidRPr="004D3D56" w:rsidRDefault="00B37C09" w:rsidP="002C4C5D">
      <w:pPr>
        <w:pStyle w:val="IntenseQuote"/>
        <w:ind w:left="1080"/>
      </w:pPr>
      <w:r>
        <w:t>Decision</w:t>
      </w:r>
    </w:p>
    <w:p w:rsidR="00B37C09" w:rsidRPr="00D550A4" w:rsidRDefault="00B37C09" w:rsidP="002C4C5D">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D550A4">
        <w:trPr>
          <w:trHeight w:val="310"/>
          <w:jc w:val="center"/>
        </w:trPr>
        <w:tc>
          <w:tcPr>
            <w:tcW w:w="5000" w:type="pct"/>
            <w:shd w:val="clear" w:color="auto" w:fill="548DD4"/>
          </w:tcPr>
          <w:p w:rsidR="00B37C09" w:rsidRPr="002F600B" w:rsidRDefault="00B37C09" w:rsidP="00D550A4">
            <w:pPr>
              <w:spacing w:before="40" w:after="40"/>
              <w:rPr>
                <w:b/>
                <w:color w:val="FFFFFF"/>
                <w:sz w:val="16"/>
                <w:szCs w:val="16"/>
                <w:highlight w:val="yellow"/>
              </w:rPr>
            </w:pPr>
            <w:bookmarkStart w:id="10" w:name="_Toc277863502"/>
            <w:r>
              <w:rPr>
                <w:b/>
                <w:color w:val="FFFFFF"/>
              </w:rPr>
              <w:tab/>
            </w:r>
            <w:r>
              <w:rPr>
                <w:b/>
                <w:color w:val="FFFFFF"/>
              </w:rPr>
              <w:tab/>
            </w:r>
            <w:r>
              <w:rPr>
                <w:b/>
                <w:color w:val="FFFFFF"/>
              </w:rPr>
              <w:tab/>
            </w:r>
            <w:r w:rsidRPr="00D550A4">
              <w:rPr>
                <w:b/>
                <w:color w:val="FFFFFF"/>
              </w:rPr>
              <w:t>Deferred</w:t>
            </w:r>
            <w:r w:rsidRPr="00D550A4">
              <w:rPr>
                <w:b/>
                <w:color w:val="FFFFFF"/>
                <w:sz w:val="16"/>
                <w:szCs w:val="16"/>
              </w:rPr>
              <w:t xml:space="preserve"> </w:t>
            </w:r>
          </w:p>
        </w:tc>
      </w:tr>
      <w:bookmarkEnd w:id="10"/>
    </w:tbl>
    <w:p w:rsidR="00B37C09" w:rsidRPr="003905ED" w:rsidRDefault="00B37C09" w:rsidP="00B47FC6">
      <w:pPr>
        <w:rPr>
          <w:color w:val="1F497D"/>
          <w:highlight w:val="yellow"/>
        </w:rPr>
      </w:pPr>
    </w:p>
    <w:p w:rsidR="00B37C09" w:rsidRPr="003905ED" w:rsidRDefault="00B37C09" w:rsidP="003905ED">
      <w:pPr>
        <w:pStyle w:val="Heading2"/>
        <w:numPr>
          <w:ilvl w:val="0"/>
          <w:numId w:val="22"/>
        </w:numPr>
        <w:rPr>
          <w:rStyle w:val="IntenseReference"/>
          <w:color w:val="1F497D"/>
        </w:rPr>
      </w:pPr>
      <w:bookmarkStart w:id="11" w:name="_Toc301516616"/>
      <w:r w:rsidRPr="003905ED">
        <w:rPr>
          <w:rStyle w:val="IntenseReference"/>
          <w:color w:val="1F497D"/>
        </w:rPr>
        <w:t>Mod_16_11 credit worthiness test for the sem bank and credit cover provider banks</w:t>
      </w:r>
      <w:bookmarkEnd w:id="11"/>
    </w:p>
    <w:p w:rsidR="00B37C09" w:rsidRPr="00EB4E6A" w:rsidRDefault="00B37C09" w:rsidP="00B344D3">
      <w:r w:rsidRPr="00B344D3">
        <w:rPr>
          <w:i/>
        </w:rPr>
        <w:t>Proposer: NIE Energy PPB</w:t>
      </w:r>
      <w:r w:rsidR="00EB4E6A">
        <w:rPr>
          <w:rFonts w:cs="Arial"/>
        </w:rPr>
        <w:t xml:space="preserve"> </w:t>
      </w:r>
    </w:p>
    <w:p w:rsidR="00B37C09" w:rsidRDefault="00B37C09" w:rsidP="00C1303F">
      <w:r w:rsidRPr="00B344D3">
        <w:t xml:space="preserve">Secretariat outlined the feedback from Participants regarding the proposal. Reponses were received from </w:t>
      </w:r>
      <w:r>
        <w:t xml:space="preserve">the following three Participants; </w:t>
      </w:r>
      <w:r w:rsidR="00BD776A">
        <w:t>NIE ES, NIE PPB and Bord G</w:t>
      </w:r>
      <w:r w:rsidR="00BD776A">
        <w:rPr>
          <w:rFonts w:cs="Arial"/>
        </w:rPr>
        <w:t>á</w:t>
      </w:r>
      <w:r>
        <w:t>i</w:t>
      </w:r>
      <w:r w:rsidRPr="00B344D3">
        <w:t>s Energy.</w:t>
      </w:r>
      <w:r>
        <w:t xml:space="preserve"> SEMO Alternate advised of the received advice stating that the risk that the Modification Proposal seeks to mitigate needs to be weighed up against the</w:t>
      </w:r>
      <w:r w:rsidRPr="006E39F0">
        <w:t xml:space="preserve"> risk of Participants </w:t>
      </w:r>
      <w:r>
        <w:t xml:space="preserve">having to </w:t>
      </w:r>
      <w:r w:rsidRPr="006E39F0">
        <w:t>chang</w:t>
      </w:r>
      <w:r>
        <w:t>e</w:t>
      </w:r>
      <w:r w:rsidRPr="006E39F0">
        <w:t xml:space="preserve"> Letters of Credit or being unable to attain Letters of Credit</w:t>
      </w:r>
      <w:r>
        <w:t>.</w:t>
      </w:r>
      <w:r w:rsidRPr="006E39F0">
        <w:t xml:space="preserve"> </w:t>
      </w:r>
      <w:r>
        <w:t xml:space="preserve">As there have been no issues to date, </w:t>
      </w:r>
      <w:r w:rsidRPr="006E39F0">
        <w:t>SEMO do</w:t>
      </w:r>
      <w:r>
        <w:t>es</w:t>
      </w:r>
      <w:r w:rsidRPr="006E39F0">
        <w:t xml:space="preserve"> not see any need to change</w:t>
      </w:r>
      <w:r>
        <w:t xml:space="preserve"> from the current process</w:t>
      </w:r>
      <w:r w:rsidRPr="006E39F0">
        <w:t xml:space="preserve">. </w:t>
      </w:r>
      <w:r>
        <w:t xml:space="preserve">RA Member advised that there is no SEM Regulatory view on this proposal at present. Supplier Alternate expressed support for a comprehensive review of the financial arrangements of the SEM. </w:t>
      </w:r>
    </w:p>
    <w:p w:rsidR="00B37C09" w:rsidRDefault="00B37C09" w:rsidP="00240C24">
      <w:r w:rsidRPr="0092260B">
        <w:t xml:space="preserve">Supplier Alternate queried as to whether the Modifications Committee could appoint a </w:t>
      </w:r>
      <w:r>
        <w:t xml:space="preserve">financial </w:t>
      </w:r>
      <w:r w:rsidRPr="0092260B">
        <w:t>advisor on this issue</w:t>
      </w:r>
      <w:r>
        <w:t xml:space="preserve"> so as not to solely rely on SEMO’s </w:t>
      </w:r>
      <w:r w:rsidRPr="002471F5">
        <w:t>financial advisor</w:t>
      </w:r>
      <w:r>
        <w:t>.</w:t>
      </w:r>
      <w:r w:rsidRPr="002471F5">
        <w:t xml:space="preserve"> Secretariat advised that there is no budget for a </w:t>
      </w:r>
      <w:r>
        <w:t xml:space="preserve">financial </w:t>
      </w:r>
      <w:r w:rsidRPr="002471F5">
        <w:t>advisor.</w:t>
      </w:r>
      <w:r>
        <w:t xml:space="preserve"> </w:t>
      </w:r>
      <w:r w:rsidRPr="002471F5">
        <w:t xml:space="preserve">RA Member stated that if the </w:t>
      </w:r>
      <w:r>
        <w:t xml:space="preserve">Modifications </w:t>
      </w:r>
      <w:r w:rsidRPr="002471F5">
        <w:t xml:space="preserve">Committee were to employ one financial expert, this would not be a cohesive approach as Participants have their own </w:t>
      </w:r>
      <w:r>
        <w:t xml:space="preserve">individual </w:t>
      </w:r>
      <w:r w:rsidRPr="002471F5">
        <w:t xml:space="preserve">financial advisors; hence </w:t>
      </w:r>
      <w:r>
        <w:t xml:space="preserve">at the previous </w:t>
      </w:r>
      <w:r w:rsidRPr="00240C24">
        <w:t>Meeting the action was placed on</w:t>
      </w:r>
      <w:r>
        <w:t xml:space="preserve"> participants to submit feedback from their own organisations</w:t>
      </w:r>
      <w:r w:rsidRPr="00240C24">
        <w:t>.</w:t>
      </w:r>
      <w:r>
        <w:t xml:space="preserve"> </w:t>
      </w:r>
    </w:p>
    <w:p w:rsidR="00B37C09" w:rsidRPr="00240C24" w:rsidRDefault="00B37C09" w:rsidP="00240C24">
      <w:r w:rsidRPr="00240C24">
        <w:t xml:space="preserve">Supplier </w:t>
      </w:r>
      <w:r>
        <w:t>Member</w:t>
      </w:r>
      <w:r w:rsidRPr="00240C24">
        <w:t xml:space="preserve"> put forth suggestion to establish a WG for Mod_16_11 which would combine two other proposals regarding Letters of Credit (Mod_23_11 and Mod_29_11). Supplier </w:t>
      </w:r>
      <w:r>
        <w:t>Member</w:t>
      </w:r>
      <w:r w:rsidRPr="00240C24">
        <w:t xml:space="preserve"> </w:t>
      </w:r>
      <w:r>
        <w:t xml:space="preserve">also </w:t>
      </w:r>
      <w:r w:rsidRPr="00240C24">
        <w:t xml:space="preserve">proposed the possibility of combining all three </w:t>
      </w:r>
      <w:r>
        <w:t xml:space="preserve">proposals </w:t>
      </w:r>
      <w:r w:rsidRPr="00240C24">
        <w:t>into one final proposal to be sent to the</w:t>
      </w:r>
      <w:r>
        <w:t xml:space="preserve"> RAs. SEMO Alternate advised that the their Modification Proposal regarding Letters of Credit was at an advanced stage of development and therefore it was unnecessary to include it in the Working Group on  Mod_16_11, which relates to the institutions providing Letters of Credit and not the wording itself.</w:t>
      </w:r>
    </w:p>
    <w:p w:rsidR="00B37C09" w:rsidRDefault="00B37C09" w:rsidP="00C1303F">
      <w:pPr>
        <w:rPr>
          <w:highlight w:val="yellow"/>
        </w:rPr>
      </w:pPr>
      <w:r w:rsidRPr="00240C24">
        <w:lastRenderedPageBreak/>
        <w:t>SEMO Alternate asked Participants to de</w:t>
      </w:r>
      <w:r>
        <w:t>fine</w:t>
      </w:r>
      <w:r w:rsidRPr="00240C24">
        <w:t xml:space="preserve"> what exactly is lacking in the current arrangements</w:t>
      </w:r>
      <w:r>
        <w:t xml:space="preserve">. Supplier Member </w:t>
      </w:r>
      <w:r w:rsidRPr="00240C24">
        <w:t xml:space="preserve">stated that the fundamental issue is that the financial markets have changed dramatically since the SEM’s inception in 2007. SEMO Alternate advised that only three Participant comments were received and expressed concern </w:t>
      </w:r>
      <w:r>
        <w:t>regarding the</w:t>
      </w:r>
      <w:r w:rsidRPr="00240C24">
        <w:t xml:space="preserve"> pertinence of holding a WG on this matter. </w:t>
      </w:r>
      <w:r>
        <w:t>Supplier Member stated that there had not been enough discussion on the topic to warrant a vote at Meeting 37 and was in support of holding a WG. The Committee were in agreement that there was a necessity for a Working Group.</w:t>
      </w:r>
    </w:p>
    <w:p w:rsidR="00B37C09" w:rsidRPr="00775D73" w:rsidRDefault="00B37C09" w:rsidP="009B62E3">
      <w:pPr>
        <w:pStyle w:val="IntenseQuote"/>
      </w:pPr>
      <w:r w:rsidRPr="00775D73">
        <w:t xml:space="preserve">Actions </w:t>
      </w:r>
    </w:p>
    <w:p w:rsidR="00B37C09" w:rsidRPr="00775D73" w:rsidRDefault="00B37C09" w:rsidP="00973F0D">
      <w:pPr>
        <w:pStyle w:val="Bullet1"/>
        <w:numPr>
          <w:ilvl w:val="0"/>
          <w:numId w:val="11"/>
        </w:numPr>
      </w:pPr>
      <w:r w:rsidRPr="00775D73">
        <w:t xml:space="preserve">Working Group </w:t>
      </w:r>
      <w:r>
        <w:t xml:space="preserve">for Mod_16_11 to be </w:t>
      </w:r>
      <w:r w:rsidRPr="00775D73">
        <w:t>convened for September 15</w:t>
      </w:r>
      <w:r w:rsidRPr="00775D73">
        <w:rPr>
          <w:vertAlign w:val="superscript"/>
        </w:rPr>
        <w:t>th</w:t>
      </w:r>
    </w:p>
    <w:p w:rsidR="00B37C09" w:rsidRDefault="00B37C09" w:rsidP="00973F0D">
      <w:pPr>
        <w:pStyle w:val="Bullet1"/>
        <w:numPr>
          <w:ilvl w:val="0"/>
          <w:numId w:val="11"/>
        </w:numPr>
      </w:pPr>
      <w:r>
        <w:t>Secretariat to draft a terms of reference for the Working Group and circulate to the Committee for review</w:t>
      </w:r>
    </w:p>
    <w:p w:rsidR="00B37C09" w:rsidRPr="004D3D56" w:rsidRDefault="00B37C09" w:rsidP="00393C78">
      <w:pPr>
        <w:pStyle w:val="IntenseQuote"/>
        <w:ind w:left="1080"/>
      </w:pPr>
      <w:r>
        <w:t>Decision</w:t>
      </w:r>
    </w:p>
    <w:p w:rsidR="00B37C09" w:rsidRPr="00775D73" w:rsidRDefault="00B37C09" w:rsidP="00393C78">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941FC5">
        <w:trPr>
          <w:jc w:val="center"/>
        </w:trPr>
        <w:tc>
          <w:tcPr>
            <w:tcW w:w="5000" w:type="pct"/>
            <w:shd w:val="clear" w:color="auto" w:fill="548DD4"/>
          </w:tcPr>
          <w:p w:rsidR="00B37C09" w:rsidRPr="002F600B" w:rsidRDefault="00B37C09" w:rsidP="00941FC5">
            <w:pPr>
              <w:spacing w:before="40" w:after="40"/>
              <w:jc w:val="center"/>
              <w:rPr>
                <w:b/>
                <w:color w:val="FFFFFF"/>
                <w:sz w:val="16"/>
                <w:szCs w:val="16"/>
                <w:highlight w:val="yellow"/>
              </w:rPr>
            </w:pPr>
            <w:r w:rsidRPr="00D550A4">
              <w:rPr>
                <w:b/>
                <w:color w:val="FFFFFF"/>
              </w:rPr>
              <w:t>Deferred</w:t>
            </w:r>
          </w:p>
        </w:tc>
      </w:tr>
    </w:tbl>
    <w:p w:rsidR="00B37C09" w:rsidRPr="002F600B" w:rsidRDefault="00B37C09" w:rsidP="005B708B">
      <w:pPr>
        <w:pStyle w:val="Bullet1"/>
        <w:numPr>
          <w:ilvl w:val="0"/>
          <w:numId w:val="0"/>
        </w:numPr>
        <w:rPr>
          <w:highlight w:val="yellow"/>
        </w:rPr>
      </w:pPr>
    </w:p>
    <w:p w:rsidR="00B37C09" w:rsidRPr="00AC6C03" w:rsidRDefault="00B37C09" w:rsidP="00DD2EC6">
      <w:pPr>
        <w:pStyle w:val="Heading2"/>
        <w:numPr>
          <w:ilvl w:val="0"/>
          <w:numId w:val="22"/>
        </w:numPr>
        <w:rPr>
          <w:rStyle w:val="IntenseReference"/>
          <w:color w:val="1F497D"/>
        </w:rPr>
      </w:pPr>
      <w:bookmarkStart w:id="12" w:name="_Toc301516617"/>
      <w:r w:rsidRPr="00DD2EC6">
        <w:rPr>
          <w:rStyle w:val="IntenseReference"/>
          <w:color w:val="1F497D"/>
        </w:rPr>
        <w:t xml:space="preserve">Mod_17_11 clarifying the requirement to provide dispatch </w:t>
      </w:r>
      <w:r w:rsidRPr="00AC6C03">
        <w:rPr>
          <w:rStyle w:val="IntenseReference"/>
          <w:color w:val="1F497D"/>
        </w:rPr>
        <w:t>instruction for generator units</w:t>
      </w:r>
      <w:bookmarkEnd w:id="12"/>
    </w:p>
    <w:p w:rsidR="00B37C09" w:rsidRPr="00AC6C03" w:rsidRDefault="00B37C09" w:rsidP="00134F25">
      <w:pPr>
        <w:pStyle w:val="Quote"/>
      </w:pPr>
      <w:r w:rsidRPr="00AC6C03">
        <w:t xml:space="preserve">Proposer: Airtricity </w:t>
      </w:r>
    </w:p>
    <w:p w:rsidR="00B37C09" w:rsidRPr="002F600B" w:rsidRDefault="00B37C09" w:rsidP="00134F25">
      <w:pPr>
        <w:rPr>
          <w:highlight w:val="yellow"/>
        </w:rPr>
      </w:pPr>
      <w:r w:rsidRPr="009A1011">
        <w:t xml:space="preserve">SO Member advised that the TSO is in favour of Impact Assessing the D + 3 report as opposed to the D + 1 report. Discussion arose around the issue of the data published compared to that of what is used. SEMO Alternate advised that this data is not utilised by the SEM. </w:t>
      </w:r>
    </w:p>
    <w:p w:rsidR="00B37C09" w:rsidRPr="009A1011" w:rsidRDefault="00B37C09" w:rsidP="009B62E3">
      <w:pPr>
        <w:pStyle w:val="IntenseQuote"/>
      </w:pPr>
      <w:r w:rsidRPr="009A1011">
        <w:t xml:space="preserve">Actions </w:t>
      </w:r>
    </w:p>
    <w:p w:rsidR="00B37C09" w:rsidRPr="009A1011" w:rsidRDefault="00B37C09" w:rsidP="00EE7A04">
      <w:pPr>
        <w:pStyle w:val="Bullet1"/>
        <w:numPr>
          <w:ilvl w:val="0"/>
          <w:numId w:val="11"/>
        </w:numPr>
      </w:pPr>
      <w:r w:rsidRPr="009A1011">
        <w:t>SEMO to</w:t>
      </w:r>
      <w:r>
        <w:t xml:space="preserve"> attain IA for the D + 3 report</w:t>
      </w:r>
    </w:p>
    <w:p w:rsidR="00B37C09" w:rsidRDefault="00B37C09" w:rsidP="00EE7A04">
      <w:pPr>
        <w:pStyle w:val="Bullet1"/>
        <w:numPr>
          <w:ilvl w:val="0"/>
          <w:numId w:val="11"/>
        </w:numPr>
      </w:pPr>
      <w:r w:rsidRPr="009A1011">
        <w:t>Airtricity to submit alternative version of the proposal</w:t>
      </w:r>
    </w:p>
    <w:p w:rsidR="00B37C09" w:rsidRPr="004D3D56" w:rsidRDefault="00B37C09" w:rsidP="00393C78">
      <w:pPr>
        <w:pStyle w:val="IntenseQuote"/>
        <w:ind w:left="1080"/>
      </w:pPr>
      <w:r>
        <w:t>Decision</w:t>
      </w:r>
    </w:p>
    <w:p w:rsidR="00B37C09" w:rsidRPr="009A1011" w:rsidRDefault="00B37C09" w:rsidP="00393C78">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941FC5">
        <w:trPr>
          <w:jc w:val="center"/>
        </w:trPr>
        <w:tc>
          <w:tcPr>
            <w:tcW w:w="5000" w:type="pct"/>
            <w:shd w:val="clear" w:color="auto" w:fill="548DD4"/>
          </w:tcPr>
          <w:p w:rsidR="00B37C09" w:rsidRPr="002F600B" w:rsidRDefault="00B37C09" w:rsidP="00941FC5">
            <w:pPr>
              <w:spacing w:before="40" w:after="40"/>
              <w:jc w:val="center"/>
              <w:rPr>
                <w:b/>
                <w:color w:val="FFFFFF"/>
                <w:sz w:val="16"/>
                <w:szCs w:val="16"/>
                <w:highlight w:val="yellow"/>
              </w:rPr>
            </w:pPr>
            <w:r w:rsidRPr="00D550A4">
              <w:rPr>
                <w:b/>
                <w:color w:val="FFFFFF"/>
              </w:rPr>
              <w:t>Deferred</w:t>
            </w:r>
          </w:p>
        </w:tc>
      </w:tr>
    </w:tbl>
    <w:p w:rsidR="00B37C09" w:rsidRPr="002F600B" w:rsidRDefault="00B37C09" w:rsidP="00B47FC6">
      <w:pPr>
        <w:rPr>
          <w:highlight w:val="yellow"/>
        </w:rPr>
      </w:pPr>
    </w:p>
    <w:p w:rsidR="00B37C09" w:rsidRPr="00232FA8" w:rsidRDefault="00B37C09" w:rsidP="00232FA8">
      <w:pPr>
        <w:pStyle w:val="Heading2"/>
        <w:numPr>
          <w:ilvl w:val="0"/>
          <w:numId w:val="22"/>
        </w:numPr>
        <w:rPr>
          <w:rStyle w:val="IntenseReference"/>
          <w:color w:val="1F497D"/>
        </w:rPr>
      </w:pPr>
      <w:bookmarkStart w:id="13" w:name="_Toc301516618"/>
      <w:r w:rsidRPr="00232FA8">
        <w:rPr>
          <w:rStyle w:val="IntenseReference"/>
          <w:color w:val="1F497D"/>
        </w:rPr>
        <w:t>Mod_18_11 definition of ‘availability’</w:t>
      </w:r>
      <w:bookmarkEnd w:id="13"/>
      <w:r w:rsidRPr="00232FA8">
        <w:rPr>
          <w:rStyle w:val="IntenseReference"/>
          <w:color w:val="1F497D"/>
        </w:rPr>
        <w:t xml:space="preserve"> </w:t>
      </w:r>
    </w:p>
    <w:p w:rsidR="00B37C09" w:rsidRPr="00232FA8" w:rsidRDefault="00B37C09" w:rsidP="009C6EDF">
      <w:pPr>
        <w:pStyle w:val="Quote"/>
      </w:pPr>
      <w:r w:rsidRPr="00232FA8">
        <w:t>Proposer: Endesa Ireland</w:t>
      </w:r>
    </w:p>
    <w:p w:rsidR="00B37C09" w:rsidRPr="00FC08D1" w:rsidRDefault="00B37C09" w:rsidP="00E65BA9">
      <w:r w:rsidRPr="00FC08D1">
        <w:t xml:space="preserve">SO Member provided outline of EirGrid Outturn Availability </w:t>
      </w:r>
      <w:r>
        <w:t>consultation p</w:t>
      </w:r>
      <w:r w:rsidRPr="00FC08D1">
        <w:t xml:space="preserve">aper </w:t>
      </w:r>
      <w:r>
        <w:t xml:space="preserve">advising that a wide-ranging variety of responses had been received, further </w:t>
      </w:r>
      <w:r w:rsidRPr="00FC08D1">
        <w:t xml:space="preserve">stating that </w:t>
      </w:r>
      <w:r>
        <w:t xml:space="preserve">a SEM consultation would be preferable in order to attain views other than those solely from the </w:t>
      </w:r>
      <w:r w:rsidRPr="00FC08D1">
        <w:t>ROI</w:t>
      </w:r>
      <w:r>
        <w:t xml:space="preserve">. </w:t>
      </w:r>
      <w:r w:rsidRPr="00FC08D1">
        <w:t xml:space="preserve">RA Member advised that it is likely that the </w:t>
      </w:r>
      <w:r>
        <w:t>c</w:t>
      </w:r>
      <w:r w:rsidRPr="00FC08D1">
        <w:t>onsultation paper will be consulted on again as a SEM Committee matter</w:t>
      </w:r>
      <w:r>
        <w:t xml:space="preserve">. RA Member </w:t>
      </w:r>
      <w:r w:rsidRPr="00FC08D1">
        <w:t>sta</w:t>
      </w:r>
      <w:r>
        <w:t>ted</w:t>
      </w:r>
      <w:r w:rsidRPr="00FC08D1">
        <w:t xml:space="preserve"> that </w:t>
      </w:r>
      <w:r>
        <w:t xml:space="preserve">any </w:t>
      </w:r>
      <w:r w:rsidRPr="00FC08D1">
        <w:t xml:space="preserve">decisions </w:t>
      </w:r>
      <w:r>
        <w:t xml:space="preserve">made </w:t>
      </w:r>
      <w:r w:rsidRPr="00FC08D1">
        <w:t>will have to be consistent</w:t>
      </w:r>
      <w:r>
        <w:t>;</w:t>
      </w:r>
      <w:r w:rsidRPr="00FC08D1">
        <w:t xml:space="preserve"> </w:t>
      </w:r>
      <w:r>
        <w:t xml:space="preserve">due to the fact that </w:t>
      </w:r>
      <w:r w:rsidRPr="00FC08D1">
        <w:t xml:space="preserve">it is not cohesive to issue one decision on one basis for the Code and another decision regarding the </w:t>
      </w:r>
      <w:r>
        <w:t>c</w:t>
      </w:r>
      <w:r w:rsidRPr="00FC08D1">
        <w:t>onsultation paper.</w:t>
      </w:r>
    </w:p>
    <w:p w:rsidR="00B37C09" w:rsidRPr="002F600B" w:rsidRDefault="00B37C09" w:rsidP="00E65BA9">
      <w:pPr>
        <w:rPr>
          <w:highlight w:val="yellow"/>
        </w:rPr>
      </w:pPr>
      <w:r w:rsidRPr="005455B8">
        <w:t xml:space="preserve">Generator Member sought clarification on how this proposal is in conflict with the EirGrid </w:t>
      </w:r>
      <w:r>
        <w:t>c</w:t>
      </w:r>
      <w:r w:rsidRPr="005455B8">
        <w:t xml:space="preserve">onsultation paper. SO Member clarified that the Modification Proposal is </w:t>
      </w:r>
      <w:r>
        <w:t>proposing</w:t>
      </w:r>
      <w:r w:rsidRPr="005455B8">
        <w:t xml:space="preserve"> to have a single definition for </w:t>
      </w:r>
      <w:r w:rsidRPr="005455B8">
        <w:lastRenderedPageBreak/>
        <w:t>Outturn Availability, however different scenarios are accommodated for within the Code. Generator Member queried as to whether there is a best practice example in other markets</w:t>
      </w:r>
      <w:r>
        <w:t>.</w:t>
      </w:r>
      <w:r w:rsidRPr="005455B8">
        <w:t xml:space="preserve"> SO Member stated that BETTA is the same as the SEM, however there are no further examples. </w:t>
      </w:r>
      <w:r>
        <w:t>RA Member reiterated that this is a SEM matter, thus it should be consulted on as such. Discussion arose around consistency of this proposal with the Grid Code and the Trading and Settlement Code. Generator Alternate advised that it should be seen as a clarification Modification Proposal specifying and elucidating the point where availability is defined.</w:t>
      </w:r>
    </w:p>
    <w:p w:rsidR="00B37C09" w:rsidRPr="000D3045" w:rsidRDefault="00B37C09" w:rsidP="00973F0D">
      <w:pPr>
        <w:pStyle w:val="IntenseQuote"/>
      </w:pPr>
      <w:r w:rsidRPr="000D3045">
        <w:t xml:space="preserve">Actions </w:t>
      </w:r>
    </w:p>
    <w:p w:rsidR="00445E31" w:rsidRDefault="00B37C09" w:rsidP="00445E31">
      <w:pPr>
        <w:numPr>
          <w:ilvl w:val="0"/>
          <w:numId w:val="11"/>
        </w:numPr>
      </w:pPr>
      <w:r w:rsidRPr="000D3045">
        <w:t>N/A</w:t>
      </w:r>
    </w:p>
    <w:p w:rsidR="000B3423" w:rsidRDefault="00445E31" w:rsidP="000B3423">
      <w:pPr>
        <w:pStyle w:val="IntenseQuote"/>
        <w:ind w:left="720"/>
      </w:pPr>
      <w:r>
        <w:t>Decision</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B37C09" w:rsidRPr="002F600B" w:rsidTr="00941FC5">
        <w:trPr>
          <w:jc w:val="center"/>
        </w:trPr>
        <w:tc>
          <w:tcPr>
            <w:tcW w:w="5000" w:type="pct"/>
            <w:gridSpan w:val="3"/>
            <w:shd w:val="clear" w:color="auto" w:fill="548DD4"/>
          </w:tcPr>
          <w:p w:rsidR="00B37C09" w:rsidRPr="002F600B" w:rsidRDefault="00B37C09" w:rsidP="004424D7">
            <w:pPr>
              <w:spacing w:before="40" w:after="40"/>
              <w:jc w:val="center"/>
              <w:rPr>
                <w:b/>
                <w:color w:val="FFFFFF"/>
                <w:sz w:val="16"/>
                <w:szCs w:val="16"/>
                <w:highlight w:val="yellow"/>
              </w:rPr>
            </w:pPr>
            <w:r w:rsidRPr="000D3045">
              <w:rPr>
                <w:b/>
                <w:color w:val="FFFFFF"/>
              </w:rPr>
              <w:t>Recommended for Approval</w:t>
            </w:r>
            <w:r>
              <w:rPr>
                <w:b/>
                <w:color w:val="FFFFFF"/>
              </w:rPr>
              <w:t xml:space="preserve"> </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Generator Alternate</w:t>
            </w:r>
          </w:p>
        </w:tc>
        <w:tc>
          <w:tcPr>
            <w:tcW w:w="1323" w:type="pct"/>
          </w:tcPr>
          <w:p w:rsidR="00B37C09" w:rsidRPr="000D3045" w:rsidRDefault="00B37C09" w:rsidP="00941FC5">
            <w:pPr>
              <w:spacing w:before="40" w:after="40"/>
              <w:rPr>
                <w:sz w:val="16"/>
                <w:szCs w:val="16"/>
              </w:rPr>
            </w:pPr>
            <w:r w:rsidRPr="000D3045">
              <w:rPr>
                <w:sz w:val="16"/>
                <w:szCs w:val="16"/>
              </w:rPr>
              <w:t>Brian Mongan</w:t>
            </w:r>
          </w:p>
        </w:tc>
        <w:tc>
          <w:tcPr>
            <w:tcW w:w="1986" w:type="pct"/>
          </w:tcPr>
          <w:p w:rsidR="00B37C09" w:rsidRPr="000D3045" w:rsidRDefault="00B37C09" w:rsidP="00941FC5">
            <w:pPr>
              <w:spacing w:before="40" w:after="40"/>
              <w:rPr>
                <w:sz w:val="16"/>
                <w:szCs w:val="16"/>
              </w:rPr>
            </w:pPr>
            <w:r w:rsidRPr="000D3045">
              <w:rPr>
                <w:sz w:val="16"/>
                <w:szCs w:val="16"/>
              </w:rPr>
              <w:t>AES</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Generator Alternate</w:t>
            </w:r>
          </w:p>
        </w:tc>
        <w:tc>
          <w:tcPr>
            <w:tcW w:w="1323" w:type="pct"/>
          </w:tcPr>
          <w:p w:rsidR="00B37C09" w:rsidRPr="000D3045" w:rsidRDefault="00B37C09" w:rsidP="00941FC5">
            <w:pPr>
              <w:spacing w:before="40" w:after="40"/>
              <w:rPr>
                <w:sz w:val="16"/>
                <w:szCs w:val="16"/>
              </w:rPr>
            </w:pPr>
            <w:r w:rsidRPr="000D3045">
              <w:rPr>
                <w:sz w:val="16"/>
                <w:szCs w:val="16"/>
              </w:rPr>
              <w:t>Mary Doorly</w:t>
            </w:r>
          </w:p>
        </w:tc>
        <w:tc>
          <w:tcPr>
            <w:tcW w:w="1986" w:type="pct"/>
          </w:tcPr>
          <w:p w:rsidR="00B37C09" w:rsidRPr="000D3045" w:rsidRDefault="00B37C09" w:rsidP="00941FC5">
            <w:pPr>
              <w:spacing w:before="40" w:after="40"/>
              <w:rPr>
                <w:sz w:val="16"/>
                <w:szCs w:val="16"/>
              </w:rPr>
            </w:pPr>
            <w:r w:rsidRPr="000D3045">
              <w:rPr>
                <w:sz w:val="16"/>
                <w:szCs w:val="16"/>
              </w:rPr>
              <w:t>IWEA</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Supplier Member</w:t>
            </w:r>
          </w:p>
        </w:tc>
        <w:tc>
          <w:tcPr>
            <w:tcW w:w="1323" w:type="pct"/>
          </w:tcPr>
          <w:p w:rsidR="00B37C09" w:rsidRPr="000D3045" w:rsidRDefault="00B37C09" w:rsidP="00941FC5">
            <w:pPr>
              <w:spacing w:before="40" w:after="40"/>
              <w:rPr>
                <w:sz w:val="16"/>
                <w:szCs w:val="16"/>
              </w:rPr>
            </w:pPr>
            <w:r w:rsidRPr="000D3045">
              <w:rPr>
                <w:sz w:val="16"/>
                <w:szCs w:val="16"/>
              </w:rPr>
              <w:t>William Steele</w:t>
            </w:r>
          </w:p>
        </w:tc>
        <w:tc>
          <w:tcPr>
            <w:tcW w:w="1986" w:type="pct"/>
          </w:tcPr>
          <w:p w:rsidR="00B37C09" w:rsidRPr="000D3045" w:rsidRDefault="00B37C09" w:rsidP="00941FC5">
            <w:pPr>
              <w:spacing w:before="40" w:after="40"/>
              <w:rPr>
                <w:sz w:val="16"/>
                <w:szCs w:val="16"/>
              </w:rPr>
            </w:pPr>
            <w:r w:rsidRPr="000D3045">
              <w:rPr>
                <w:sz w:val="16"/>
                <w:szCs w:val="16"/>
              </w:rPr>
              <w:t>NIE Energy Supply</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Generator Member</w:t>
            </w:r>
          </w:p>
        </w:tc>
        <w:tc>
          <w:tcPr>
            <w:tcW w:w="1323" w:type="pct"/>
          </w:tcPr>
          <w:p w:rsidR="00B37C09" w:rsidRPr="000D3045" w:rsidRDefault="00B37C09" w:rsidP="00941FC5">
            <w:pPr>
              <w:spacing w:before="40" w:after="40"/>
              <w:rPr>
                <w:sz w:val="16"/>
                <w:szCs w:val="16"/>
              </w:rPr>
            </w:pPr>
            <w:r w:rsidRPr="000D3045">
              <w:rPr>
                <w:sz w:val="16"/>
                <w:szCs w:val="16"/>
              </w:rPr>
              <w:t>Andrew Burke</w:t>
            </w:r>
          </w:p>
        </w:tc>
        <w:tc>
          <w:tcPr>
            <w:tcW w:w="1986" w:type="pct"/>
          </w:tcPr>
          <w:p w:rsidR="00B37C09" w:rsidRPr="000D3045" w:rsidRDefault="00B37C09" w:rsidP="00637116">
            <w:pPr>
              <w:spacing w:before="40" w:after="40"/>
              <w:rPr>
                <w:sz w:val="16"/>
                <w:szCs w:val="16"/>
              </w:rPr>
            </w:pPr>
            <w:r w:rsidRPr="000D3045">
              <w:rPr>
                <w:sz w:val="16"/>
                <w:szCs w:val="16"/>
              </w:rPr>
              <w:t>ESBI</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Supplier Member</w:t>
            </w:r>
          </w:p>
        </w:tc>
        <w:tc>
          <w:tcPr>
            <w:tcW w:w="1323" w:type="pct"/>
          </w:tcPr>
          <w:p w:rsidR="00B37C09" w:rsidRPr="000D3045" w:rsidRDefault="00B37C09" w:rsidP="00941FC5">
            <w:pPr>
              <w:spacing w:before="40" w:after="40"/>
              <w:rPr>
                <w:sz w:val="16"/>
                <w:szCs w:val="16"/>
              </w:rPr>
            </w:pPr>
            <w:r w:rsidRPr="000D3045">
              <w:rPr>
                <w:sz w:val="16"/>
                <w:szCs w:val="16"/>
              </w:rPr>
              <w:t>Jill Murray</w:t>
            </w:r>
          </w:p>
        </w:tc>
        <w:tc>
          <w:tcPr>
            <w:tcW w:w="1986" w:type="pct"/>
          </w:tcPr>
          <w:p w:rsidR="00B37C09" w:rsidRPr="000D3045" w:rsidRDefault="00B37C09" w:rsidP="00941FC5">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Supplier Alternate</w:t>
            </w:r>
          </w:p>
        </w:tc>
        <w:tc>
          <w:tcPr>
            <w:tcW w:w="1323" w:type="pct"/>
          </w:tcPr>
          <w:p w:rsidR="00B37C09" w:rsidRPr="000D3045" w:rsidRDefault="00B37C09" w:rsidP="00941FC5">
            <w:pPr>
              <w:spacing w:before="40" w:after="40"/>
              <w:rPr>
                <w:sz w:val="16"/>
                <w:szCs w:val="16"/>
              </w:rPr>
            </w:pPr>
            <w:r w:rsidRPr="000D3045">
              <w:rPr>
                <w:sz w:val="16"/>
                <w:szCs w:val="16"/>
              </w:rPr>
              <w:t>William Carr</w:t>
            </w:r>
          </w:p>
        </w:tc>
        <w:tc>
          <w:tcPr>
            <w:tcW w:w="1986" w:type="pct"/>
          </w:tcPr>
          <w:p w:rsidR="00B37C09" w:rsidRPr="000D3045" w:rsidRDefault="00B37C09" w:rsidP="00941FC5">
            <w:pPr>
              <w:spacing w:before="40" w:after="40"/>
              <w:rPr>
                <w:sz w:val="16"/>
                <w:szCs w:val="16"/>
              </w:rPr>
            </w:pPr>
            <w:r w:rsidRPr="000D3045">
              <w:rPr>
                <w:sz w:val="16"/>
                <w:szCs w:val="16"/>
              </w:rPr>
              <w:t>ESB Electric Ireland</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Generator Member</w:t>
            </w:r>
          </w:p>
        </w:tc>
        <w:tc>
          <w:tcPr>
            <w:tcW w:w="1323" w:type="pct"/>
          </w:tcPr>
          <w:p w:rsidR="00B37C09" w:rsidRPr="000D3045" w:rsidRDefault="00B37C09" w:rsidP="00941FC5">
            <w:pPr>
              <w:spacing w:before="40" w:after="40"/>
              <w:rPr>
                <w:sz w:val="16"/>
                <w:szCs w:val="16"/>
              </w:rPr>
            </w:pPr>
            <w:r w:rsidRPr="000D3045">
              <w:rPr>
                <w:sz w:val="16"/>
                <w:szCs w:val="16"/>
              </w:rPr>
              <w:t>Kevin Hannafin</w:t>
            </w:r>
          </w:p>
        </w:tc>
        <w:tc>
          <w:tcPr>
            <w:tcW w:w="1986" w:type="pct"/>
          </w:tcPr>
          <w:p w:rsidR="00B37C09" w:rsidRPr="000D3045" w:rsidRDefault="00B37C09" w:rsidP="00941FC5">
            <w:pPr>
              <w:spacing w:before="40" w:after="40"/>
              <w:rPr>
                <w:sz w:val="16"/>
                <w:szCs w:val="16"/>
              </w:rPr>
            </w:pPr>
            <w:r w:rsidRPr="000D3045">
              <w:rPr>
                <w:sz w:val="16"/>
                <w:szCs w:val="16"/>
              </w:rPr>
              <w:t>Viridian Power &amp; Energy</w:t>
            </w:r>
          </w:p>
        </w:tc>
      </w:tr>
      <w:tr w:rsidR="00B37C09" w:rsidRPr="002F600B" w:rsidTr="00941FC5">
        <w:trPr>
          <w:jc w:val="center"/>
        </w:trPr>
        <w:tc>
          <w:tcPr>
            <w:tcW w:w="1691" w:type="pct"/>
          </w:tcPr>
          <w:p w:rsidR="00B37C09" w:rsidRPr="000D3045" w:rsidRDefault="00B37C09" w:rsidP="00941FC5">
            <w:pPr>
              <w:spacing w:before="40" w:after="40"/>
              <w:rPr>
                <w:sz w:val="16"/>
                <w:szCs w:val="16"/>
              </w:rPr>
            </w:pPr>
            <w:r w:rsidRPr="000D3045">
              <w:rPr>
                <w:sz w:val="16"/>
                <w:szCs w:val="16"/>
              </w:rPr>
              <w:t xml:space="preserve">Supplier Member </w:t>
            </w:r>
          </w:p>
        </w:tc>
        <w:tc>
          <w:tcPr>
            <w:tcW w:w="1323" w:type="pct"/>
          </w:tcPr>
          <w:p w:rsidR="00B37C09" w:rsidRPr="000D3045" w:rsidRDefault="00B37C09" w:rsidP="00941FC5">
            <w:pPr>
              <w:spacing w:before="40" w:after="40"/>
              <w:rPr>
                <w:sz w:val="16"/>
                <w:szCs w:val="16"/>
              </w:rPr>
            </w:pPr>
            <w:r w:rsidRPr="000D3045">
              <w:rPr>
                <w:sz w:val="16"/>
                <w:szCs w:val="16"/>
              </w:rPr>
              <w:t>Iain Wright</w:t>
            </w:r>
          </w:p>
        </w:tc>
        <w:tc>
          <w:tcPr>
            <w:tcW w:w="1986" w:type="pct"/>
          </w:tcPr>
          <w:p w:rsidR="00B37C09" w:rsidRPr="000D3045" w:rsidRDefault="00B37C09" w:rsidP="00941FC5">
            <w:pPr>
              <w:spacing w:before="40" w:after="40"/>
              <w:rPr>
                <w:sz w:val="16"/>
                <w:szCs w:val="16"/>
              </w:rPr>
            </w:pPr>
            <w:r w:rsidRPr="000D3045">
              <w:rPr>
                <w:sz w:val="16"/>
                <w:szCs w:val="16"/>
              </w:rPr>
              <w:t>Airtricity</w:t>
            </w:r>
          </w:p>
        </w:tc>
      </w:tr>
    </w:tbl>
    <w:p w:rsidR="00B37C09" w:rsidRPr="002F600B" w:rsidRDefault="00B37C09" w:rsidP="002C78C4">
      <w:pPr>
        <w:pStyle w:val="Bullet1"/>
        <w:numPr>
          <w:ilvl w:val="0"/>
          <w:numId w:val="0"/>
        </w:numPr>
        <w:ind w:left="720"/>
        <w:rPr>
          <w:highlight w:val="yellow"/>
        </w:rPr>
      </w:pPr>
    </w:p>
    <w:p w:rsidR="00B37C09" w:rsidRPr="002F600B" w:rsidRDefault="00B37C09" w:rsidP="00B47FC6">
      <w:pPr>
        <w:rPr>
          <w:highlight w:val="yellow"/>
        </w:rPr>
      </w:pPr>
    </w:p>
    <w:p w:rsidR="00B37C09" w:rsidRPr="00750748" w:rsidRDefault="00B37C09" w:rsidP="00750748">
      <w:pPr>
        <w:pStyle w:val="Heading2"/>
        <w:numPr>
          <w:ilvl w:val="0"/>
          <w:numId w:val="22"/>
        </w:numPr>
        <w:rPr>
          <w:rStyle w:val="IntenseReference"/>
          <w:color w:val="1F497D"/>
        </w:rPr>
      </w:pPr>
      <w:bookmarkStart w:id="14" w:name="_Toc301516619"/>
      <w:r w:rsidRPr="00750748">
        <w:rPr>
          <w:rStyle w:val="IntenseReference"/>
          <w:color w:val="1F497D"/>
        </w:rPr>
        <w:t>Mod_21_11 ui payments for generator units constrained on</w:t>
      </w:r>
      <w:bookmarkEnd w:id="14"/>
      <w:r w:rsidRPr="00750748">
        <w:rPr>
          <w:rStyle w:val="IntenseReference"/>
          <w:color w:val="1F497D"/>
        </w:rPr>
        <w:t xml:space="preserve"> </w:t>
      </w:r>
    </w:p>
    <w:p w:rsidR="00B37C09" w:rsidRDefault="00B37C09" w:rsidP="00752B91">
      <w:r>
        <w:t>Proposer: ESB PG</w:t>
      </w:r>
    </w:p>
    <w:p w:rsidR="00B37C09" w:rsidRPr="00635CDC" w:rsidRDefault="00B37C09" w:rsidP="00752B91">
      <w:r w:rsidRPr="00C42814">
        <w:t>SEMO Alternate provided the results of the IA as costing €38,130.</w:t>
      </w:r>
      <w:r>
        <w:t xml:space="preserve"> SEMO Alternate stated that this proposal</w:t>
      </w:r>
      <w:r w:rsidRPr="002F600B">
        <w:rPr>
          <w:highlight w:val="yellow"/>
        </w:rPr>
        <w:t xml:space="preserve"> </w:t>
      </w:r>
      <w:r w:rsidRPr="00DC5F57">
        <w:t xml:space="preserve">warrants similar discussion to that concerning Mod_37_10 </w:t>
      </w:r>
      <w:r w:rsidRPr="00075B38">
        <w:rPr>
          <w:i/>
        </w:rPr>
        <w:t>Constraint Payments for Energy Limited Units</w:t>
      </w:r>
      <w:r w:rsidRPr="00DC5F57">
        <w:t xml:space="preserve"> regarding cost of</w:t>
      </w:r>
      <w:r>
        <w:t xml:space="preserve"> hydro units. Proposer of both Modification P</w:t>
      </w:r>
      <w:r w:rsidRPr="00DC5F57">
        <w:t>roposals stated that this proposal is addressing a fundamentally different issue to that of Mod_37_10</w:t>
      </w:r>
      <w:r>
        <w:t xml:space="preserve">, further adding that it is addressing </w:t>
      </w:r>
      <w:r w:rsidRPr="00635CDC">
        <w:t>discrimination in the market.</w:t>
      </w:r>
    </w:p>
    <w:p w:rsidR="00B37C09" w:rsidRPr="00635CDC" w:rsidRDefault="00B37C09" w:rsidP="00752B91">
      <w:r w:rsidRPr="00635CDC">
        <w:t>SO Member stated that there is no incentive for units to stop over generating. Generator Member stated that there has to be a penalty for over-generation</w:t>
      </w:r>
      <w:r>
        <w:t>;</w:t>
      </w:r>
      <w:r w:rsidRPr="00635CDC">
        <w:t xml:space="preserve"> however questioned whether the current penalty</w:t>
      </w:r>
      <w:r>
        <w:t xml:space="preserve"> is excessive. Supplier Alternate suggested that DQ be set equal to AO for energy limited units when governing. </w:t>
      </w:r>
    </w:p>
    <w:p w:rsidR="00B37C09" w:rsidRPr="00C755A9" w:rsidRDefault="00B37C09" w:rsidP="00752B91">
      <w:r w:rsidRPr="00BB1094">
        <w:t>SEMO Member stated that</w:t>
      </w:r>
      <w:r>
        <w:t xml:space="preserve"> there was no way of flagging in the CMS if a unit is governing and that with DQ=AO the unit would still get SMP if it generates outside the tolerance band, as is proposed by the current modification. </w:t>
      </w:r>
      <w:r w:rsidRPr="00BB1094">
        <w:t xml:space="preserve"> </w:t>
      </w:r>
      <w:r w:rsidRPr="00322A97">
        <w:t xml:space="preserve">RA Member stated that the Committee needs to be clear as to why this </w:t>
      </w:r>
      <w:r>
        <w:t xml:space="preserve">proposal is the correct solution of this issue and referred to </w:t>
      </w:r>
      <w:r w:rsidRPr="00322A97">
        <w:t xml:space="preserve">Mod_01_11 </w:t>
      </w:r>
      <w:r w:rsidRPr="00075B38">
        <w:rPr>
          <w:i/>
        </w:rPr>
        <w:t>UI Payments for Generator Units</w:t>
      </w:r>
      <w:r w:rsidRPr="00322A97">
        <w:t xml:space="preserve">, which lacked a strong </w:t>
      </w:r>
      <w:r w:rsidRPr="00F60E06">
        <w:t>justification. The Chair summarised the ar</w:t>
      </w:r>
      <w:r>
        <w:t xml:space="preserve">guments for the proposal stating that currently the discrimination incurred is </w:t>
      </w:r>
      <w:r w:rsidRPr="00F60E06">
        <w:t xml:space="preserve">asymmetric in the impact, it is unreasonable to provide a service and not be paid, and that there is not full recovery of the value but there is a contribution to the operation </w:t>
      </w:r>
      <w:r w:rsidRPr="00C755A9">
        <w:t xml:space="preserve">costs. The Chair then summarised the arguments against as being that the proposal would introduce an anomaly </w:t>
      </w:r>
      <w:r>
        <w:t xml:space="preserve">in the market </w:t>
      </w:r>
      <w:r w:rsidRPr="00C755A9">
        <w:t>and that there is an incentive to continuously over-generate.</w:t>
      </w:r>
    </w:p>
    <w:p w:rsidR="00B37C09" w:rsidRPr="00DF5097" w:rsidRDefault="00B37C09" w:rsidP="00752B91">
      <w:r w:rsidRPr="00C755A9">
        <w:t>Generator Member commented that it is an intricate issue to solve as no plant should be paid for over-generating, similarly no plant should be charged for providing a servi</w:t>
      </w:r>
      <w:r>
        <w:t>ce</w:t>
      </w:r>
      <w:r w:rsidRPr="00C755A9">
        <w:t>.</w:t>
      </w:r>
      <w:r>
        <w:t xml:space="preserve"> Proposer advised that if a plant is to </w:t>
      </w:r>
      <w:r w:rsidRPr="00C755A9">
        <w:t xml:space="preserve">over generate beyond the tolerance band </w:t>
      </w:r>
      <w:r>
        <w:t xml:space="preserve">that </w:t>
      </w:r>
      <w:r w:rsidRPr="00C755A9">
        <w:t xml:space="preserve">it incurs a large penalty, thus the incentive to over </w:t>
      </w:r>
      <w:r w:rsidRPr="00C755A9">
        <w:lastRenderedPageBreak/>
        <w:t>generate is</w:t>
      </w:r>
      <w:r>
        <w:t xml:space="preserve"> reduced. The Chair summarised that the general consensus of the Committee is that the issue needs to be resolved. However the option of an </w:t>
      </w:r>
      <w:r w:rsidRPr="00224C49">
        <w:t>Energy limited plant having DOP = €0 is discriminatory</w:t>
      </w:r>
      <w:r>
        <w:t>,</w:t>
      </w:r>
      <w:r w:rsidRPr="00224C49">
        <w:t xml:space="preserve"> and the proposed</w:t>
      </w:r>
      <w:r>
        <w:rPr>
          <w:rFonts w:cs="Arial"/>
          <w:iCs/>
          <w:sz w:val="18"/>
          <w:szCs w:val="18"/>
          <w:lang w:val="en-US"/>
        </w:rPr>
        <w:t xml:space="preserve"> </w:t>
      </w:r>
      <w:r w:rsidRPr="00224C49">
        <w:t>option of having the value of the Dispatch Offer Price (DOPuh) to be equal to the System Marginal Price (sMPh)</w:t>
      </w:r>
      <w:r>
        <w:t xml:space="preserve"> is precarious. Generator Member suggested a possible solution to the issue could be to pay the </w:t>
      </w:r>
      <w:r w:rsidRPr="00224C49">
        <w:t>plant SMP within the tolerance band and zero outside the tolerance band</w:t>
      </w:r>
      <w:r>
        <w:t>.</w:t>
      </w:r>
      <w:r w:rsidRPr="00224C49">
        <w:t xml:space="preserve"> </w:t>
      </w:r>
      <w:r>
        <w:t xml:space="preserve">SEMO were in agreement that this may be a solution and advised that it would be necessary to IA. Proposer was concerned as to the cost of the IA, with SEMO advising that it would investigate, but  thought it was likely that the changes should be limited to the Settlement system and so should be of the same order of cost. The Chair emphasised that the Committee were in agreement that the proposal was to be deferred, however that it should be voted on at Meeting 38. Secretariat advised that following Meeting 38 the FRR would be prioritised. </w:t>
      </w:r>
    </w:p>
    <w:p w:rsidR="00B37C09" w:rsidRPr="00224C49" w:rsidRDefault="00B37C09" w:rsidP="00BE0415">
      <w:pPr>
        <w:pStyle w:val="IntenseQuote"/>
      </w:pPr>
      <w:r w:rsidRPr="00224C49">
        <w:t xml:space="preserve">Actions </w:t>
      </w:r>
    </w:p>
    <w:p w:rsidR="00B37C09" w:rsidRPr="00224C49" w:rsidRDefault="00B37C09" w:rsidP="00224C49">
      <w:pPr>
        <w:numPr>
          <w:ilvl w:val="0"/>
          <w:numId w:val="11"/>
        </w:numPr>
      </w:pPr>
      <w:r w:rsidRPr="00224C49">
        <w:t>Proposer to submit alternative version of Modification Proposal.</w:t>
      </w:r>
    </w:p>
    <w:p w:rsidR="00B37C09" w:rsidRDefault="00B37C09" w:rsidP="00224C49">
      <w:pPr>
        <w:numPr>
          <w:ilvl w:val="0"/>
          <w:numId w:val="11"/>
        </w:numPr>
      </w:pPr>
      <w:r w:rsidRPr="00224C49">
        <w:t>SEMO to initiate IA on paying SMP within the tolerance band.</w:t>
      </w:r>
    </w:p>
    <w:p w:rsidR="00B37C09" w:rsidRPr="004D3D56" w:rsidRDefault="00B37C09" w:rsidP="00393C78">
      <w:pPr>
        <w:pStyle w:val="IntenseQuote"/>
        <w:ind w:left="1080"/>
      </w:pPr>
      <w:r>
        <w:t>Decision</w:t>
      </w:r>
    </w:p>
    <w:p w:rsidR="00B37C09" w:rsidRPr="00224C49" w:rsidRDefault="00B37C09" w:rsidP="00393C78">
      <w:pPr>
        <w:pStyle w:val="Bullet1"/>
        <w:numPr>
          <w:ilvl w:val="0"/>
          <w:numId w:val="12"/>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941FC5">
        <w:trPr>
          <w:jc w:val="center"/>
        </w:trPr>
        <w:tc>
          <w:tcPr>
            <w:tcW w:w="5000" w:type="pct"/>
            <w:shd w:val="clear" w:color="auto" w:fill="548DD4"/>
          </w:tcPr>
          <w:p w:rsidR="00B37C09" w:rsidRPr="002F600B" w:rsidRDefault="00B37C09" w:rsidP="00DF6EB2">
            <w:pPr>
              <w:spacing w:before="40" w:after="40"/>
              <w:jc w:val="center"/>
              <w:rPr>
                <w:b/>
                <w:color w:val="FFFFFF"/>
                <w:sz w:val="16"/>
                <w:szCs w:val="16"/>
                <w:highlight w:val="yellow"/>
              </w:rPr>
            </w:pPr>
            <w:r w:rsidRPr="00D550A4">
              <w:rPr>
                <w:b/>
                <w:color w:val="FFFFFF"/>
              </w:rPr>
              <w:t>Deferred</w:t>
            </w:r>
          </w:p>
        </w:tc>
      </w:tr>
    </w:tbl>
    <w:p w:rsidR="00B37C09" w:rsidRPr="008648CF" w:rsidRDefault="00B37C09" w:rsidP="00E54FBA"/>
    <w:p w:rsidR="00000000" w:rsidRDefault="008648CF">
      <w:pPr>
        <w:pStyle w:val="IntenseQuote"/>
        <w:ind w:left="0"/>
      </w:pPr>
      <w:r w:rsidRPr="008648CF">
        <w:t xml:space="preserve">Additional Comment received </w:t>
      </w:r>
      <w:r w:rsidR="004E7C77">
        <w:t xml:space="preserve">from ESBPG </w:t>
      </w:r>
      <w:r w:rsidRPr="008648CF">
        <w:t>following circulation of draft Meeting minutes to Committee</w:t>
      </w:r>
    </w:p>
    <w:p w:rsidR="008648CF" w:rsidRDefault="008648CF" w:rsidP="008648CF">
      <w:r w:rsidRPr="008648CF">
        <w:t>First comment is that 2</w:t>
      </w:r>
      <w:r w:rsidRPr="008648CF">
        <w:rPr>
          <w:vertAlign w:val="superscript"/>
        </w:rPr>
        <w:t>nd</w:t>
      </w:r>
      <w:r w:rsidRPr="008648CF">
        <w:t xml:space="preserve"> sentence of 2</w:t>
      </w:r>
      <w:r w:rsidRPr="008648CF">
        <w:rPr>
          <w:vertAlign w:val="superscript"/>
        </w:rPr>
        <w:t>nd</w:t>
      </w:r>
      <w:r w:rsidRPr="008648CF">
        <w:t xml:space="preserve"> para is incorrect “Proposer stated that plants in merit don’t receive any payment</w:t>
      </w:r>
      <w:r>
        <w:t xml:space="preserve"> for over-generating.”, can you remove?  I was trying to talk about the different symmetry between plants in merit/constrained on and hydro but from the discussion, it was obvious that a large number of people attending did not understand the methodology behind UI’s or around how plant behaves.</w:t>
      </w:r>
    </w:p>
    <w:p w:rsidR="008648CF" w:rsidRDefault="008648CF" w:rsidP="008648CF"/>
    <w:p w:rsidR="008648CF" w:rsidRDefault="008648CF" w:rsidP="008648CF">
      <w:r>
        <w:t xml:space="preserve">The point I was trying to make which didn’t come out in the summary is that all generating units correctly over and </w:t>
      </w:r>
      <w:r w:rsidR="005F7556">
        <w:t>under</w:t>
      </w:r>
      <w:r w:rsidR="00607C63">
        <w:t>-</w:t>
      </w:r>
      <w:r w:rsidR="005F7556">
        <w:t>generate</w:t>
      </w:r>
      <w:r>
        <w:t xml:space="preserve"> as a result of unavoidable  changes in the system frequency. The system frequency will always correct itself within day by automatically causing generating units to over and under generate slightly. The MW of over and </w:t>
      </w:r>
      <w:r w:rsidR="005F7556">
        <w:t>under</w:t>
      </w:r>
      <w:r w:rsidR="00607C63">
        <w:t>-</w:t>
      </w:r>
      <w:r w:rsidR="005F7556">
        <w:t>generation</w:t>
      </w:r>
      <w:r>
        <w:t xml:space="preserve"> will always balance within the day.  GU’s have no choice in responding to system frequency.  They must be set to automatically respond to system frequency by having their governors on (Free governing) at a prescribed setting dictated by the TSO through the Grid Code. Thus in summary</w:t>
      </w:r>
    </w:p>
    <w:p w:rsidR="008648CF" w:rsidRDefault="008648CF" w:rsidP="008648CF">
      <w:pPr>
        <w:numPr>
          <w:ilvl w:val="0"/>
          <w:numId w:val="43"/>
        </w:numPr>
        <w:spacing w:before="0" w:after="0" w:line="240" w:lineRule="auto"/>
      </w:pPr>
      <w:r>
        <w:t>System frequency will always vary slightly through the day but will average nominal frequency</w:t>
      </w:r>
    </w:p>
    <w:p w:rsidR="008648CF" w:rsidRDefault="008648CF" w:rsidP="008648CF">
      <w:pPr>
        <w:numPr>
          <w:ilvl w:val="0"/>
          <w:numId w:val="43"/>
        </w:numPr>
        <w:spacing w:before="0" w:after="0" w:line="240" w:lineRule="auto"/>
      </w:pPr>
      <w:r>
        <w:t xml:space="preserve">GU’s will respond by automatically over and </w:t>
      </w:r>
      <w:r w:rsidR="005F7556">
        <w:t>under</w:t>
      </w:r>
      <w:r w:rsidR="00E81D74">
        <w:t>-</w:t>
      </w:r>
      <w:r w:rsidR="005F7556">
        <w:t>generating</w:t>
      </w:r>
      <w:r>
        <w:t xml:space="preserve"> in accordance with frequency as per Grid Code</w:t>
      </w:r>
    </w:p>
    <w:p w:rsidR="008648CF" w:rsidRDefault="008648CF" w:rsidP="008648CF">
      <w:pPr>
        <w:numPr>
          <w:ilvl w:val="0"/>
          <w:numId w:val="43"/>
        </w:numPr>
        <w:spacing w:before="0" w:after="0" w:line="240" w:lineRule="auto"/>
      </w:pPr>
      <w:r>
        <w:t>This is regarded as good behaviour by TSO’s.</w:t>
      </w:r>
    </w:p>
    <w:p w:rsidR="008648CF" w:rsidRDefault="008648CF" w:rsidP="008648CF">
      <w:pPr>
        <w:numPr>
          <w:ilvl w:val="0"/>
          <w:numId w:val="43"/>
        </w:numPr>
        <w:spacing w:before="0" w:after="0" w:line="240" w:lineRule="auto"/>
      </w:pPr>
      <w:r>
        <w:t>The MW of over and under generation will balance (i.e. sum to 0)</w:t>
      </w:r>
    </w:p>
    <w:p w:rsidR="008648CF" w:rsidRDefault="008648CF" w:rsidP="008648CF">
      <w:pPr>
        <w:numPr>
          <w:ilvl w:val="0"/>
          <w:numId w:val="43"/>
        </w:numPr>
        <w:spacing w:before="0" w:after="0" w:line="240" w:lineRule="auto"/>
      </w:pPr>
      <w:r>
        <w:t>The issue for Hydro plant is that while the MW of over and under generation will cancel the payments don’t (i.e. with undergeneration, must pay back SMP, with overgeneration get paid DOP = 0 =&gt;mismatch or asymmetry)</w:t>
      </w:r>
    </w:p>
    <w:p w:rsidR="008648CF" w:rsidRDefault="008648CF" w:rsidP="008648CF">
      <w:pPr>
        <w:numPr>
          <w:ilvl w:val="0"/>
          <w:numId w:val="43"/>
        </w:numPr>
        <w:spacing w:before="0" w:after="0" w:line="240" w:lineRule="auto"/>
      </w:pPr>
      <w:r>
        <w:t>BAD overgeneration by a GU is generation over the tolerance bands which leads to a generator receiving an overgeneration penalty of 20%</w:t>
      </w:r>
    </w:p>
    <w:p w:rsidR="008648CF" w:rsidRDefault="008648CF" w:rsidP="008648CF">
      <w:pPr>
        <w:numPr>
          <w:ilvl w:val="0"/>
          <w:numId w:val="43"/>
        </w:numPr>
        <w:spacing w:before="0" w:after="0" w:line="240" w:lineRule="auto"/>
      </w:pPr>
      <w:r>
        <w:lastRenderedPageBreak/>
        <w:t xml:space="preserve">The tolerance bands are set to reflect the fact that as system frequency changes, over and under generation will occur thus GOOD behaviour occurs within bands and BAD behaviour occurs outside tol bands. </w:t>
      </w:r>
    </w:p>
    <w:p w:rsidR="008648CF" w:rsidRDefault="008648CF" w:rsidP="008648CF">
      <w:pPr>
        <w:numPr>
          <w:ilvl w:val="0"/>
          <w:numId w:val="43"/>
        </w:numPr>
        <w:spacing w:before="0" w:after="0" w:line="240" w:lineRule="auto"/>
      </w:pPr>
      <w:r>
        <w:t>Hydro plant has no more incentive to overgenerate outside the bands than any other plant and will be subject to the same penalty as any other plant.</w:t>
      </w:r>
    </w:p>
    <w:p w:rsidR="008648CF" w:rsidRPr="008648CF" w:rsidRDefault="008648CF" w:rsidP="00E54FBA">
      <w:pPr>
        <w:numPr>
          <w:ilvl w:val="0"/>
          <w:numId w:val="43"/>
        </w:numPr>
        <w:spacing w:before="0" w:after="0" w:line="240" w:lineRule="auto"/>
      </w:pPr>
      <w:r>
        <w:t>Hydro plant cannot stop automatically adjusting output with frequency unless it operates in breach of the Grid Code.</w:t>
      </w:r>
    </w:p>
    <w:p w:rsidR="00B37C09" w:rsidRPr="00587CDC" w:rsidRDefault="00B37C09" w:rsidP="00D147ED">
      <w:pPr>
        <w:pStyle w:val="Heading1"/>
        <w:numPr>
          <w:ilvl w:val="0"/>
          <w:numId w:val="18"/>
        </w:numPr>
      </w:pPr>
      <w:bookmarkStart w:id="15" w:name="_Toc301516620"/>
      <w:r w:rsidRPr="00587CDC">
        <w:lastRenderedPageBreak/>
        <w:t>New Modifications Proposals</w:t>
      </w:r>
      <w:bookmarkEnd w:id="15"/>
    </w:p>
    <w:p w:rsidR="00B37C09" w:rsidRPr="002F600B" w:rsidRDefault="00B37C09" w:rsidP="00B47FC6">
      <w:pPr>
        <w:rPr>
          <w:highlight w:val="yellow"/>
        </w:rPr>
      </w:pPr>
    </w:p>
    <w:p w:rsidR="00B37C09" w:rsidRPr="00F83AB3" w:rsidRDefault="00B37C09" w:rsidP="001855D9">
      <w:pPr>
        <w:pStyle w:val="Heading2"/>
        <w:numPr>
          <w:ilvl w:val="0"/>
          <w:numId w:val="30"/>
        </w:numPr>
        <w:rPr>
          <w:rStyle w:val="IntenseReference"/>
          <w:color w:val="1F497D"/>
        </w:rPr>
      </w:pPr>
      <w:bookmarkStart w:id="16" w:name="_Toc301516621"/>
      <w:r w:rsidRPr="00F83AB3">
        <w:rPr>
          <w:rStyle w:val="IntenseReference"/>
          <w:color w:val="1F497D"/>
        </w:rPr>
        <w:t>Mod_23_11 additional clause for standard letter of credit</w:t>
      </w:r>
      <w:bookmarkEnd w:id="16"/>
      <w:r w:rsidRPr="00F83AB3">
        <w:rPr>
          <w:rStyle w:val="IntenseReference"/>
          <w:color w:val="1F497D"/>
        </w:rPr>
        <w:t xml:space="preserve"> </w:t>
      </w:r>
    </w:p>
    <w:p w:rsidR="00B37C09" w:rsidRPr="00DC4C60" w:rsidRDefault="00B37C09" w:rsidP="00BE0415">
      <w:pPr>
        <w:pStyle w:val="Quote"/>
      </w:pPr>
      <w:r w:rsidRPr="00DC4C60">
        <w:t>Proposer: Airtricity</w:t>
      </w:r>
    </w:p>
    <w:p w:rsidR="00B37C09" w:rsidRPr="003C6F21" w:rsidRDefault="00B37C09" w:rsidP="00974893">
      <w:r w:rsidRPr="006C3EB8">
        <w:t xml:space="preserve">Proposers gave </w:t>
      </w:r>
      <w:r>
        <w:t xml:space="preserve">a </w:t>
      </w:r>
      <w:r w:rsidRPr="006C3EB8">
        <w:t xml:space="preserve">brief summary of both Modification Proposals. </w:t>
      </w:r>
      <w:r>
        <w:t xml:space="preserve">Supplier Alternate was in favour of discussing both proposals at the Working Group on Mod_16_11 </w:t>
      </w:r>
      <w:r w:rsidRPr="00075B38">
        <w:rPr>
          <w:i/>
        </w:rPr>
        <w:t>Credit Worthiness Test for the SEM Bank and Credit Cover Provider banks</w:t>
      </w:r>
      <w:r>
        <w:t>. SEMO Alternate expressed the view that it would be advisable to keep the proposals separate from the Working Group as it will be examining the broader topic of Credit Rating providers; whereas Mod_29_</w:t>
      </w:r>
      <w:r w:rsidRPr="0066469E">
        <w:t xml:space="preserve">11 </w:t>
      </w:r>
      <w:r w:rsidRPr="00075B38">
        <w:rPr>
          <w:i/>
        </w:rPr>
        <w:t>Revision of Standard Letter of Credit Template</w:t>
      </w:r>
      <w:r>
        <w:t xml:space="preserve"> </w:t>
      </w:r>
      <w:r w:rsidRPr="0066469E">
        <w:t xml:space="preserve">is </w:t>
      </w:r>
      <w:r>
        <w:t xml:space="preserve">a well developed proposal </w:t>
      </w:r>
      <w:r w:rsidRPr="0066469E">
        <w:t xml:space="preserve">associated with process improvements utilising one accepted standard from for Letters of Credit. Supplier Alternate was agreeable that the new standardised form should be in the Code however queried as to whether it should be the only form </w:t>
      </w:r>
      <w:r>
        <w:t xml:space="preserve">that is </w:t>
      </w:r>
      <w:r w:rsidRPr="0066469E">
        <w:t xml:space="preserve">utilised? </w:t>
      </w:r>
    </w:p>
    <w:p w:rsidR="00B37C09" w:rsidRPr="007058EA" w:rsidRDefault="00B37C09" w:rsidP="00974893">
      <w:r>
        <w:t xml:space="preserve">Proposer (Mod_29_11) </w:t>
      </w:r>
      <w:r w:rsidRPr="0066469E">
        <w:t>stated that the Code wording is extremely strict and that SEMO ha</w:t>
      </w:r>
      <w:r>
        <w:t>s</w:t>
      </w:r>
      <w:r w:rsidRPr="0066469E">
        <w:t xml:space="preserve"> streamlined the wording in Mod_29_11 in order to </w:t>
      </w:r>
      <w:r>
        <w:t>ensure that it</w:t>
      </w:r>
      <w:r w:rsidRPr="003C6F21">
        <w:t xml:space="preserve"> aligns with internationally recognised finance standards as set out in Uniform Customs &amp; Practice for Documentary Credits (UCP600) and to </w:t>
      </w:r>
      <w:r w:rsidRPr="0066469E">
        <w:t>decrease ambiguity.</w:t>
      </w:r>
      <w:r>
        <w:t xml:space="preserve"> Supplier Alternate accepted that point however queried as to what would happen if the bank were in favour of utilising a </w:t>
      </w:r>
      <w:r w:rsidRPr="002D40B5">
        <w:t xml:space="preserve">different form and reiterated the query of whether one standard template should be the only and absolute template? </w:t>
      </w:r>
      <w:r>
        <w:t>Propose</w:t>
      </w:r>
      <w:r w:rsidRPr="002D40B5">
        <w:t>r advised that the wordi</w:t>
      </w:r>
      <w:r>
        <w:t>ng in Mod_29_11, as is the case for the current Letter of Credit template, would be the only wording accepted for the</w:t>
      </w:r>
      <w:r w:rsidRPr="002D40B5">
        <w:t xml:space="preserve"> SEM and that standard Letters of Credit are equal and equitable to everybody in the SEM.</w:t>
      </w:r>
      <w:r>
        <w:t xml:space="preserve"> </w:t>
      </w:r>
      <w:r w:rsidRPr="007058EA">
        <w:t>Supplier Member advised that NIE ES’s financial experts had reviewed the proposals and had no issues with either</w:t>
      </w:r>
      <w:r>
        <w:t>,</w:t>
      </w:r>
      <w:r w:rsidRPr="007058EA">
        <w:t xml:space="preserve"> however noted a minor error in Appendix 1 of Mod_29_11 where the text should read “</w:t>
      </w:r>
      <w:r>
        <w:t xml:space="preserve">Applicant (Market Participant) </w:t>
      </w:r>
      <w:r w:rsidRPr="007058EA">
        <w:t>” rather than “Applicant</w:t>
      </w:r>
      <w:r>
        <w:t xml:space="preserve"> (Market Participant’s Bank)</w:t>
      </w:r>
      <w:r w:rsidRPr="007058EA">
        <w:t>”.</w:t>
      </w:r>
    </w:p>
    <w:p w:rsidR="00B37C09" w:rsidRDefault="00B37C09" w:rsidP="00974893">
      <w:r w:rsidRPr="002D40B5">
        <w:t>Observer queried under which legislation does one dispute a Le</w:t>
      </w:r>
      <w:r>
        <w:t xml:space="preserve">tter of Credit if opposed to it. </w:t>
      </w:r>
      <w:r w:rsidRPr="002D40B5">
        <w:t>Proposer advised that jurisdiction is irrelevant for disputes and that the recent UCP600 is binding for all jurisdictions and governs all action on disputes.</w:t>
      </w:r>
      <w:r>
        <w:t xml:space="preserve"> The Chair queried as to whether the legal drafting in </w:t>
      </w:r>
      <w:r w:rsidRPr="00D446A6">
        <w:t xml:space="preserve">Mod_23_11 </w:t>
      </w:r>
      <w:r w:rsidRPr="00075B38">
        <w:rPr>
          <w:i/>
        </w:rPr>
        <w:t>Additional clause for Standard Letter of Credit</w:t>
      </w:r>
      <w:r>
        <w:t xml:space="preserve"> </w:t>
      </w:r>
      <w:r w:rsidRPr="00D446A6">
        <w:t>could be included as additional wording to Mod</w:t>
      </w:r>
      <w:r>
        <w:t>_29_11. SEMO advised that the</w:t>
      </w:r>
      <w:r w:rsidRPr="00D446A6">
        <w:t xml:space="preserve"> wording of Mod_23_11</w:t>
      </w:r>
      <w:r>
        <w:t xml:space="preserve"> </w:t>
      </w:r>
      <w:r w:rsidRPr="00D446A6">
        <w:t>is not featured in SEMO’s Mod_29_11. SEMO Alternate advis</w:t>
      </w:r>
      <w:r>
        <w:t>e</w:t>
      </w:r>
      <w:r w:rsidRPr="00D446A6">
        <w:t xml:space="preserve">d that the SEM bank had been consulted regarding </w:t>
      </w:r>
      <w:r>
        <w:t>Mod_23</w:t>
      </w:r>
      <w:r w:rsidRPr="00D446A6">
        <w:t>_11</w:t>
      </w:r>
      <w:r>
        <w:t>,</w:t>
      </w:r>
      <w:r w:rsidRPr="00D446A6">
        <w:t xml:space="preserve"> which states that banking practice has changed</w:t>
      </w:r>
      <w:r>
        <w:t>,</w:t>
      </w:r>
      <w:r w:rsidRPr="00D446A6">
        <w:t xml:space="preserve"> with Lloyds advising that the clause set out in the legal drafting of Mod_23_11 must now be included within any Standby Letters of Credit issued by them in order to comply with more stringent financial regulations. </w:t>
      </w:r>
      <w:r>
        <w:t xml:space="preserve">SEMO Member asked whether the Proposer (Mod_23_11) had, further to conference call with SEMO prior to the Modifications meeting, checked with their bank where the requirements had come from as it was the opinion of the SEM Bank that they were not standard provisions. Proposer (Mod_23_11) advised that they had not yet received an answer but would take as an action.  </w:t>
      </w:r>
    </w:p>
    <w:p w:rsidR="00B37C09" w:rsidRPr="009503AA" w:rsidRDefault="00B37C09" w:rsidP="00974893">
      <w:r w:rsidRPr="00D446A6">
        <w:t xml:space="preserve">Proposer </w:t>
      </w:r>
      <w:r>
        <w:t xml:space="preserve">(Mod_29_11) </w:t>
      </w:r>
      <w:r w:rsidRPr="00D446A6">
        <w:t>advised that alternative wording may be an option however stated that it is not possible to have a caveat that is applicable to only one Participant</w:t>
      </w:r>
      <w:r>
        <w:t>. Supplier Member stated that it was not possible to vote on Mod_23_11 as the proposer was awaiting feedback from Lloyds and that it was preferable to wait until that feedback has been received before a vote on Mod_29_11 is cast.</w:t>
      </w:r>
    </w:p>
    <w:p w:rsidR="00B37C09" w:rsidRPr="0054652F" w:rsidRDefault="00B37C09" w:rsidP="00973F0D">
      <w:pPr>
        <w:pStyle w:val="IntenseQuote"/>
      </w:pPr>
      <w:r w:rsidRPr="0054652F">
        <w:t xml:space="preserve">Actions </w:t>
      </w:r>
    </w:p>
    <w:p w:rsidR="00B37C09" w:rsidRPr="0054652F" w:rsidRDefault="00B37C09" w:rsidP="002E5AFD">
      <w:pPr>
        <w:numPr>
          <w:ilvl w:val="0"/>
          <w:numId w:val="14"/>
        </w:numPr>
      </w:pPr>
      <w:r w:rsidRPr="0054652F">
        <w:t xml:space="preserve">Airtricity to attain feedback </w:t>
      </w:r>
      <w:r>
        <w:t>regarding Mod_23_11 from Lloyds</w:t>
      </w:r>
      <w:r w:rsidRPr="0054652F">
        <w:t>.</w:t>
      </w:r>
    </w:p>
    <w:p w:rsidR="00B37C09" w:rsidRDefault="00B37C09" w:rsidP="00B27E7B">
      <w:pPr>
        <w:numPr>
          <w:ilvl w:val="0"/>
          <w:numId w:val="14"/>
        </w:numPr>
      </w:pPr>
      <w:r w:rsidRPr="0054652F">
        <w:t>Participants</w:t>
      </w:r>
      <w:r>
        <w:t xml:space="preserve"> to review </w:t>
      </w:r>
      <w:r w:rsidRPr="0054652F">
        <w:t xml:space="preserve">both </w:t>
      </w:r>
      <w:r>
        <w:t>Modification Proposals (</w:t>
      </w:r>
      <w:r w:rsidRPr="0054652F">
        <w:t>Mod_23_11 and Mod_29_11</w:t>
      </w:r>
      <w:r>
        <w:t>)</w:t>
      </w:r>
      <w:r w:rsidR="00341680" w:rsidRPr="00341680">
        <w:t xml:space="preserve"> </w:t>
      </w:r>
      <w:r w:rsidR="00341680">
        <w:t>and submit comments in advance of Meeting 38.</w:t>
      </w:r>
    </w:p>
    <w:p w:rsidR="00B37C09" w:rsidRPr="004D3D56" w:rsidRDefault="00B37C09" w:rsidP="00B27E7B">
      <w:pPr>
        <w:pStyle w:val="IntenseQuote"/>
        <w:ind w:left="1080"/>
      </w:pPr>
      <w:r>
        <w:t>Decision</w:t>
      </w:r>
    </w:p>
    <w:p w:rsidR="00B37C09" w:rsidRDefault="00B37C09" w:rsidP="007F058D">
      <w:pPr>
        <w:pStyle w:val="Bullet1"/>
        <w:numPr>
          <w:ilvl w:val="0"/>
          <w:numId w:val="12"/>
        </w:numPr>
      </w:pPr>
      <w:r>
        <w:lastRenderedPageBreak/>
        <w:t>Committee agreed to defer the proposal.</w:t>
      </w:r>
    </w:p>
    <w:p w:rsidR="00B37C09" w:rsidRPr="00B27E7B" w:rsidRDefault="00B37C09" w:rsidP="00B27E7B">
      <w:pPr>
        <w:pStyle w:val="Bullet1"/>
        <w:numPr>
          <w:ilvl w:val="0"/>
          <w:numId w:val="0"/>
        </w:numPr>
        <w:ind w:left="1080"/>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941FC5">
        <w:trPr>
          <w:jc w:val="center"/>
        </w:trPr>
        <w:tc>
          <w:tcPr>
            <w:tcW w:w="5000" w:type="pct"/>
            <w:shd w:val="clear" w:color="auto" w:fill="548DD4"/>
          </w:tcPr>
          <w:p w:rsidR="00B37C09" w:rsidRPr="005A4EAE" w:rsidRDefault="00B37C09" w:rsidP="00941FC5">
            <w:pPr>
              <w:spacing w:before="40" w:after="40"/>
              <w:jc w:val="center"/>
              <w:rPr>
                <w:b/>
                <w:color w:val="FFFFFF"/>
                <w:highlight w:val="yellow"/>
              </w:rPr>
            </w:pPr>
            <w:r w:rsidRPr="005A4EAE">
              <w:rPr>
                <w:b/>
                <w:color w:val="FFFFFF"/>
              </w:rPr>
              <w:t>Deferred</w:t>
            </w:r>
          </w:p>
        </w:tc>
      </w:tr>
    </w:tbl>
    <w:p w:rsidR="00B37C09" w:rsidRDefault="00B37C09" w:rsidP="008336A6">
      <w:pPr>
        <w:rPr>
          <w:highlight w:val="yellow"/>
        </w:rPr>
      </w:pPr>
    </w:p>
    <w:p w:rsidR="00B37C09" w:rsidRDefault="00B37C09" w:rsidP="001855D9">
      <w:pPr>
        <w:pStyle w:val="Heading2"/>
        <w:numPr>
          <w:ilvl w:val="0"/>
          <w:numId w:val="30"/>
        </w:numPr>
        <w:rPr>
          <w:rStyle w:val="IntenseReference"/>
          <w:color w:val="1F497D"/>
        </w:rPr>
      </w:pPr>
      <w:bookmarkStart w:id="17" w:name="_Toc301516622"/>
      <w:r w:rsidRPr="00F83AB3">
        <w:rPr>
          <w:rStyle w:val="IntenseReference"/>
          <w:color w:val="1F497D"/>
        </w:rPr>
        <w:t>Mod_29_11 Revision of Standard Letter of cre</w:t>
      </w:r>
      <w:r>
        <w:rPr>
          <w:rStyle w:val="IntenseReference"/>
          <w:color w:val="1F497D"/>
        </w:rPr>
        <w:t>dit template</w:t>
      </w:r>
      <w:bookmarkEnd w:id="17"/>
      <w:r w:rsidRPr="00F83AB3">
        <w:rPr>
          <w:rStyle w:val="IntenseReference"/>
          <w:color w:val="1F497D"/>
        </w:rPr>
        <w:t xml:space="preserve"> </w:t>
      </w:r>
    </w:p>
    <w:p w:rsidR="00B37C09" w:rsidRDefault="00B37C09" w:rsidP="00906A7E">
      <w:pPr>
        <w:pStyle w:val="Quote"/>
      </w:pPr>
      <w:r w:rsidRPr="001855D9">
        <w:t>Proposer: SEMO</w:t>
      </w:r>
    </w:p>
    <w:p w:rsidR="00B37C09" w:rsidRPr="001855D9" w:rsidRDefault="00B37C09" w:rsidP="001855D9">
      <w:r>
        <w:t xml:space="preserve">Discussed with Mod_23_11 </w:t>
      </w:r>
      <w:r w:rsidRPr="00075B38">
        <w:rPr>
          <w:i/>
        </w:rPr>
        <w:t>Additional Clause for Standard Letter of Credit.</w:t>
      </w:r>
      <w:r>
        <w:t xml:space="preserve"> Please see above.</w:t>
      </w:r>
    </w:p>
    <w:p w:rsidR="00B37C09" w:rsidRPr="00B6587D" w:rsidRDefault="00B37C09" w:rsidP="00906A7E">
      <w:pPr>
        <w:pStyle w:val="IntenseQuote"/>
      </w:pPr>
      <w:r w:rsidRPr="00B6587D">
        <w:t xml:space="preserve">Actions </w:t>
      </w:r>
    </w:p>
    <w:p w:rsidR="00B37C09" w:rsidRDefault="00B37C09" w:rsidP="003331F6">
      <w:pPr>
        <w:numPr>
          <w:ilvl w:val="0"/>
          <w:numId w:val="9"/>
        </w:numPr>
      </w:pPr>
      <w:r w:rsidRPr="00B6587D">
        <w:t>N/A</w:t>
      </w:r>
    </w:p>
    <w:p w:rsidR="00B37C09" w:rsidRPr="004D3D56" w:rsidRDefault="00B37C09" w:rsidP="00B27E7B">
      <w:pPr>
        <w:pStyle w:val="IntenseQuote"/>
        <w:ind w:left="1080"/>
      </w:pPr>
      <w:r>
        <w:t>Decision</w:t>
      </w:r>
    </w:p>
    <w:p w:rsidR="00B37C09" w:rsidRPr="00B6587D" w:rsidRDefault="00B37C09" w:rsidP="00B27E7B">
      <w:pPr>
        <w:pStyle w:val="Bullet1"/>
        <w:numPr>
          <w:ilvl w:val="0"/>
          <w:numId w:val="12"/>
        </w:numPr>
      </w:pPr>
      <w:r>
        <w:t>Committee agreed to defer the proposal.</w:t>
      </w:r>
    </w:p>
    <w:tbl>
      <w:tblPr>
        <w:tblW w:w="2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4"/>
      </w:tblGrid>
      <w:tr w:rsidR="00B37C09" w:rsidRPr="002F600B" w:rsidTr="00906A7E">
        <w:trPr>
          <w:jc w:val="center"/>
        </w:trPr>
        <w:tc>
          <w:tcPr>
            <w:tcW w:w="5000" w:type="pct"/>
            <w:shd w:val="clear" w:color="auto" w:fill="548DD4"/>
          </w:tcPr>
          <w:p w:rsidR="00B37C09" w:rsidRPr="002F600B" w:rsidRDefault="00B37C09" w:rsidP="00BB43D4">
            <w:pPr>
              <w:spacing w:before="40" w:after="40"/>
              <w:rPr>
                <w:b/>
                <w:color w:val="FFFFFF"/>
                <w:sz w:val="16"/>
                <w:szCs w:val="16"/>
                <w:highlight w:val="yellow"/>
              </w:rPr>
            </w:pPr>
            <w:r>
              <w:rPr>
                <w:b/>
                <w:color w:val="FFFFFF"/>
                <w:sz w:val="16"/>
                <w:szCs w:val="16"/>
              </w:rPr>
              <w:tab/>
            </w:r>
            <w:r>
              <w:rPr>
                <w:b/>
                <w:color w:val="FFFFFF"/>
                <w:sz w:val="16"/>
                <w:szCs w:val="16"/>
              </w:rPr>
              <w:tab/>
            </w:r>
            <w:r>
              <w:rPr>
                <w:b/>
                <w:color w:val="FFFFFF"/>
                <w:sz w:val="16"/>
                <w:szCs w:val="16"/>
              </w:rPr>
              <w:tab/>
            </w:r>
            <w:r w:rsidRPr="005A4EAE">
              <w:rPr>
                <w:b/>
                <w:color w:val="FFFFFF"/>
              </w:rPr>
              <w:t>Deferred</w:t>
            </w:r>
            <w:r w:rsidRPr="002F600B">
              <w:rPr>
                <w:b/>
                <w:color w:val="FFFFFF"/>
                <w:sz w:val="16"/>
                <w:szCs w:val="16"/>
                <w:highlight w:val="yellow"/>
              </w:rPr>
              <w:t xml:space="preserve"> </w:t>
            </w:r>
          </w:p>
        </w:tc>
      </w:tr>
    </w:tbl>
    <w:p w:rsidR="00B37C09" w:rsidRPr="002F600B" w:rsidRDefault="00B37C09" w:rsidP="008336A6">
      <w:pPr>
        <w:rPr>
          <w:highlight w:val="yellow"/>
        </w:rPr>
      </w:pPr>
    </w:p>
    <w:p w:rsidR="00B37C09" w:rsidRPr="003128CC" w:rsidRDefault="00B37C09" w:rsidP="003128CC">
      <w:pPr>
        <w:pStyle w:val="Heading2"/>
        <w:numPr>
          <w:ilvl w:val="0"/>
          <w:numId w:val="30"/>
        </w:numPr>
        <w:rPr>
          <w:rStyle w:val="IntenseReference"/>
          <w:color w:val="1F497D"/>
        </w:rPr>
      </w:pPr>
      <w:bookmarkStart w:id="18" w:name="_Toc301516623"/>
      <w:r w:rsidRPr="003128CC">
        <w:rPr>
          <w:rStyle w:val="IntenseReference"/>
          <w:color w:val="1F497D"/>
        </w:rPr>
        <w:t>Mod_24_11 reflection of physical fixity of interconnector flows in operational data</w:t>
      </w:r>
      <w:bookmarkEnd w:id="18"/>
    </w:p>
    <w:p w:rsidR="00B37C09" w:rsidRPr="00D05715" w:rsidRDefault="00B37C09" w:rsidP="00AE1BAE">
      <w:pPr>
        <w:pStyle w:val="Quote"/>
      </w:pPr>
      <w:r w:rsidRPr="00D05715">
        <w:t>Proposer: Airtricity</w:t>
      </w:r>
      <w:r>
        <w:t>- AP only</w:t>
      </w:r>
    </w:p>
    <w:p w:rsidR="00B37C09" w:rsidRDefault="00B37C09" w:rsidP="00B95452">
      <w:pPr>
        <w:rPr>
          <w:rFonts w:ascii="Calibri" w:hAnsi="Calibri" w:cs="Arial"/>
          <w:lang w:val="en-IE"/>
        </w:rPr>
      </w:pPr>
      <w:r w:rsidRPr="00B95452">
        <w:t>Proposer provided a brief outline of the proposal. Given the anticipated increases in cross-border trades with effective capacity increases at Moyle and new capacity with EWIC, it is not improbable for a situation to arise where data values may change between the Indicative (D+1) and the Initial (D+4).</w:t>
      </w:r>
    </w:p>
    <w:p w:rsidR="00B37C09" w:rsidRPr="00B95452" w:rsidRDefault="00B37C09" w:rsidP="00AE1BAE">
      <w:r w:rsidRPr="00B95452">
        <w:t xml:space="preserve"> SO Alternate gave a </w:t>
      </w:r>
      <w:hyperlink r:id="rId27" w:history="1">
        <w:r w:rsidRPr="006B576D">
          <w:rPr>
            <w:rStyle w:val="Hyperlink"/>
          </w:rPr>
          <w:t>presentation</w:t>
        </w:r>
      </w:hyperlink>
      <w:r w:rsidRPr="00B95452">
        <w:t xml:space="preserve"> regarding the proposal</w:t>
      </w:r>
      <w:r>
        <w:t>,</w:t>
      </w:r>
      <w:r w:rsidRPr="00B95452">
        <w:t xml:space="preserve"> emphasising the necessity for SONI to be able to </w:t>
      </w:r>
      <w:r>
        <w:t xml:space="preserve">submit the D + 3 meter file as data fro the last twelve hours of the Optimisation Time Horizon is not available until this time ; also outlining how </w:t>
      </w:r>
      <w:r w:rsidRPr="00B95452">
        <w:t>the issue of removing feeds would impact negatively on the SO.</w:t>
      </w:r>
      <w:r>
        <w:t xml:space="preserve"> SO Alternate advised that to date </w:t>
      </w:r>
      <w:r w:rsidRPr="00B95452">
        <w:t xml:space="preserve">there have been no issues that </w:t>
      </w:r>
      <w:r>
        <w:t xml:space="preserve">they have been </w:t>
      </w:r>
      <w:r w:rsidRPr="00B95452">
        <w:t>aware of in relation to differences between D+1 and D+4 submissions.</w:t>
      </w:r>
      <w:r>
        <w:t xml:space="preserve"> Supplier Member stated that the only reason for a need to change from the existing arrangement </w:t>
      </w:r>
      <w:r w:rsidRPr="0033471E">
        <w:t>would be due to I</w:t>
      </w:r>
      <w:r>
        <w:t>DT</w:t>
      </w:r>
      <w:r w:rsidRPr="0033471E">
        <w:t xml:space="preserve"> issues, thus the proposal would be too restrictive as it would allow for only one only one opportunity for resubmission of a file. </w:t>
      </w:r>
      <w:r>
        <w:t xml:space="preserve">The Committee and proposer were in agreement to withdraw the proposal. </w:t>
      </w:r>
    </w:p>
    <w:p w:rsidR="00B37C09" w:rsidRPr="0033471E" w:rsidRDefault="00B37C09" w:rsidP="00906A7E">
      <w:pPr>
        <w:pStyle w:val="IntenseQuote"/>
        <w:rPr>
          <w:i w:val="0"/>
        </w:rPr>
      </w:pPr>
      <w:r w:rsidRPr="0033471E">
        <w:rPr>
          <w:i w:val="0"/>
        </w:rPr>
        <w:t xml:space="preserve">Actions </w:t>
      </w:r>
    </w:p>
    <w:p w:rsidR="00B37C09" w:rsidRDefault="00B37C09" w:rsidP="00EA5C0E">
      <w:pPr>
        <w:numPr>
          <w:ilvl w:val="0"/>
          <w:numId w:val="15"/>
        </w:numPr>
      </w:pPr>
      <w:r w:rsidRPr="00D05715">
        <w:t>Sec</w:t>
      </w:r>
      <w:r>
        <w:t>retariat</w:t>
      </w:r>
      <w:r w:rsidRPr="00D05715">
        <w:t xml:space="preserve"> to publish withdrawal notification</w:t>
      </w:r>
      <w:r>
        <w:t>.</w:t>
      </w:r>
    </w:p>
    <w:p w:rsidR="00B37C09" w:rsidRPr="004D3D56" w:rsidRDefault="00B37C09" w:rsidP="00B27E7B">
      <w:pPr>
        <w:pStyle w:val="IntenseQuote"/>
        <w:ind w:left="1080"/>
      </w:pPr>
      <w:r>
        <w:t>Decision</w:t>
      </w:r>
    </w:p>
    <w:p w:rsidR="00B37C09" w:rsidRPr="00D05715" w:rsidRDefault="00B37C09" w:rsidP="009B5668">
      <w:pPr>
        <w:pStyle w:val="Bullet1"/>
        <w:numPr>
          <w:ilvl w:val="0"/>
          <w:numId w:val="12"/>
        </w:numPr>
      </w:pPr>
      <w:r>
        <w:t>Committee agreed to withdraw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941FC5">
        <w:trPr>
          <w:jc w:val="center"/>
        </w:trPr>
        <w:tc>
          <w:tcPr>
            <w:tcW w:w="5000" w:type="pct"/>
            <w:shd w:val="clear" w:color="auto" w:fill="548DD4"/>
          </w:tcPr>
          <w:p w:rsidR="00B37C09" w:rsidRPr="002F600B" w:rsidRDefault="00B37C09" w:rsidP="00D05715">
            <w:pPr>
              <w:spacing w:before="40" w:after="40"/>
              <w:rPr>
                <w:b/>
                <w:color w:val="FFFFFF"/>
                <w:sz w:val="16"/>
                <w:szCs w:val="16"/>
                <w:highlight w:val="yellow"/>
              </w:rPr>
            </w:pPr>
            <w:r>
              <w:rPr>
                <w:b/>
                <w:color w:val="FFFFFF"/>
              </w:rPr>
              <w:tab/>
            </w:r>
            <w:r>
              <w:rPr>
                <w:b/>
                <w:color w:val="FFFFFF"/>
              </w:rPr>
              <w:tab/>
            </w:r>
            <w:r>
              <w:rPr>
                <w:b/>
                <w:color w:val="FFFFFF"/>
              </w:rPr>
              <w:tab/>
            </w:r>
            <w:r w:rsidRPr="00D05715">
              <w:rPr>
                <w:b/>
                <w:color w:val="FFFFFF"/>
              </w:rPr>
              <w:t>Withdrawn</w:t>
            </w:r>
          </w:p>
        </w:tc>
      </w:tr>
    </w:tbl>
    <w:p w:rsidR="00B37C09" w:rsidRPr="007019EA" w:rsidRDefault="00B37C09" w:rsidP="008336A6">
      <w:pPr>
        <w:rPr>
          <w:color w:val="1F497D"/>
        </w:rPr>
      </w:pPr>
    </w:p>
    <w:p w:rsidR="00B37C09" w:rsidRPr="007019EA" w:rsidRDefault="00B37C09" w:rsidP="007019EA">
      <w:pPr>
        <w:pStyle w:val="Heading2"/>
        <w:numPr>
          <w:ilvl w:val="0"/>
          <w:numId w:val="30"/>
        </w:numPr>
        <w:rPr>
          <w:rStyle w:val="IntenseReference"/>
          <w:color w:val="1F497D"/>
        </w:rPr>
      </w:pPr>
      <w:bookmarkStart w:id="19" w:name="_Toc301516624"/>
      <w:r w:rsidRPr="007019EA">
        <w:rPr>
          <w:rStyle w:val="IntenseReference"/>
          <w:color w:val="1F497D"/>
        </w:rPr>
        <w:t xml:space="preserve">Mod_25_11 </w:t>
      </w:r>
      <w:r>
        <w:rPr>
          <w:rStyle w:val="IntenseReference"/>
          <w:color w:val="1F497D"/>
        </w:rPr>
        <w:t>sepa</w:t>
      </w:r>
      <w:r w:rsidRPr="007019EA">
        <w:rPr>
          <w:rStyle w:val="IntenseReference"/>
          <w:color w:val="1F497D"/>
        </w:rPr>
        <w:t>rate residual meter volume interval proportions for each jurisdiction</w:t>
      </w:r>
      <w:bookmarkEnd w:id="19"/>
    </w:p>
    <w:p w:rsidR="00B37C09" w:rsidRDefault="00B37C09" w:rsidP="00906A7E">
      <w:pPr>
        <w:pStyle w:val="Quote"/>
      </w:pPr>
      <w:r w:rsidRPr="00B20DB5">
        <w:lastRenderedPageBreak/>
        <w:t>Proposer: Regulatory Authorities</w:t>
      </w:r>
    </w:p>
    <w:p w:rsidR="00B37C09" w:rsidRPr="00E65AB2" w:rsidRDefault="00B37C09" w:rsidP="006F714E">
      <w:r>
        <w:t xml:space="preserve">Regulatory Authority provided brief outline of proposal advising that it is in relation </w:t>
      </w:r>
      <w:r w:rsidRPr="00E65AB2">
        <w:t>Mod_34_09</w:t>
      </w:r>
      <w:r>
        <w:t xml:space="preserve"> </w:t>
      </w:r>
      <w:r w:rsidRPr="00075B38">
        <w:rPr>
          <w:i/>
        </w:rPr>
        <w:t>Global Settlement.</w:t>
      </w:r>
      <w:r w:rsidRPr="00075B38">
        <w:t xml:space="preserve"> The proposal allows for different values of the Residual Meter Volume Interval Proportion to be used in each Currency Zone and gives the provision</w:t>
      </w:r>
      <w:r w:rsidRPr="00E65AB2">
        <w:t xml:space="preserve"> for </w:t>
      </w:r>
      <w:r>
        <w:t xml:space="preserve">the </w:t>
      </w:r>
      <w:r w:rsidRPr="00E65AB2">
        <w:t xml:space="preserve">value to be reviewed annually. </w:t>
      </w:r>
      <w:r>
        <w:t>Discussion arose around the wording in Section 4.82A with Supplier Alternate advising that it was ambiguous. The Committee agreed that the legal drafting Section 4.82A referring to “from time to time” will be removed while the deleted sentence will be re-instated into the Code. It was also agreed that Section 4.92C will be amended to include the equation that will be deleted out of the Code if the proposal is Approved by the RAs.</w:t>
      </w:r>
    </w:p>
    <w:p w:rsidR="00B37C09" w:rsidRPr="00E65AB2" w:rsidRDefault="00B37C09" w:rsidP="00906A7E">
      <w:pPr>
        <w:pStyle w:val="IntenseQuote"/>
      </w:pPr>
      <w:r w:rsidRPr="00E65AB2">
        <w:t xml:space="preserve">Actions </w:t>
      </w:r>
    </w:p>
    <w:p w:rsidR="00F9752E" w:rsidRPr="00307813" w:rsidRDefault="00F9752E" w:rsidP="00F9752E">
      <w:pPr>
        <w:numPr>
          <w:ilvl w:val="0"/>
          <w:numId w:val="10"/>
        </w:numPr>
      </w:pPr>
      <w:r w:rsidRPr="00307813">
        <w:t>Secretariat to ensure FRR contains legal drafting changes</w:t>
      </w:r>
      <w:r>
        <w:t xml:space="preserve"> agreed at the Meeting</w:t>
      </w:r>
      <w:r w:rsidRPr="00307813">
        <w:t>.</w:t>
      </w:r>
    </w:p>
    <w:p w:rsidR="000B3423" w:rsidRPr="000B3423" w:rsidRDefault="00445E31" w:rsidP="009B5668">
      <w:pPr>
        <w:pStyle w:val="IntenseQuote"/>
        <w:ind w:left="720"/>
      </w:pPr>
      <w:r>
        <w:t>Decision</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B37C09" w:rsidRPr="002F600B" w:rsidTr="00941FC5">
        <w:trPr>
          <w:jc w:val="center"/>
        </w:trPr>
        <w:tc>
          <w:tcPr>
            <w:tcW w:w="5000" w:type="pct"/>
            <w:gridSpan w:val="3"/>
            <w:shd w:val="clear" w:color="auto" w:fill="548DD4"/>
          </w:tcPr>
          <w:p w:rsidR="00B37C09" w:rsidRPr="00781E8B" w:rsidRDefault="00B37C09" w:rsidP="003514EC">
            <w:pPr>
              <w:spacing w:before="40" w:after="40"/>
              <w:jc w:val="center"/>
              <w:rPr>
                <w:b/>
                <w:color w:val="FFFFFF"/>
                <w:highlight w:val="yellow"/>
              </w:rPr>
            </w:pPr>
            <w:r w:rsidRPr="00781E8B">
              <w:rPr>
                <w:b/>
                <w:color w:val="FFFFFF"/>
              </w:rPr>
              <w:t>Recommended for Approval</w:t>
            </w:r>
            <w:r>
              <w:rPr>
                <w:b/>
                <w:color w:val="FFFFFF"/>
              </w:rPr>
              <w:t xml:space="preserve"> (subject to Legal Drafting changes)</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Generator Alternate</w:t>
            </w:r>
          </w:p>
        </w:tc>
        <w:tc>
          <w:tcPr>
            <w:tcW w:w="1323" w:type="pct"/>
          </w:tcPr>
          <w:p w:rsidR="00B37C09" w:rsidRPr="00781E8B" w:rsidRDefault="00B37C09" w:rsidP="00941FC5">
            <w:pPr>
              <w:spacing w:before="40" w:after="40"/>
              <w:rPr>
                <w:sz w:val="16"/>
                <w:szCs w:val="16"/>
              </w:rPr>
            </w:pPr>
            <w:r w:rsidRPr="00781E8B">
              <w:rPr>
                <w:sz w:val="16"/>
                <w:szCs w:val="16"/>
              </w:rPr>
              <w:t>Brian Mongan</w:t>
            </w:r>
          </w:p>
        </w:tc>
        <w:tc>
          <w:tcPr>
            <w:tcW w:w="1986" w:type="pct"/>
          </w:tcPr>
          <w:p w:rsidR="00B37C09" w:rsidRPr="00781E8B" w:rsidRDefault="00B37C09" w:rsidP="00941FC5">
            <w:pPr>
              <w:spacing w:before="40" w:after="40"/>
              <w:rPr>
                <w:sz w:val="16"/>
                <w:szCs w:val="16"/>
              </w:rPr>
            </w:pPr>
            <w:r w:rsidRPr="00781E8B">
              <w:rPr>
                <w:sz w:val="16"/>
                <w:szCs w:val="16"/>
              </w:rPr>
              <w:t>AES</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Generator Alternate</w:t>
            </w:r>
          </w:p>
        </w:tc>
        <w:tc>
          <w:tcPr>
            <w:tcW w:w="1323" w:type="pct"/>
          </w:tcPr>
          <w:p w:rsidR="00B37C09" w:rsidRPr="00781E8B" w:rsidRDefault="00B37C09" w:rsidP="00941FC5">
            <w:pPr>
              <w:spacing w:before="40" w:after="40"/>
              <w:rPr>
                <w:sz w:val="16"/>
                <w:szCs w:val="16"/>
              </w:rPr>
            </w:pPr>
            <w:r w:rsidRPr="00781E8B">
              <w:rPr>
                <w:sz w:val="16"/>
                <w:szCs w:val="16"/>
              </w:rPr>
              <w:t>Mary Doorly</w:t>
            </w:r>
          </w:p>
        </w:tc>
        <w:tc>
          <w:tcPr>
            <w:tcW w:w="1986" w:type="pct"/>
          </w:tcPr>
          <w:p w:rsidR="00B37C09" w:rsidRPr="00781E8B" w:rsidRDefault="00B37C09" w:rsidP="00941FC5">
            <w:pPr>
              <w:spacing w:before="40" w:after="40"/>
              <w:rPr>
                <w:sz w:val="16"/>
                <w:szCs w:val="16"/>
              </w:rPr>
            </w:pPr>
            <w:r w:rsidRPr="00781E8B">
              <w:rPr>
                <w:sz w:val="16"/>
                <w:szCs w:val="16"/>
              </w:rPr>
              <w:t>IWEA</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Supplier Member</w:t>
            </w:r>
          </w:p>
        </w:tc>
        <w:tc>
          <w:tcPr>
            <w:tcW w:w="1323" w:type="pct"/>
          </w:tcPr>
          <w:p w:rsidR="00B37C09" w:rsidRPr="00781E8B" w:rsidRDefault="00B37C09" w:rsidP="00941FC5">
            <w:pPr>
              <w:spacing w:before="40" w:after="40"/>
              <w:rPr>
                <w:sz w:val="16"/>
                <w:szCs w:val="16"/>
              </w:rPr>
            </w:pPr>
            <w:r w:rsidRPr="00781E8B">
              <w:rPr>
                <w:sz w:val="16"/>
                <w:szCs w:val="16"/>
              </w:rPr>
              <w:t>William Steele</w:t>
            </w:r>
          </w:p>
        </w:tc>
        <w:tc>
          <w:tcPr>
            <w:tcW w:w="1986" w:type="pct"/>
          </w:tcPr>
          <w:p w:rsidR="00B37C09" w:rsidRPr="00781E8B" w:rsidRDefault="00B37C09" w:rsidP="00941FC5">
            <w:pPr>
              <w:spacing w:before="40" w:after="40"/>
              <w:rPr>
                <w:sz w:val="16"/>
                <w:szCs w:val="16"/>
              </w:rPr>
            </w:pPr>
            <w:r w:rsidRPr="00781E8B">
              <w:rPr>
                <w:sz w:val="16"/>
                <w:szCs w:val="16"/>
              </w:rPr>
              <w:t>NIE Energy Supply</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Generator Member</w:t>
            </w:r>
          </w:p>
        </w:tc>
        <w:tc>
          <w:tcPr>
            <w:tcW w:w="1323" w:type="pct"/>
          </w:tcPr>
          <w:p w:rsidR="00B37C09" w:rsidRPr="00781E8B" w:rsidRDefault="00B37C09" w:rsidP="00941FC5">
            <w:pPr>
              <w:spacing w:before="40" w:after="40"/>
              <w:rPr>
                <w:sz w:val="16"/>
                <w:szCs w:val="16"/>
              </w:rPr>
            </w:pPr>
            <w:r w:rsidRPr="00781E8B">
              <w:rPr>
                <w:sz w:val="16"/>
                <w:szCs w:val="16"/>
              </w:rPr>
              <w:t>Andrew Burke</w:t>
            </w:r>
          </w:p>
        </w:tc>
        <w:tc>
          <w:tcPr>
            <w:tcW w:w="1986" w:type="pct"/>
          </w:tcPr>
          <w:p w:rsidR="00B37C09" w:rsidRPr="00781E8B" w:rsidRDefault="00B37C09" w:rsidP="005717EE">
            <w:pPr>
              <w:spacing w:before="40" w:after="40"/>
              <w:rPr>
                <w:sz w:val="16"/>
                <w:szCs w:val="16"/>
              </w:rPr>
            </w:pPr>
            <w:r w:rsidRPr="00781E8B">
              <w:rPr>
                <w:sz w:val="16"/>
                <w:szCs w:val="16"/>
              </w:rPr>
              <w:t>ESB</w:t>
            </w:r>
            <w:r>
              <w:rPr>
                <w:sz w:val="16"/>
                <w:szCs w:val="16"/>
              </w:rPr>
              <w:t>I</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Supplier Member</w:t>
            </w:r>
          </w:p>
        </w:tc>
        <w:tc>
          <w:tcPr>
            <w:tcW w:w="1323" w:type="pct"/>
          </w:tcPr>
          <w:p w:rsidR="00B37C09" w:rsidRPr="00781E8B" w:rsidRDefault="00B37C09" w:rsidP="00941FC5">
            <w:pPr>
              <w:spacing w:before="40" w:after="40"/>
              <w:rPr>
                <w:sz w:val="16"/>
                <w:szCs w:val="16"/>
              </w:rPr>
            </w:pPr>
            <w:r w:rsidRPr="00781E8B">
              <w:rPr>
                <w:sz w:val="16"/>
                <w:szCs w:val="16"/>
              </w:rPr>
              <w:t>Jill Murray</w:t>
            </w:r>
          </w:p>
        </w:tc>
        <w:tc>
          <w:tcPr>
            <w:tcW w:w="1986" w:type="pct"/>
          </w:tcPr>
          <w:p w:rsidR="00B37C09" w:rsidRPr="00781E8B" w:rsidRDefault="00B37C09" w:rsidP="00941FC5">
            <w:pPr>
              <w:spacing w:before="40" w:after="40"/>
              <w:rPr>
                <w:sz w:val="16"/>
                <w:szCs w:val="16"/>
              </w:rPr>
            </w:pPr>
            <w:r w:rsidRPr="00781E8B">
              <w:rPr>
                <w:sz w:val="16"/>
                <w:szCs w:val="16"/>
              </w:rPr>
              <w:t>Bord G</w:t>
            </w:r>
            <w:r w:rsidRPr="00781E8B">
              <w:rPr>
                <w:rFonts w:cs="Arial"/>
                <w:sz w:val="16"/>
                <w:szCs w:val="16"/>
              </w:rPr>
              <w:t>á</w:t>
            </w:r>
            <w:r w:rsidRPr="00781E8B">
              <w:rPr>
                <w:sz w:val="16"/>
                <w:szCs w:val="16"/>
              </w:rPr>
              <w:t>is Energy Supply</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Supplier Alternate</w:t>
            </w:r>
          </w:p>
        </w:tc>
        <w:tc>
          <w:tcPr>
            <w:tcW w:w="1323" w:type="pct"/>
          </w:tcPr>
          <w:p w:rsidR="00B37C09" w:rsidRPr="00781E8B" w:rsidRDefault="00B37C09" w:rsidP="00941FC5">
            <w:pPr>
              <w:spacing w:before="40" w:after="40"/>
              <w:rPr>
                <w:sz w:val="16"/>
                <w:szCs w:val="16"/>
              </w:rPr>
            </w:pPr>
            <w:r w:rsidRPr="00781E8B">
              <w:rPr>
                <w:sz w:val="16"/>
                <w:szCs w:val="16"/>
              </w:rPr>
              <w:t>William Carr</w:t>
            </w:r>
          </w:p>
        </w:tc>
        <w:tc>
          <w:tcPr>
            <w:tcW w:w="1986" w:type="pct"/>
          </w:tcPr>
          <w:p w:rsidR="00B37C09" w:rsidRPr="00781E8B" w:rsidRDefault="00B37C09" w:rsidP="00941FC5">
            <w:pPr>
              <w:spacing w:before="40" w:after="40"/>
              <w:rPr>
                <w:sz w:val="16"/>
                <w:szCs w:val="16"/>
              </w:rPr>
            </w:pPr>
            <w:r w:rsidRPr="00781E8B">
              <w:rPr>
                <w:sz w:val="16"/>
                <w:szCs w:val="16"/>
              </w:rPr>
              <w:t>ESB Electric Ireland</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Generator Member</w:t>
            </w:r>
          </w:p>
        </w:tc>
        <w:tc>
          <w:tcPr>
            <w:tcW w:w="1323" w:type="pct"/>
          </w:tcPr>
          <w:p w:rsidR="00B37C09" w:rsidRPr="00781E8B" w:rsidRDefault="00B37C09" w:rsidP="00941FC5">
            <w:pPr>
              <w:spacing w:before="40" w:after="40"/>
              <w:rPr>
                <w:sz w:val="16"/>
                <w:szCs w:val="16"/>
              </w:rPr>
            </w:pPr>
            <w:r w:rsidRPr="00781E8B">
              <w:rPr>
                <w:sz w:val="16"/>
                <w:szCs w:val="16"/>
              </w:rPr>
              <w:t>Kevin Hannafin</w:t>
            </w:r>
          </w:p>
        </w:tc>
        <w:tc>
          <w:tcPr>
            <w:tcW w:w="1986" w:type="pct"/>
          </w:tcPr>
          <w:p w:rsidR="00B37C09" w:rsidRPr="00781E8B" w:rsidRDefault="00B37C09" w:rsidP="00941FC5">
            <w:pPr>
              <w:spacing w:before="40" w:after="40"/>
              <w:rPr>
                <w:sz w:val="16"/>
                <w:szCs w:val="16"/>
              </w:rPr>
            </w:pPr>
            <w:r w:rsidRPr="00781E8B">
              <w:rPr>
                <w:sz w:val="16"/>
                <w:szCs w:val="16"/>
              </w:rPr>
              <w:t>Viridian Power &amp; Energy</w:t>
            </w:r>
          </w:p>
        </w:tc>
      </w:tr>
      <w:tr w:rsidR="00B37C09" w:rsidRPr="002F600B" w:rsidTr="00941FC5">
        <w:trPr>
          <w:jc w:val="center"/>
        </w:trPr>
        <w:tc>
          <w:tcPr>
            <w:tcW w:w="1691" w:type="pct"/>
          </w:tcPr>
          <w:p w:rsidR="00B37C09" w:rsidRPr="00781E8B" w:rsidRDefault="00B37C09" w:rsidP="00941FC5">
            <w:pPr>
              <w:spacing w:before="40" w:after="40"/>
              <w:rPr>
                <w:sz w:val="16"/>
                <w:szCs w:val="16"/>
              </w:rPr>
            </w:pPr>
            <w:r w:rsidRPr="00781E8B">
              <w:rPr>
                <w:sz w:val="16"/>
                <w:szCs w:val="16"/>
              </w:rPr>
              <w:t xml:space="preserve">Supplier Member </w:t>
            </w:r>
          </w:p>
        </w:tc>
        <w:tc>
          <w:tcPr>
            <w:tcW w:w="1323" w:type="pct"/>
          </w:tcPr>
          <w:p w:rsidR="00B37C09" w:rsidRPr="00781E8B" w:rsidRDefault="00B37C09" w:rsidP="00941FC5">
            <w:pPr>
              <w:spacing w:before="40" w:after="40"/>
              <w:rPr>
                <w:sz w:val="16"/>
                <w:szCs w:val="16"/>
              </w:rPr>
            </w:pPr>
            <w:r w:rsidRPr="00781E8B">
              <w:rPr>
                <w:sz w:val="16"/>
                <w:szCs w:val="16"/>
              </w:rPr>
              <w:t>Iain Wright</w:t>
            </w:r>
          </w:p>
        </w:tc>
        <w:tc>
          <w:tcPr>
            <w:tcW w:w="1986" w:type="pct"/>
          </w:tcPr>
          <w:p w:rsidR="00B37C09" w:rsidRPr="00781E8B" w:rsidRDefault="00B37C09" w:rsidP="00941FC5">
            <w:pPr>
              <w:spacing w:before="40" w:after="40"/>
              <w:rPr>
                <w:sz w:val="16"/>
                <w:szCs w:val="16"/>
              </w:rPr>
            </w:pPr>
            <w:r w:rsidRPr="00781E8B">
              <w:rPr>
                <w:sz w:val="16"/>
                <w:szCs w:val="16"/>
              </w:rPr>
              <w:t>Airtricity</w:t>
            </w:r>
          </w:p>
        </w:tc>
      </w:tr>
    </w:tbl>
    <w:p w:rsidR="00B37C09" w:rsidRPr="002F600B" w:rsidRDefault="00B37C09" w:rsidP="00906A7E">
      <w:pPr>
        <w:rPr>
          <w:highlight w:val="yellow"/>
        </w:rPr>
      </w:pPr>
    </w:p>
    <w:p w:rsidR="00B37C09" w:rsidRPr="002F600B" w:rsidRDefault="00B37C09" w:rsidP="008336A6">
      <w:pPr>
        <w:pStyle w:val="Bullet1"/>
        <w:numPr>
          <w:ilvl w:val="0"/>
          <w:numId w:val="0"/>
        </w:numPr>
        <w:ind w:left="360" w:hanging="360"/>
        <w:rPr>
          <w:highlight w:val="yellow"/>
        </w:rPr>
      </w:pPr>
    </w:p>
    <w:p w:rsidR="00B37C09" w:rsidRPr="002B2758" w:rsidRDefault="00B37C09" w:rsidP="002B2758">
      <w:pPr>
        <w:pStyle w:val="Heading2"/>
        <w:numPr>
          <w:ilvl w:val="0"/>
          <w:numId w:val="30"/>
        </w:numPr>
        <w:rPr>
          <w:rStyle w:val="IntenseReference"/>
          <w:color w:val="1F497D"/>
        </w:rPr>
      </w:pPr>
      <w:bookmarkStart w:id="20" w:name="_Toc301516625"/>
      <w:r w:rsidRPr="002B2758">
        <w:rPr>
          <w:rStyle w:val="IntenseReference"/>
          <w:color w:val="1F497D"/>
        </w:rPr>
        <w:t>Mod_26_11 process change for assessing firm access quantity of trading site (FAQSst)</w:t>
      </w:r>
      <w:bookmarkEnd w:id="20"/>
    </w:p>
    <w:p w:rsidR="00B37C09" w:rsidRDefault="00B37C09" w:rsidP="00906A7E">
      <w:pPr>
        <w:pStyle w:val="Quote"/>
      </w:pPr>
      <w:r w:rsidRPr="00A21212">
        <w:t>Proposer: TSO</w:t>
      </w:r>
      <w:r>
        <w:t>- AP Only</w:t>
      </w:r>
    </w:p>
    <w:p w:rsidR="00B37C09" w:rsidRPr="002F600B" w:rsidRDefault="00B37C09" w:rsidP="00D025C7">
      <w:pPr>
        <w:rPr>
          <w:highlight w:val="yellow"/>
        </w:rPr>
      </w:pPr>
      <w:r w:rsidRPr="00E4522C">
        <w:t>SO Member provided brief outline of Modif</w:t>
      </w:r>
      <w:r>
        <w:t>ication Proposal advising that a</w:t>
      </w:r>
      <w:r w:rsidRPr="00E4522C">
        <w:t>s a result of Modification 41_10 (Validation of Firm Access Quantity of Trading Site (FAQSst) by the System Operat</w:t>
      </w:r>
      <w:r>
        <w:t xml:space="preserve">or) being approved by the RAs, </w:t>
      </w:r>
      <w:r w:rsidRPr="00E4522C">
        <w:t>an action was placed on the SO to ensure</w:t>
      </w:r>
      <w:r>
        <w:t xml:space="preserve"> that</w:t>
      </w:r>
      <w:r w:rsidRPr="00E4522C">
        <w:t xml:space="preserve"> this was incorporated into the </w:t>
      </w:r>
      <w:r>
        <w:t>Agreed Procedures</w:t>
      </w:r>
      <w:r w:rsidRPr="00E4522C">
        <w:t xml:space="preserve"> between SEM</w:t>
      </w:r>
      <w:r>
        <w:t xml:space="preserve">O/TSO and Market Participants. </w:t>
      </w:r>
      <w:r w:rsidRPr="00E4522C">
        <w:t xml:space="preserve">This is to ensure the Firm Access Quantity of Trading Site (FAQSst) parameter is </w:t>
      </w:r>
      <w:r>
        <w:t>set</w:t>
      </w:r>
      <w:r w:rsidRPr="00E4522C">
        <w:t xml:space="preserve"> correctly in SEM. Supplier Member queried as to whether there is a time frame for submitting data</w:t>
      </w:r>
      <w:r>
        <w:t>.</w:t>
      </w:r>
      <w:r w:rsidRPr="00E4522C">
        <w:t xml:space="preserve"> SO Member advised that it is at least 3 working days and that all Registration Data takes 29 days to change except for COD and Default Offer Data.</w:t>
      </w:r>
      <w:r>
        <w:t xml:space="preserve"> SO Member clarified that the proposal is not putting forth a new concept, moreover it is reflecting what is in the Code. SEMO Alternate noted that in Section 2.6, when the legal drafting refers to “2.69 of the Trading and Settlement Code” that “paragraph” should be inserted before Section 2.69. The Chair summarised that the proposal is improving visibility and furthering the Code Objectives.</w:t>
      </w:r>
    </w:p>
    <w:p w:rsidR="00B37C09" w:rsidRDefault="00B37C09" w:rsidP="00816570">
      <w:pPr>
        <w:pStyle w:val="IntenseQuote"/>
      </w:pPr>
    </w:p>
    <w:p w:rsidR="00B37C09" w:rsidRPr="00307813" w:rsidRDefault="00B37C09" w:rsidP="00816570">
      <w:pPr>
        <w:pStyle w:val="IntenseQuote"/>
      </w:pPr>
      <w:r w:rsidRPr="00307813">
        <w:t xml:space="preserve">Actions </w:t>
      </w:r>
    </w:p>
    <w:p w:rsidR="00B37C09" w:rsidRDefault="00B37C09" w:rsidP="00BE11AC">
      <w:pPr>
        <w:numPr>
          <w:ilvl w:val="0"/>
          <w:numId w:val="10"/>
        </w:numPr>
      </w:pPr>
      <w:r w:rsidRPr="00307813">
        <w:lastRenderedPageBreak/>
        <w:t>Secretariat to ensure FRR contains legal drafting changes</w:t>
      </w:r>
      <w:r>
        <w:t xml:space="preserve"> agreed at the Meeting</w:t>
      </w:r>
      <w:r w:rsidRPr="00307813">
        <w:t>.</w:t>
      </w:r>
    </w:p>
    <w:p w:rsidR="000B3423" w:rsidRDefault="00445E31" w:rsidP="009B5668">
      <w:pPr>
        <w:pStyle w:val="IntenseQuote"/>
      </w:pPr>
      <w:r>
        <w:t>Decision</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B37C09" w:rsidRPr="002F600B" w:rsidTr="00941FC5">
        <w:trPr>
          <w:jc w:val="center"/>
        </w:trPr>
        <w:tc>
          <w:tcPr>
            <w:tcW w:w="5000" w:type="pct"/>
            <w:gridSpan w:val="3"/>
            <w:shd w:val="clear" w:color="auto" w:fill="548DD4"/>
          </w:tcPr>
          <w:p w:rsidR="00B37C09" w:rsidRPr="00D20258" w:rsidRDefault="00B37C09" w:rsidP="00941FC5">
            <w:pPr>
              <w:spacing w:before="40" w:after="40"/>
              <w:jc w:val="center"/>
              <w:rPr>
                <w:b/>
                <w:color w:val="FFFFFF"/>
                <w:sz w:val="16"/>
                <w:szCs w:val="16"/>
              </w:rPr>
            </w:pPr>
            <w:r w:rsidRPr="00781E8B">
              <w:rPr>
                <w:b/>
                <w:color w:val="FFFFFF"/>
              </w:rPr>
              <w:t>Recommended for Approval</w:t>
            </w:r>
            <w:r>
              <w:rPr>
                <w:b/>
                <w:color w:val="FFFFFF"/>
              </w:rPr>
              <w:t xml:space="preserve"> (subject to Legal Drafting changes)</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MO Member</w:t>
            </w:r>
          </w:p>
        </w:tc>
        <w:tc>
          <w:tcPr>
            <w:tcW w:w="1323" w:type="pct"/>
          </w:tcPr>
          <w:p w:rsidR="00B37C09" w:rsidRPr="00D20258" w:rsidRDefault="00B37C09" w:rsidP="00941FC5">
            <w:pPr>
              <w:spacing w:before="40" w:after="40"/>
              <w:rPr>
                <w:sz w:val="16"/>
                <w:szCs w:val="16"/>
              </w:rPr>
            </w:pPr>
            <w:r w:rsidRPr="00D20258">
              <w:rPr>
                <w:sz w:val="16"/>
                <w:szCs w:val="16"/>
              </w:rPr>
              <w:t>Niamh Delaney</w:t>
            </w:r>
          </w:p>
        </w:tc>
        <w:tc>
          <w:tcPr>
            <w:tcW w:w="1986" w:type="pct"/>
          </w:tcPr>
          <w:p w:rsidR="00B37C09" w:rsidRPr="00D20258" w:rsidRDefault="00B37C09" w:rsidP="00941FC5">
            <w:pPr>
              <w:spacing w:before="40" w:after="40"/>
              <w:rPr>
                <w:sz w:val="16"/>
                <w:szCs w:val="16"/>
              </w:rPr>
            </w:pPr>
            <w:r w:rsidRPr="00D20258">
              <w:rPr>
                <w:sz w:val="16"/>
                <w:szCs w:val="16"/>
              </w:rPr>
              <w:t>SEMO</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SO Member</w:t>
            </w:r>
          </w:p>
        </w:tc>
        <w:tc>
          <w:tcPr>
            <w:tcW w:w="1323" w:type="pct"/>
          </w:tcPr>
          <w:p w:rsidR="00B37C09" w:rsidRPr="00D20258" w:rsidRDefault="00B37C09" w:rsidP="00941FC5">
            <w:pPr>
              <w:spacing w:before="40" w:after="40"/>
              <w:rPr>
                <w:sz w:val="16"/>
                <w:szCs w:val="16"/>
              </w:rPr>
            </w:pPr>
            <w:r w:rsidRPr="00D20258">
              <w:rPr>
                <w:sz w:val="16"/>
                <w:szCs w:val="16"/>
              </w:rPr>
              <w:t>Sonya Twohig</w:t>
            </w:r>
          </w:p>
        </w:tc>
        <w:tc>
          <w:tcPr>
            <w:tcW w:w="1986" w:type="pct"/>
          </w:tcPr>
          <w:p w:rsidR="00B37C09" w:rsidRPr="00D20258" w:rsidRDefault="00B37C09" w:rsidP="00941FC5">
            <w:pPr>
              <w:spacing w:before="40" w:after="40"/>
              <w:rPr>
                <w:sz w:val="16"/>
                <w:szCs w:val="16"/>
              </w:rPr>
            </w:pPr>
            <w:r w:rsidRPr="00D20258">
              <w:rPr>
                <w:sz w:val="16"/>
                <w:szCs w:val="16"/>
              </w:rPr>
              <w:t>EirGrid</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Generator Alternate</w:t>
            </w:r>
          </w:p>
        </w:tc>
        <w:tc>
          <w:tcPr>
            <w:tcW w:w="1323" w:type="pct"/>
          </w:tcPr>
          <w:p w:rsidR="00B37C09" w:rsidRPr="00D20258" w:rsidRDefault="00B37C09" w:rsidP="00941FC5">
            <w:pPr>
              <w:spacing w:before="40" w:after="40"/>
              <w:rPr>
                <w:sz w:val="16"/>
                <w:szCs w:val="16"/>
              </w:rPr>
            </w:pPr>
            <w:r w:rsidRPr="00D20258">
              <w:rPr>
                <w:sz w:val="16"/>
                <w:szCs w:val="16"/>
              </w:rPr>
              <w:t>Brian Mongan</w:t>
            </w:r>
          </w:p>
        </w:tc>
        <w:tc>
          <w:tcPr>
            <w:tcW w:w="1986" w:type="pct"/>
          </w:tcPr>
          <w:p w:rsidR="00B37C09" w:rsidRPr="00D20258" w:rsidRDefault="00B37C09" w:rsidP="00941FC5">
            <w:pPr>
              <w:spacing w:before="40" w:after="40"/>
              <w:rPr>
                <w:sz w:val="16"/>
                <w:szCs w:val="16"/>
              </w:rPr>
            </w:pPr>
            <w:r w:rsidRPr="00D20258">
              <w:rPr>
                <w:sz w:val="16"/>
                <w:szCs w:val="16"/>
              </w:rPr>
              <w:t>AES</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MDP Member</w:t>
            </w:r>
          </w:p>
        </w:tc>
        <w:tc>
          <w:tcPr>
            <w:tcW w:w="1323" w:type="pct"/>
          </w:tcPr>
          <w:p w:rsidR="00B37C09" w:rsidRPr="00D20258" w:rsidRDefault="00B37C09" w:rsidP="00941FC5">
            <w:pPr>
              <w:spacing w:before="40" w:after="40"/>
              <w:rPr>
                <w:sz w:val="16"/>
                <w:szCs w:val="16"/>
              </w:rPr>
            </w:pPr>
            <w:r w:rsidRPr="00D20258">
              <w:rPr>
                <w:sz w:val="16"/>
                <w:szCs w:val="16"/>
              </w:rPr>
              <w:t>Aileen</w:t>
            </w:r>
            <w:r w:rsidR="00AE5F1E">
              <w:rPr>
                <w:sz w:val="16"/>
                <w:szCs w:val="16"/>
              </w:rPr>
              <w:t xml:space="preserve"> O’ Connor</w:t>
            </w:r>
          </w:p>
        </w:tc>
        <w:tc>
          <w:tcPr>
            <w:tcW w:w="1986" w:type="pct"/>
          </w:tcPr>
          <w:p w:rsidR="00B37C09" w:rsidRPr="00D20258" w:rsidRDefault="00B37C09" w:rsidP="00941FC5">
            <w:pPr>
              <w:spacing w:before="40" w:after="40"/>
              <w:rPr>
                <w:sz w:val="16"/>
                <w:szCs w:val="16"/>
              </w:rPr>
            </w:pPr>
            <w:r w:rsidRPr="00D20258">
              <w:rPr>
                <w:sz w:val="16"/>
                <w:szCs w:val="16"/>
              </w:rPr>
              <w:t>ESB Networks MRSO</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MDP Alternate</w:t>
            </w:r>
          </w:p>
        </w:tc>
        <w:tc>
          <w:tcPr>
            <w:tcW w:w="1323" w:type="pct"/>
          </w:tcPr>
          <w:p w:rsidR="00B37C09" w:rsidRPr="00D20258" w:rsidRDefault="00B37C09" w:rsidP="00941FC5">
            <w:pPr>
              <w:spacing w:before="40" w:after="40"/>
              <w:rPr>
                <w:sz w:val="16"/>
                <w:szCs w:val="16"/>
              </w:rPr>
            </w:pPr>
            <w:r w:rsidRPr="00D20258">
              <w:rPr>
                <w:sz w:val="16"/>
                <w:szCs w:val="16"/>
              </w:rPr>
              <w:t>Karen Meneely</w:t>
            </w:r>
          </w:p>
        </w:tc>
        <w:tc>
          <w:tcPr>
            <w:tcW w:w="1986" w:type="pct"/>
          </w:tcPr>
          <w:p w:rsidR="00B37C09" w:rsidRPr="00D20258" w:rsidRDefault="00B37C09" w:rsidP="00941FC5">
            <w:pPr>
              <w:spacing w:before="40" w:after="40"/>
              <w:rPr>
                <w:sz w:val="16"/>
                <w:szCs w:val="16"/>
              </w:rPr>
            </w:pPr>
            <w:r w:rsidRPr="00D20258">
              <w:rPr>
                <w:sz w:val="16"/>
                <w:szCs w:val="16"/>
              </w:rPr>
              <w:t>NIE T &amp; D</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Generator Alternate</w:t>
            </w:r>
          </w:p>
        </w:tc>
        <w:tc>
          <w:tcPr>
            <w:tcW w:w="1323" w:type="pct"/>
          </w:tcPr>
          <w:p w:rsidR="00B37C09" w:rsidRPr="00D20258" w:rsidRDefault="00B37C09" w:rsidP="00941FC5">
            <w:pPr>
              <w:spacing w:before="40" w:after="40"/>
              <w:rPr>
                <w:sz w:val="16"/>
                <w:szCs w:val="16"/>
              </w:rPr>
            </w:pPr>
            <w:r w:rsidRPr="00D20258">
              <w:rPr>
                <w:sz w:val="16"/>
                <w:szCs w:val="16"/>
              </w:rPr>
              <w:t>Mary Doorly</w:t>
            </w:r>
          </w:p>
        </w:tc>
        <w:tc>
          <w:tcPr>
            <w:tcW w:w="1986" w:type="pct"/>
          </w:tcPr>
          <w:p w:rsidR="00B37C09" w:rsidRPr="00D20258" w:rsidRDefault="00B37C09" w:rsidP="00941FC5">
            <w:pPr>
              <w:spacing w:before="40" w:after="40"/>
              <w:rPr>
                <w:sz w:val="16"/>
                <w:szCs w:val="16"/>
              </w:rPr>
            </w:pPr>
            <w:r w:rsidRPr="00D20258">
              <w:rPr>
                <w:sz w:val="16"/>
                <w:szCs w:val="16"/>
              </w:rPr>
              <w:t>IWEA</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SO Alternate</w:t>
            </w:r>
          </w:p>
        </w:tc>
        <w:tc>
          <w:tcPr>
            <w:tcW w:w="1323" w:type="pct"/>
          </w:tcPr>
          <w:p w:rsidR="00B37C09" w:rsidRPr="00D20258" w:rsidRDefault="00B37C09" w:rsidP="00941FC5">
            <w:pPr>
              <w:spacing w:before="40" w:after="40"/>
              <w:rPr>
                <w:sz w:val="16"/>
                <w:szCs w:val="16"/>
              </w:rPr>
            </w:pPr>
            <w:r w:rsidRPr="00D20258">
              <w:rPr>
                <w:sz w:val="16"/>
                <w:szCs w:val="16"/>
              </w:rPr>
              <w:t>Kris Kennedy</w:t>
            </w:r>
          </w:p>
        </w:tc>
        <w:tc>
          <w:tcPr>
            <w:tcW w:w="1986" w:type="pct"/>
          </w:tcPr>
          <w:p w:rsidR="00B37C09" w:rsidRPr="00D20258" w:rsidRDefault="00B37C09" w:rsidP="00941FC5">
            <w:pPr>
              <w:spacing w:before="40" w:after="40"/>
              <w:rPr>
                <w:sz w:val="16"/>
                <w:szCs w:val="16"/>
              </w:rPr>
            </w:pPr>
            <w:r w:rsidRPr="00D20258">
              <w:rPr>
                <w:sz w:val="16"/>
                <w:szCs w:val="16"/>
              </w:rPr>
              <w:t>SONI</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Supplier Member</w:t>
            </w:r>
          </w:p>
        </w:tc>
        <w:tc>
          <w:tcPr>
            <w:tcW w:w="1323" w:type="pct"/>
          </w:tcPr>
          <w:p w:rsidR="00B37C09" w:rsidRPr="00D20258" w:rsidRDefault="00B37C09" w:rsidP="00941FC5">
            <w:pPr>
              <w:spacing w:before="40" w:after="40"/>
              <w:rPr>
                <w:sz w:val="16"/>
                <w:szCs w:val="16"/>
              </w:rPr>
            </w:pPr>
            <w:r w:rsidRPr="00D20258">
              <w:rPr>
                <w:sz w:val="16"/>
                <w:szCs w:val="16"/>
              </w:rPr>
              <w:t>William Steele</w:t>
            </w:r>
          </w:p>
        </w:tc>
        <w:tc>
          <w:tcPr>
            <w:tcW w:w="1986" w:type="pct"/>
          </w:tcPr>
          <w:p w:rsidR="00B37C09" w:rsidRPr="00D20258" w:rsidRDefault="00B37C09" w:rsidP="00941FC5">
            <w:pPr>
              <w:spacing w:before="40" w:after="40"/>
              <w:rPr>
                <w:sz w:val="16"/>
                <w:szCs w:val="16"/>
              </w:rPr>
            </w:pPr>
            <w:r w:rsidRPr="00D20258">
              <w:rPr>
                <w:sz w:val="16"/>
                <w:szCs w:val="16"/>
              </w:rPr>
              <w:t>NIE Energy Supply</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Generator Member</w:t>
            </w:r>
          </w:p>
        </w:tc>
        <w:tc>
          <w:tcPr>
            <w:tcW w:w="1323" w:type="pct"/>
          </w:tcPr>
          <w:p w:rsidR="00B37C09" w:rsidRPr="00D20258" w:rsidRDefault="00B37C09" w:rsidP="00941FC5">
            <w:pPr>
              <w:spacing w:before="40" w:after="40"/>
              <w:rPr>
                <w:sz w:val="16"/>
                <w:szCs w:val="16"/>
              </w:rPr>
            </w:pPr>
            <w:r w:rsidRPr="00D20258">
              <w:rPr>
                <w:sz w:val="16"/>
                <w:szCs w:val="16"/>
              </w:rPr>
              <w:t>Andrew Burke</w:t>
            </w:r>
          </w:p>
        </w:tc>
        <w:tc>
          <w:tcPr>
            <w:tcW w:w="1986" w:type="pct"/>
          </w:tcPr>
          <w:p w:rsidR="00B37C09" w:rsidRPr="00D20258" w:rsidRDefault="00B37C09" w:rsidP="00667F79">
            <w:pPr>
              <w:spacing w:before="40" w:after="40"/>
              <w:rPr>
                <w:sz w:val="16"/>
                <w:szCs w:val="16"/>
              </w:rPr>
            </w:pPr>
            <w:r w:rsidRPr="00D20258">
              <w:rPr>
                <w:sz w:val="16"/>
                <w:szCs w:val="16"/>
              </w:rPr>
              <w:t>ESB</w:t>
            </w:r>
            <w:r>
              <w:rPr>
                <w:sz w:val="16"/>
                <w:szCs w:val="16"/>
              </w:rPr>
              <w:t>I</w:t>
            </w:r>
            <w:r w:rsidRPr="00D20258">
              <w:rPr>
                <w:sz w:val="16"/>
                <w:szCs w:val="16"/>
              </w:rPr>
              <w:t xml:space="preserve"> </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Supplier Member</w:t>
            </w:r>
          </w:p>
        </w:tc>
        <w:tc>
          <w:tcPr>
            <w:tcW w:w="1323" w:type="pct"/>
          </w:tcPr>
          <w:p w:rsidR="00B37C09" w:rsidRPr="00D20258" w:rsidRDefault="00B37C09" w:rsidP="00941FC5">
            <w:pPr>
              <w:spacing w:before="40" w:after="40"/>
              <w:rPr>
                <w:sz w:val="16"/>
                <w:szCs w:val="16"/>
              </w:rPr>
            </w:pPr>
            <w:r w:rsidRPr="00D20258">
              <w:rPr>
                <w:sz w:val="16"/>
                <w:szCs w:val="16"/>
              </w:rPr>
              <w:t>Jill Murray</w:t>
            </w:r>
          </w:p>
        </w:tc>
        <w:tc>
          <w:tcPr>
            <w:tcW w:w="1986" w:type="pct"/>
          </w:tcPr>
          <w:p w:rsidR="00B37C09" w:rsidRPr="00D20258" w:rsidRDefault="00B37C09" w:rsidP="00941FC5">
            <w:pPr>
              <w:spacing w:before="40" w:after="40"/>
              <w:rPr>
                <w:sz w:val="16"/>
                <w:szCs w:val="16"/>
              </w:rPr>
            </w:pPr>
            <w:r w:rsidRPr="00D20258">
              <w:rPr>
                <w:sz w:val="16"/>
                <w:szCs w:val="16"/>
              </w:rPr>
              <w:t>Bord G</w:t>
            </w:r>
            <w:r w:rsidRPr="00D20258">
              <w:rPr>
                <w:rFonts w:cs="Arial"/>
                <w:sz w:val="16"/>
                <w:szCs w:val="16"/>
              </w:rPr>
              <w:t>á</w:t>
            </w:r>
            <w:r w:rsidRPr="00D20258">
              <w:rPr>
                <w:sz w:val="16"/>
                <w:szCs w:val="16"/>
              </w:rPr>
              <w:t>is Energy Supply</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Supplier Alternate</w:t>
            </w:r>
          </w:p>
        </w:tc>
        <w:tc>
          <w:tcPr>
            <w:tcW w:w="1323" w:type="pct"/>
          </w:tcPr>
          <w:p w:rsidR="00B37C09" w:rsidRPr="00D20258" w:rsidRDefault="00B37C09" w:rsidP="00941FC5">
            <w:pPr>
              <w:spacing w:before="40" w:after="40"/>
              <w:rPr>
                <w:sz w:val="16"/>
                <w:szCs w:val="16"/>
              </w:rPr>
            </w:pPr>
            <w:r w:rsidRPr="00D20258">
              <w:rPr>
                <w:sz w:val="16"/>
                <w:szCs w:val="16"/>
              </w:rPr>
              <w:t>William Carr</w:t>
            </w:r>
          </w:p>
        </w:tc>
        <w:tc>
          <w:tcPr>
            <w:tcW w:w="1986" w:type="pct"/>
          </w:tcPr>
          <w:p w:rsidR="00B37C09" w:rsidRPr="00D20258" w:rsidRDefault="00B37C09" w:rsidP="00941FC5">
            <w:pPr>
              <w:spacing w:before="40" w:after="40"/>
              <w:rPr>
                <w:sz w:val="16"/>
                <w:szCs w:val="16"/>
              </w:rPr>
            </w:pPr>
            <w:r w:rsidRPr="00D20258">
              <w:rPr>
                <w:sz w:val="16"/>
                <w:szCs w:val="16"/>
              </w:rPr>
              <w:t>ESB Electric Ireland</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Generator Member</w:t>
            </w:r>
          </w:p>
        </w:tc>
        <w:tc>
          <w:tcPr>
            <w:tcW w:w="1323" w:type="pct"/>
          </w:tcPr>
          <w:p w:rsidR="00B37C09" w:rsidRPr="00D20258" w:rsidRDefault="00B37C09" w:rsidP="00941FC5">
            <w:pPr>
              <w:spacing w:before="40" w:after="40"/>
              <w:rPr>
                <w:sz w:val="16"/>
                <w:szCs w:val="16"/>
              </w:rPr>
            </w:pPr>
            <w:r w:rsidRPr="00D20258">
              <w:rPr>
                <w:sz w:val="16"/>
                <w:szCs w:val="16"/>
              </w:rPr>
              <w:t>Kevin Hannafin</w:t>
            </w:r>
          </w:p>
        </w:tc>
        <w:tc>
          <w:tcPr>
            <w:tcW w:w="1986" w:type="pct"/>
          </w:tcPr>
          <w:p w:rsidR="00B37C09" w:rsidRPr="00D20258" w:rsidRDefault="00B37C09" w:rsidP="00941FC5">
            <w:pPr>
              <w:spacing w:before="40" w:after="40"/>
              <w:rPr>
                <w:sz w:val="16"/>
                <w:szCs w:val="16"/>
              </w:rPr>
            </w:pPr>
            <w:r w:rsidRPr="00D20258">
              <w:rPr>
                <w:sz w:val="16"/>
                <w:szCs w:val="16"/>
              </w:rPr>
              <w:t>Viridian Power &amp; Energy</w:t>
            </w:r>
          </w:p>
        </w:tc>
      </w:tr>
      <w:tr w:rsidR="00B37C09" w:rsidRPr="002F600B" w:rsidTr="00941FC5">
        <w:trPr>
          <w:jc w:val="center"/>
        </w:trPr>
        <w:tc>
          <w:tcPr>
            <w:tcW w:w="1691" w:type="pct"/>
          </w:tcPr>
          <w:p w:rsidR="00B37C09" w:rsidRPr="00D20258" w:rsidRDefault="00B37C09" w:rsidP="00941FC5">
            <w:pPr>
              <w:spacing w:before="40" w:after="40"/>
              <w:rPr>
                <w:sz w:val="16"/>
                <w:szCs w:val="16"/>
              </w:rPr>
            </w:pPr>
            <w:r w:rsidRPr="00D20258">
              <w:rPr>
                <w:sz w:val="16"/>
                <w:szCs w:val="16"/>
              </w:rPr>
              <w:t xml:space="preserve">Supplier Member </w:t>
            </w:r>
          </w:p>
        </w:tc>
        <w:tc>
          <w:tcPr>
            <w:tcW w:w="1323" w:type="pct"/>
          </w:tcPr>
          <w:p w:rsidR="00B37C09" w:rsidRPr="00D20258" w:rsidRDefault="00B37C09" w:rsidP="00941FC5">
            <w:pPr>
              <w:spacing w:before="40" w:after="40"/>
              <w:rPr>
                <w:sz w:val="16"/>
                <w:szCs w:val="16"/>
              </w:rPr>
            </w:pPr>
            <w:r w:rsidRPr="00D20258">
              <w:rPr>
                <w:sz w:val="16"/>
                <w:szCs w:val="16"/>
              </w:rPr>
              <w:t>Iain Wright</w:t>
            </w:r>
          </w:p>
        </w:tc>
        <w:tc>
          <w:tcPr>
            <w:tcW w:w="1986" w:type="pct"/>
          </w:tcPr>
          <w:p w:rsidR="00B37C09" w:rsidRPr="00D20258" w:rsidRDefault="00B37C09" w:rsidP="00941FC5">
            <w:pPr>
              <w:spacing w:before="40" w:after="40"/>
              <w:rPr>
                <w:sz w:val="16"/>
                <w:szCs w:val="16"/>
              </w:rPr>
            </w:pPr>
            <w:r w:rsidRPr="00D20258">
              <w:rPr>
                <w:sz w:val="16"/>
                <w:szCs w:val="16"/>
              </w:rPr>
              <w:t>Airtricity</w:t>
            </w:r>
          </w:p>
        </w:tc>
      </w:tr>
    </w:tbl>
    <w:p w:rsidR="00B37C09" w:rsidRPr="00860429" w:rsidRDefault="00B37C09" w:rsidP="00906A7E">
      <w:pPr>
        <w:pStyle w:val="Bullet1"/>
        <w:numPr>
          <w:ilvl w:val="0"/>
          <w:numId w:val="0"/>
        </w:numPr>
        <w:rPr>
          <w:color w:val="1F497D"/>
          <w:highlight w:val="yellow"/>
        </w:rPr>
      </w:pPr>
    </w:p>
    <w:p w:rsidR="00B37C09" w:rsidRPr="00860429" w:rsidRDefault="00B37C09" w:rsidP="00860429">
      <w:pPr>
        <w:pStyle w:val="Heading2"/>
        <w:numPr>
          <w:ilvl w:val="0"/>
          <w:numId w:val="30"/>
        </w:numPr>
        <w:rPr>
          <w:rStyle w:val="IntenseReference"/>
          <w:color w:val="1F497D"/>
        </w:rPr>
      </w:pPr>
      <w:bookmarkStart w:id="21" w:name="_Toc301516626"/>
      <w:r w:rsidRPr="00860429">
        <w:rPr>
          <w:rStyle w:val="IntenseReference"/>
          <w:color w:val="1F497D"/>
        </w:rPr>
        <w:t>Mod_27_11 market operator solver policy</w:t>
      </w:r>
      <w:bookmarkEnd w:id="21"/>
    </w:p>
    <w:p w:rsidR="00B37C09" w:rsidRPr="00860429" w:rsidRDefault="00B37C09" w:rsidP="00BE11AC">
      <w:pPr>
        <w:pStyle w:val="Quote"/>
      </w:pPr>
      <w:r w:rsidRPr="00860429">
        <w:t>Proposer: SEMO</w:t>
      </w:r>
    </w:p>
    <w:p w:rsidR="00B37C09" w:rsidRPr="00234BFD" w:rsidRDefault="00B37C09" w:rsidP="00EB7441">
      <w:r w:rsidRPr="00502FE9">
        <w:t xml:space="preserve">Proposer </w:t>
      </w:r>
      <w:r>
        <w:t>provided</w:t>
      </w:r>
      <w:r w:rsidRPr="00502FE9">
        <w:t xml:space="preserve"> brief outline of proposal advising that </w:t>
      </w:r>
      <w:r>
        <w:t xml:space="preserve">it puts </w:t>
      </w:r>
      <w:r w:rsidRPr="00502FE9">
        <w:t>the SEM Committee approval of the Market Operator Solver Policy</w:t>
      </w:r>
      <w:r>
        <w:t xml:space="preserve"> on</w:t>
      </w:r>
      <w:r w:rsidRPr="00502FE9">
        <w:t xml:space="preserve"> a formal </w:t>
      </w:r>
      <w:r>
        <w:t>basis and provides</w:t>
      </w:r>
      <w:r w:rsidRPr="00502FE9">
        <w:t xml:space="preserve"> through the Code, a clear mechanism for enabling any</w:t>
      </w:r>
      <w:r>
        <w:t xml:space="preserve"> future changes to the process, thus enhancing transparency. Supplier Member queried as to why SEMO were formalising the process. Proposer advised that it is being formalised in an effort to aid further </w:t>
      </w:r>
      <w:r w:rsidRPr="00502FE9">
        <w:t xml:space="preserve">transparency and advised that the SEM </w:t>
      </w:r>
      <w:r w:rsidR="009811A2">
        <w:t>C</w:t>
      </w:r>
      <w:r w:rsidRPr="00502FE9">
        <w:t xml:space="preserve">ommittee and Participants have expressed preference </w:t>
      </w:r>
      <w:r>
        <w:t>for it to</w:t>
      </w:r>
      <w:r w:rsidRPr="00502FE9">
        <w:t xml:space="preserve"> be on a more formal basis. RA Member advised that </w:t>
      </w:r>
      <w:r>
        <w:t xml:space="preserve">it was already </w:t>
      </w:r>
      <w:r w:rsidR="004D5907">
        <w:t>informally</w:t>
      </w:r>
      <w:r>
        <w:t xml:space="preserve"> the case;</w:t>
      </w:r>
      <w:r w:rsidRPr="00502FE9">
        <w:t xml:space="preserve"> however</w:t>
      </w:r>
      <w:r>
        <w:t>,</w:t>
      </w:r>
      <w:r w:rsidRPr="00502FE9">
        <w:t xml:space="preserve"> the </w:t>
      </w:r>
      <w:r>
        <w:t xml:space="preserve">putting it in the </w:t>
      </w:r>
      <w:r w:rsidRPr="00502FE9">
        <w:t>Code</w:t>
      </w:r>
      <w:r>
        <w:t xml:space="preserve"> would ensure the process is clear</w:t>
      </w:r>
      <w:r w:rsidRPr="00502FE9">
        <w:t>.</w:t>
      </w:r>
      <w:r>
        <w:t xml:space="preserve"> Generator Alternate queried as to who approves the policy. Proposer advised that the RAs approve it and this is implied in the definition by referring to the relevant paragraphs in the Code. </w:t>
      </w:r>
      <w:r w:rsidRPr="00234BFD">
        <w:t>Observer noted that in the Primary Solver definition</w:t>
      </w:r>
      <w:r>
        <w:t xml:space="preserve"> it is necessary to add in the word “be”.</w:t>
      </w:r>
      <w:r w:rsidR="009811A2">
        <w:t xml:space="preserve"> RA member stated that there were concerns that the description of the solvers included in the policy should ensure that when reaching a decision on the Primary Solver, the SEM Committee should not be put in the position of having to judge whether one solver complied better with the Code than another.  The drafting should therefore state the equivalence of all solvers included in the policy.</w:t>
      </w:r>
    </w:p>
    <w:p w:rsidR="00B37C09" w:rsidRPr="005D4342" w:rsidRDefault="00B37C09" w:rsidP="00DB11BE">
      <w:pPr>
        <w:pStyle w:val="IntenseQuote"/>
      </w:pPr>
      <w:r w:rsidRPr="005D4342">
        <w:t xml:space="preserve">Actions </w:t>
      </w:r>
    </w:p>
    <w:p w:rsidR="00B37C09" w:rsidRDefault="00B37C09" w:rsidP="00DB11BE">
      <w:pPr>
        <w:pStyle w:val="Bullet1"/>
        <w:numPr>
          <w:ilvl w:val="0"/>
          <w:numId w:val="9"/>
        </w:numPr>
      </w:pPr>
      <w:r w:rsidRPr="006C23B4">
        <w:t xml:space="preserve">Secretariat to ensure FRR includes legal drafting </w:t>
      </w:r>
      <w:r w:rsidR="00F9752E">
        <w:t xml:space="preserve">changes </w:t>
      </w:r>
      <w:r w:rsidRPr="006C23B4">
        <w:t>agreed at the Meeting.</w:t>
      </w:r>
    </w:p>
    <w:p w:rsidR="00B37C09" w:rsidRPr="00B23A49" w:rsidRDefault="00445E31" w:rsidP="00B23A49">
      <w:pPr>
        <w:pStyle w:val="IntenseQuote"/>
        <w:ind w:left="720"/>
      </w:pPr>
      <w:r>
        <w:t>Decision</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B37C09" w:rsidRPr="002F600B" w:rsidTr="00941FC5">
        <w:trPr>
          <w:jc w:val="center"/>
        </w:trPr>
        <w:tc>
          <w:tcPr>
            <w:tcW w:w="5000" w:type="pct"/>
            <w:gridSpan w:val="3"/>
            <w:shd w:val="clear" w:color="auto" w:fill="548DD4"/>
          </w:tcPr>
          <w:p w:rsidR="00B37C09" w:rsidRPr="00234BFD" w:rsidRDefault="00B37C09" w:rsidP="00941FC5">
            <w:pPr>
              <w:spacing w:before="40" w:after="40"/>
              <w:jc w:val="center"/>
              <w:rPr>
                <w:b/>
                <w:color w:val="FFFFFF"/>
                <w:sz w:val="16"/>
                <w:szCs w:val="16"/>
              </w:rPr>
            </w:pPr>
            <w:r w:rsidRPr="00781E8B">
              <w:rPr>
                <w:b/>
                <w:color w:val="FFFFFF"/>
              </w:rPr>
              <w:t>Recommended for Approval</w:t>
            </w:r>
            <w:r>
              <w:rPr>
                <w:b/>
                <w:color w:val="FFFFFF"/>
              </w:rPr>
              <w:t xml:space="preserve"> (subject to Legal Drafting changes)</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Generator Alternate</w:t>
            </w:r>
          </w:p>
        </w:tc>
        <w:tc>
          <w:tcPr>
            <w:tcW w:w="1323" w:type="pct"/>
          </w:tcPr>
          <w:p w:rsidR="00B37C09" w:rsidRPr="00234BFD" w:rsidRDefault="00B37C09" w:rsidP="00941FC5">
            <w:pPr>
              <w:spacing w:before="40" w:after="40"/>
              <w:rPr>
                <w:sz w:val="16"/>
                <w:szCs w:val="16"/>
              </w:rPr>
            </w:pPr>
            <w:r w:rsidRPr="00234BFD">
              <w:rPr>
                <w:sz w:val="16"/>
                <w:szCs w:val="16"/>
              </w:rPr>
              <w:t>Brian Mongan</w:t>
            </w:r>
          </w:p>
        </w:tc>
        <w:tc>
          <w:tcPr>
            <w:tcW w:w="1986" w:type="pct"/>
          </w:tcPr>
          <w:p w:rsidR="00B37C09" w:rsidRPr="00234BFD" w:rsidRDefault="00B37C09" w:rsidP="00941FC5">
            <w:pPr>
              <w:spacing w:before="40" w:after="40"/>
              <w:rPr>
                <w:sz w:val="16"/>
                <w:szCs w:val="16"/>
              </w:rPr>
            </w:pPr>
            <w:r w:rsidRPr="00234BFD">
              <w:rPr>
                <w:sz w:val="16"/>
                <w:szCs w:val="16"/>
              </w:rPr>
              <w:t>AES</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Generator Alternate</w:t>
            </w:r>
          </w:p>
        </w:tc>
        <w:tc>
          <w:tcPr>
            <w:tcW w:w="1323" w:type="pct"/>
          </w:tcPr>
          <w:p w:rsidR="00B37C09" w:rsidRPr="00234BFD" w:rsidRDefault="00B37C09" w:rsidP="00941FC5">
            <w:pPr>
              <w:spacing w:before="40" w:after="40"/>
              <w:rPr>
                <w:sz w:val="16"/>
                <w:szCs w:val="16"/>
              </w:rPr>
            </w:pPr>
            <w:r w:rsidRPr="00234BFD">
              <w:rPr>
                <w:sz w:val="16"/>
                <w:szCs w:val="16"/>
              </w:rPr>
              <w:t>Mary Doorly</w:t>
            </w:r>
          </w:p>
        </w:tc>
        <w:tc>
          <w:tcPr>
            <w:tcW w:w="1986" w:type="pct"/>
          </w:tcPr>
          <w:p w:rsidR="00B37C09" w:rsidRPr="00234BFD" w:rsidRDefault="00B37C09" w:rsidP="00941FC5">
            <w:pPr>
              <w:spacing w:before="40" w:after="40"/>
              <w:rPr>
                <w:sz w:val="16"/>
                <w:szCs w:val="16"/>
              </w:rPr>
            </w:pPr>
            <w:r w:rsidRPr="00234BFD">
              <w:rPr>
                <w:sz w:val="16"/>
                <w:szCs w:val="16"/>
              </w:rPr>
              <w:t>IWEA</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lastRenderedPageBreak/>
              <w:t>Supplier Member</w:t>
            </w:r>
          </w:p>
        </w:tc>
        <w:tc>
          <w:tcPr>
            <w:tcW w:w="1323" w:type="pct"/>
          </w:tcPr>
          <w:p w:rsidR="00B37C09" w:rsidRPr="00234BFD" w:rsidRDefault="00B37C09" w:rsidP="00941FC5">
            <w:pPr>
              <w:spacing w:before="40" w:after="40"/>
              <w:rPr>
                <w:sz w:val="16"/>
                <w:szCs w:val="16"/>
              </w:rPr>
            </w:pPr>
            <w:r w:rsidRPr="00234BFD">
              <w:rPr>
                <w:sz w:val="16"/>
                <w:szCs w:val="16"/>
              </w:rPr>
              <w:t>William Steele</w:t>
            </w:r>
          </w:p>
        </w:tc>
        <w:tc>
          <w:tcPr>
            <w:tcW w:w="1986" w:type="pct"/>
          </w:tcPr>
          <w:p w:rsidR="00B37C09" w:rsidRPr="00234BFD" w:rsidRDefault="00B37C09" w:rsidP="00941FC5">
            <w:pPr>
              <w:spacing w:before="40" w:after="40"/>
              <w:rPr>
                <w:sz w:val="16"/>
                <w:szCs w:val="16"/>
              </w:rPr>
            </w:pPr>
            <w:r w:rsidRPr="00234BFD">
              <w:rPr>
                <w:sz w:val="16"/>
                <w:szCs w:val="16"/>
              </w:rPr>
              <w:t>NIE Energy Supply</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Generator Member</w:t>
            </w:r>
          </w:p>
        </w:tc>
        <w:tc>
          <w:tcPr>
            <w:tcW w:w="1323" w:type="pct"/>
          </w:tcPr>
          <w:p w:rsidR="00B37C09" w:rsidRPr="00234BFD" w:rsidRDefault="00B37C09" w:rsidP="00941FC5">
            <w:pPr>
              <w:spacing w:before="40" w:after="40"/>
              <w:rPr>
                <w:sz w:val="16"/>
                <w:szCs w:val="16"/>
              </w:rPr>
            </w:pPr>
            <w:r w:rsidRPr="00234BFD">
              <w:rPr>
                <w:sz w:val="16"/>
                <w:szCs w:val="16"/>
              </w:rPr>
              <w:t>Andrew Burke</w:t>
            </w:r>
          </w:p>
        </w:tc>
        <w:tc>
          <w:tcPr>
            <w:tcW w:w="1986" w:type="pct"/>
          </w:tcPr>
          <w:p w:rsidR="00B37C09" w:rsidRPr="00234BFD" w:rsidRDefault="00B37C09" w:rsidP="00667F79">
            <w:pPr>
              <w:spacing w:before="40" w:after="40"/>
              <w:rPr>
                <w:sz w:val="16"/>
                <w:szCs w:val="16"/>
              </w:rPr>
            </w:pPr>
            <w:r w:rsidRPr="00234BFD">
              <w:rPr>
                <w:sz w:val="16"/>
                <w:szCs w:val="16"/>
              </w:rPr>
              <w:t>ESB</w:t>
            </w:r>
            <w:r>
              <w:rPr>
                <w:sz w:val="16"/>
                <w:szCs w:val="16"/>
              </w:rPr>
              <w:t>I</w:t>
            </w:r>
            <w:r w:rsidRPr="00234BFD">
              <w:rPr>
                <w:sz w:val="16"/>
                <w:szCs w:val="16"/>
              </w:rPr>
              <w:t xml:space="preserve"> </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Supplier Member</w:t>
            </w:r>
          </w:p>
        </w:tc>
        <w:tc>
          <w:tcPr>
            <w:tcW w:w="1323" w:type="pct"/>
          </w:tcPr>
          <w:p w:rsidR="00B37C09" w:rsidRPr="00234BFD" w:rsidRDefault="00B37C09" w:rsidP="00941FC5">
            <w:pPr>
              <w:spacing w:before="40" w:after="40"/>
              <w:rPr>
                <w:sz w:val="16"/>
                <w:szCs w:val="16"/>
              </w:rPr>
            </w:pPr>
            <w:r w:rsidRPr="00234BFD">
              <w:rPr>
                <w:sz w:val="16"/>
                <w:szCs w:val="16"/>
              </w:rPr>
              <w:t>Jill Murray</w:t>
            </w:r>
          </w:p>
        </w:tc>
        <w:tc>
          <w:tcPr>
            <w:tcW w:w="1986" w:type="pct"/>
          </w:tcPr>
          <w:p w:rsidR="00B37C09" w:rsidRPr="00234BFD" w:rsidRDefault="00B37C09" w:rsidP="00941FC5">
            <w:pPr>
              <w:spacing w:before="40" w:after="40"/>
              <w:rPr>
                <w:sz w:val="16"/>
                <w:szCs w:val="16"/>
              </w:rPr>
            </w:pPr>
            <w:r w:rsidRPr="00234BFD">
              <w:rPr>
                <w:sz w:val="16"/>
                <w:szCs w:val="16"/>
              </w:rPr>
              <w:t>Bord G</w:t>
            </w:r>
            <w:r w:rsidRPr="00234BFD">
              <w:rPr>
                <w:rFonts w:cs="Arial"/>
                <w:sz w:val="16"/>
                <w:szCs w:val="16"/>
              </w:rPr>
              <w:t>á</w:t>
            </w:r>
            <w:r w:rsidRPr="00234BFD">
              <w:rPr>
                <w:sz w:val="16"/>
                <w:szCs w:val="16"/>
              </w:rPr>
              <w:t>is Energy Supply</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Supplier Alternate</w:t>
            </w:r>
          </w:p>
        </w:tc>
        <w:tc>
          <w:tcPr>
            <w:tcW w:w="1323" w:type="pct"/>
          </w:tcPr>
          <w:p w:rsidR="00B37C09" w:rsidRPr="00234BFD" w:rsidRDefault="00B37C09" w:rsidP="00941FC5">
            <w:pPr>
              <w:spacing w:before="40" w:after="40"/>
              <w:rPr>
                <w:sz w:val="16"/>
                <w:szCs w:val="16"/>
              </w:rPr>
            </w:pPr>
            <w:r w:rsidRPr="00234BFD">
              <w:rPr>
                <w:sz w:val="16"/>
                <w:szCs w:val="16"/>
              </w:rPr>
              <w:t>William Carr</w:t>
            </w:r>
          </w:p>
        </w:tc>
        <w:tc>
          <w:tcPr>
            <w:tcW w:w="1986" w:type="pct"/>
          </w:tcPr>
          <w:p w:rsidR="00B37C09" w:rsidRPr="00234BFD" w:rsidRDefault="00B37C09" w:rsidP="00941FC5">
            <w:pPr>
              <w:spacing w:before="40" w:after="40"/>
              <w:rPr>
                <w:sz w:val="16"/>
                <w:szCs w:val="16"/>
              </w:rPr>
            </w:pPr>
            <w:r w:rsidRPr="00234BFD">
              <w:rPr>
                <w:sz w:val="16"/>
                <w:szCs w:val="16"/>
              </w:rPr>
              <w:t>ESB Electric Ireland</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Generator Member</w:t>
            </w:r>
          </w:p>
        </w:tc>
        <w:tc>
          <w:tcPr>
            <w:tcW w:w="1323" w:type="pct"/>
          </w:tcPr>
          <w:p w:rsidR="00B37C09" w:rsidRPr="00234BFD" w:rsidRDefault="00B37C09" w:rsidP="00941FC5">
            <w:pPr>
              <w:spacing w:before="40" w:after="40"/>
              <w:rPr>
                <w:sz w:val="16"/>
                <w:szCs w:val="16"/>
              </w:rPr>
            </w:pPr>
            <w:r w:rsidRPr="00234BFD">
              <w:rPr>
                <w:sz w:val="16"/>
                <w:szCs w:val="16"/>
              </w:rPr>
              <w:t>Kevin Hannafin</w:t>
            </w:r>
          </w:p>
        </w:tc>
        <w:tc>
          <w:tcPr>
            <w:tcW w:w="1986" w:type="pct"/>
          </w:tcPr>
          <w:p w:rsidR="00B37C09" w:rsidRPr="00234BFD" w:rsidRDefault="00B37C09" w:rsidP="00941FC5">
            <w:pPr>
              <w:spacing w:before="40" w:after="40"/>
              <w:rPr>
                <w:sz w:val="16"/>
                <w:szCs w:val="16"/>
              </w:rPr>
            </w:pPr>
            <w:r w:rsidRPr="00234BFD">
              <w:rPr>
                <w:sz w:val="16"/>
                <w:szCs w:val="16"/>
              </w:rPr>
              <w:t>Viridian Power &amp; Energy</w:t>
            </w:r>
          </w:p>
        </w:tc>
      </w:tr>
      <w:tr w:rsidR="00B37C09" w:rsidRPr="002F600B" w:rsidTr="00941FC5">
        <w:trPr>
          <w:jc w:val="center"/>
        </w:trPr>
        <w:tc>
          <w:tcPr>
            <w:tcW w:w="1691" w:type="pct"/>
          </w:tcPr>
          <w:p w:rsidR="00B37C09" w:rsidRPr="00234BFD" w:rsidRDefault="00B37C09" w:rsidP="00941FC5">
            <w:pPr>
              <w:spacing w:before="40" w:after="40"/>
              <w:rPr>
                <w:sz w:val="16"/>
                <w:szCs w:val="16"/>
              </w:rPr>
            </w:pPr>
            <w:r w:rsidRPr="00234BFD">
              <w:rPr>
                <w:sz w:val="16"/>
                <w:szCs w:val="16"/>
              </w:rPr>
              <w:t xml:space="preserve">Supplier Member </w:t>
            </w:r>
          </w:p>
        </w:tc>
        <w:tc>
          <w:tcPr>
            <w:tcW w:w="1323" w:type="pct"/>
          </w:tcPr>
          <w:p w:rsidR="00B37C09" w:rsidRPr="00234BFD" w:rsidRDefault="00B37C09" w:rsidP="00941FC5">
            <w:pPr>
              <w:spacing w:before="40" w:after="40"/>
              <w:rPr>
                <w:sz w:val="16"/>
                <w:szCs w:val="16"/>
              </w:rPr>
            </w:pPr>
            <w:r w:rsidRPr="00234BFD">
              <w:rPr>
                <w:sz w:val="16"/>
                <w:szCs w:val="16"/>
              </w:rPr>
              <w:t>Iain Wright</w:t>
            </w:r>
          </w:p>
        </w:tc>
        <w:tc>
          <w:tcPr>
            <w:tcW w:w="1986" w:type="pct"/>
          </w:tcPr>
          <w:p w:rsidR="00B37C09" w:rsidRPr="00234BFD" w:rsidRDefault="00B37C09" w:rsidP="00941FC5">
            <w:pPr>
              <w:spacing w:before="40" w:after="40"/>
              <w:rPr>
                <w:sz w:val="16"/>
                <w:szCs w:val="16"/>
              </w:rPr>
            </w:pPr>
            <w:r w:rsidRPr="00234BFD">
              <w:rPr>
                <w:sz w:val="16"/>
                <w:szCs w:val="16"/>
              </w:rPr>
              <w:t>Airtricity</w:t>
            </w:r>
          </w:p>
        </w:tc>
      </w:tr>
    </w:tbl>
    <w:p w:rsidR="00B37C09" w:rsidRPr="002F600B" w:rsidRDefault="00B37C09" w:rsidP="006944AF">
      <w:pPr>
        <w:pStyle w:val="Bullet1"/>
        <w:numPr>
          <w:ilvl w:val="0"/>
          <w:numId w:val="0"/>
        </w:numPr>
        <w:rPr>
          <w:highlight w:val="yellow"/>
        </w:rPr>
      </w:pPr>
    </w:p>
    <w:p w:rsidR="00B37C09" w:rsidRPr="00D4772E" w:rsidRDefault="00B37C09" w:rsidP="002B6AF9">
      <w:pPr>
        <w:pStyle w:val="Heading2"/>
        <w:numPr>
          <w:ilvl w:val="0"/>
          <w:numId w:val="30"/>
        </w:numPr>
        <w:rPr>
          <w:rStyle w:val="IntenseReference"/>
          <w:color w:val="1F497D"/>
        </w:rPr>
      </w:pPr>
      <w:bookmarkStart w:id="22" w:name="_Toc301516627"/>
      <w:r w:rsidRPr="00D4772E">
        <w:rPr>
          <w:rStyle w:val="IntenseReference"/>
          <w:color w:val="1F497D"/>
        </w:rPr>
        <w:t>Mod_28_11 alignment of ap11 with bi-annual release strategy</w:t>
      </w:r>
      <w:bookmarkEnd w:id="22"/>
    </w:p>
    <w:p w:rsidR="00B37C09" w:rsidRPr="00446F2F" w:rsidRDefault="00B37C09" w:rsidP="00446F2F">
      <w:pPr>
        <w:jc w:val="both"/>
      </w:pPr>
      <w:r w:rsidRPr="00BB66DC">
        <w:t>Proposer</w:t>
      </w:r>
      <w:r w:rsidRPr="00446F2F">
        <w:t>: SEMO-AP only</w:t>
      </w:r>
    </w:p>
    <w:p w:rsidR="00B37C09" w:rsidRPr="006C23B4" w:rsidRDefault="00B37C09" w:rsidP="006C23B4">
      <w:pPr>
        <w:jc w:val="both"/>
      </w:pPr>
      <w:r w:rsidRPr="00446F2F">
        <w:t xml:space="preserve">SEMO Alternate provided brief outline of the proposal advising that the Modification Proposal seeks to align AP11 with the current process for making changes </w:t>
      </w:r>
      <w:r>
        <w:t xml:space="preserve">within </w:t>
      </w:r>
      <w:r w:rsidRPr="00446F2F">
        <w:t>the CMS.</w:t>
      </w:r>
      <w:r>
        <w:t xml:space="preserve"> Discussion arose around the text and it was </w:t>
      </w:r>
      <w:r w:rsidRPr="006C23B4">
        <w:t>decided to replace the text with “</w:t>
      </w:r>
      <w:r>
        <w:t>A</w:t>
      </w:r>
      <w:r w:rsidRPr="006C23B4">
        <w:t>s defined in the Code”. Supplier Alternate queried as to where the SDS changes are captured</w:t>
      </w:r>
      <w:r>
        <w:t>. SEMO Alternate advised that SDS is not covered in the Code and that it is purely for non-Code changes,</w:t>
      </w:r>
    </w:p>
    <w:p w:rsidR="00B37C09" w:rsidRPr="006C23B4" w:rsidRDefault="00B37C09" w:rsidP="00BE11AC">
      <w:pPr>
        <w:pStyle w:val="IntenseQuote"/>
      </w:pPr>
      <w:r w:rsidRPr="006C23B4">
        <w:t xml:space="preserve">Actions </w:t>
      </w:r>
    </w:p>
    <w:p w:rsidR="00B37C09" w:rsidRDefault="00B37C09" w:rsidP="00BE11AC">
      <w:pPr>
        <w:pStyle w:val="Bullet1"/>
        <w:numPr>
          <w:ilvl w:val="0"/>
          <w:numId w:val="10"/>
        </w:numPr>
      </w:pPr>
      <w:r w:rsidRPr="006C23B4">
        <w:t xml:space="preserve">Secretariat to ensure FRR includes legal drafting </w:t>
      </w:r>
      <w:r w:rsidR="00F9752E">
        <w:t xml:space="preserve">changes </w:t>
      </w:r>
      <w:r w:rsidRPr="006C23B4">
        <w:t>agreed at the Meeting.</w:t>
      </w:r>
    </w:p>
    <w:p w:rsidR="00B37C09" w:rsidRDefault="000D5744" w:rsidP="000D5744">
      <w:pPr>
        <w:pStyle w:val="IntenseQuote"/>
        <w:ind w:left="1080"/>
      </w:pPr>
      <w:r>
        <w:t>Decision</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B37C09" w:rsidRPr="00D20258" w:rsidTr="00FD3C5D">
        <w:trPr>
          <w:jc w:val="center"/>
        </w:trPr>
        <w:tc>
          <w:tcPr>
            <w:tcW w:w="5000" w:type="pct"/>
            <w:gridSpan w:val="3"/>
            <w:shd w:val="clear" w:color="auto" w:fill="548DD4"/>
          </w:tcPr>
          <w:p w:rsidR="00B37C09" w:rsidRPr="00D20258" w:rsidRDefault="00B37C09" w:rsidP="00FD3C5D">
            <w:pPr>
              <w:spacing w:before="40" w:after="40"/>
              <w:jc w:val="center"/>
              <w:rPr>
                <w:b/>
                <w:color w:val="FFFFFF"/>
                <w:sz w:val="16"/>
                <w:szCs w:val="16"/>
              </w:rPr>
            </w:pPr>
            <w:r w:rsidRPr="00781E8B">
              <w:rPr>
                <w:b/>
                <w:color w:val="FFFFFF"/>
              </w:rPr>
              <w:t>Recommended for Approval</w:t>
            </w:r>
            <w:r>
              <w:rPr>
                <w:b/>
                <w:color w:val="FFFFFF"/>
              </w:rPr>
              <w:t xml:space="preserve"> (subject to Legal Drafting changes)</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MO Member</w:t>
            </w:r>
          </w:p>
        </w:tc>
        <w:tc>
          <w:tcPr>
            <w:tcW w:w="1323" w:type="pct"/>
          </w:tcPr>
          <w:p w:rsidR="00B37C09" w:rsidRPr="00D20258" w:rsidRDefault="00B37C09" w:rsidP="00FD3C5D">
            <w:pPr>
              <w:spacing w:before="40" w:after="40"/>
              <w:rPr>
                <w:sz w:val="16"/>
                <w:szCs w:val="16"/>
              </w:rPr>
            </w:pPr>
            <w:r w:rsidRPr="00D20258">
              <w:rPr>
                <w:sz w:val="16"/>
                <w:szCs w:val="16"/>
              </w:rPr>
              <w:t>Niamh Delaney</w:t>
            </w:r>
          </w:p>
        </w:tc>
        <w:tc>
          <w:tcPr>
            <w:tcW w:w="1986" w:type="pct"/>
          </w:tcPr>
          <w:p w:rsidR="00B37C09" w:rsidRPr="00D20258" w:rsidRDefault="00B37C09" w:rsidP="00FD3C5D">
            <w:pPr>
              <w:spacing w:before="40" w:after="40"/>
              <w:rPr>
                <w:sz w:val="16"/>
                <w:szCs w:val="16"/>
              </w:rPr>
            </w:pPr>
            <w:r w:rsidRPr="00D20258">
              <w:rPr>
                <w:sz w:val="16"/>
                <w:szCs w:val="16"/>
              </w:rPr>
              <w:t>SEMO</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SO Member</w:t>
            </w:r>
          </w:p>
        </w:tc>
        <w:tc>
          <w:tcPr>
            <w:tcW w:w="1323" w:type="pct"/>
          </w:tcPr>
          <w:p w:rsidR="00B37C09" w:rsidRPr="00D20258" w:rsidRDefault="00B37C09" w:rsidP="00FD3C5D">
            <w:pPr>
              <w:spacing w:before="40" w:after="40"/>
              <w:rPr>
                <w:sz w:val="16"/>
                <w:szCs w:val="16"/>
              </w:rPr>
            </w:pPr>
            <w:r w:rsidRPr="00D20258">
              <w:rPr>
                <w:sz w:val="16"/>
                <w:szCs w:val="16"/>
              </w:rPr>
              <w:t>Sonya Twohig</w:t>
            </w:r>
          </w:p>
        </w:tc>
        <w:tc>
          <w:tcPr>
            <w:tcW w:w="1986" w:type="pct"/>
          </w:tcPr>
          <w:p w:rsidR="00B37C09" w:rsidRPr="00D20258" w:rsidRDefault="00B37C09" w:rsidP="00FD3C5D">
            <w:pPr>
              <w:spacing w:before="40" w:after="40"/>
              <w:rPr>
                <w:sz w:val="16"/>
                <w:szCs w:val="16"/>
              </w:rPr>
            </w:pPr>
            <w:r w:rsidRPr="00D20258">
              <w:rPr>
                <w:sz w:val="16"/>
                <w:szCs w:val="16"/>
              </w:rPr>
              <w:t>EirGrid</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Generator Alternate</w:t>
            </w:r>
          </w:p>
        </w:tc>
        <w:tc>
          <w:tcPr>
            <w:tcW w:w="1323" w:type="pct"/>
          </w:tcPr>
          <w:p w:rsidR="00B37C09" w:rsidRPr="00D20258" w:rsidRDefault="00B37C09" w:rsidP="00FD3C5D">
            <w:pPr>
              <w:spacing w:before="40" w:after="40"/>
              <w:rPr>
                <w:sz w:val="16"/>
                <w:szCs w:val="16"/>
              </w:rPr>
            </w:pPr>
            <w:r w:rsidRPr="00D20258">
              <w:rPr>
                <w:sz w:val="16"/>
                <w:szCs w:val="16"/>
              </w:rPr>
              <w:t>Brian Mongan</w:t>
            </w:r>
          </w:p>
        </w:tc>
        <w:tc>
          <w:tcPr>
            <w:tcW w:w="1986" w:type="pct"/>
          </w:tcPr>
          <w:p w:rsidR="00B37C09" w:rsidRPr="00D20258" w:rsidRDefault="00B37C09" w:rsidP="00FD3C5D">
            <w:pPr>
              <w:spacing w:before="40" w:after="40"/>
              <w:rPr>
                <w:sz w:val="16"/>
                <w:szCs w:val="16"/>
              </w:rPr>
            </w:pPr>
            <w:r w:rsidRPr="00D20258">
              <w:rPr>
                <w:sz w:val="16"/>
                <w:szCs w:val="16"/>
              </w:rPr>
              <w:t>AES</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MDP Member</w:t>
            </w:r>
          </w:p>
        </w:tc>
        <w:tc>
          <w:tcPr>
            <w:tcW w:w="1323" w:type="pct"/>
          </w:tcPr>
          <w:p w:rsidR="00B37C09" w:rsidRPr="00D20258" w:rsidRDefault="00B37C09" w:rsidP="00FD3C5D">
            <w:pPr>
              <w:spacing w:before="40" w:after="40"/>
              <w:rPr>
                <w:sz w:val="16"/>
                <w:szCs w:val="16"/>
              </w:rPr>
            </w:pPr>
            <w:r w:rsidRPr="00D20258">
              <w:rPr>
                <w:sz w:val="16"/>
                <w:szCs w:val="16"/>
              </w:rPr>
              <w:t>Aileen</w:t>
            </w:r>
            <w:r w:rsidR="00A043FC">
              <w:rPr>
                <w:sz w:val="16"/>
                <w:szCs w:val="16"/>
              </w:rPr>
              <w:t xml:space="preserve"> O’ Connor</w:t>
            </w:r>
          </w:p>
        </w:tc>
        <w:tc>
          <w:tcPr>
            <w:tcW w:w="1986" w:type="pct"/>
          </w:tcPr>
          <w:p w:rsidR="00B37C09" w:rsidRPr="00D20258" w:rsidRDefault="00B37C09" w:rsidP="00FD3C5D">
            <w:pPr>
              <w:spacing w:before="40" w:after="40"/>
              <w:rPr>
                <w:sz w:val="16"/>
                <w:szCs w:val="16"/>
              </w:rPr>
            </w:pPr>
            <w:r w:rsidRPr="00D20258">
              <w:rPr>
                <w:sz w:val="16"/>
                <w:szCs w:val="16"/>
              </w:rPr>
              <w:t>ESB Networks MRSO</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MDP Alternate</w:t>
            </w:r>
          </w:p>
        </w:tc>
        <w:tc>
          <w:tcPr>
            <w:tcW w:w="1323" w:type="pct"/>
          </w:tcPr>
          <w:p w:rsidR="00B37C09" w:rsidRPr="00D20258" w:rsidRDefault="00B37C09" w:rsidP="00FD3C5D">
            <w:pPr>
              <w:spacing w:before="40" w:after="40"/>
              <w:rPr>
                <w:sz w:val="16"/>
                <w:szCs w:val="16"/>
              </w:rPr>
            </w:pPr>
            <w:r w:rsidRPr="00D20258">
              <w:rPr>
                <w:sz w:val="16"/>
                <w:szCs w:val="16"/>
              </w:rPr>
              <w:t>Karen Meneely</w:t>
            </w:r>
          </w:p>
        </w:tc>
        <w:tc>
          <w:tcPr>
            <w:tcW w:w="1986" w:type="pct"/>
          </w:tcPr>
          <w:p w:rsidR="00B37C09" w:rsidRPr="00D20258" w:rsidRDefault="00B37C09" w:rsidP="00FD3C5D">
            <w:pPr>
              <w:spacing w:before="40" w:after="40"/>
              <w:rPr>
                <w:sz w:val="16"/>
                <w:szCs w:val="16"/>
              </w:rPr>
            </w:pPr>
            <w:r w:rsidRPr="00D20258">
              <w:rPr>
                <w:sz w:val="16"/>
                <w:szCs w:val="16"/>
              </w:rPr>
              <w:t>NIE T &amp; D</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Generator Alternate</w:t>
            </w:r>
          </w:p>
        </w:tc>
        <w:tc>
          <w:tcPr>
            <w:tcW w:w="1323" w:type="pct"/>
          </w:tcPr>
          <w:p w:rsidR="00B37C09" w:rsidRPr="00D20258" w:rsidRDefault="00B37C09" w:rsidP="00FD3C5D">
            <w:pPr>
              <w:spacing w:before="40" w:after="40"/>
              <w:rPr>
                <w:sz w:val="16"/>
                <w:szCs w:val="16"/>
              </w:rPr>
            </w:pPr>
            <w:r w:rsidRPr="00D20258">
              <w:rPr>
                <w:sz w:val="16"/>
                <w:szCs w:val="16"/>
              </w:rPr>
              <w:t>Mary Doorly</w:t>
            </w:r>
          </w:p>
        </w:tc>
        <w:tc>
          <w:tcPr>
            <w:tcW w:w="1986" w:type="pct"/>
          </w:tcPr>
          <w:p w:rsidR="00B37C09" w:rsidRPr="00D20258" w:rsidRDefault="00B37C09" w:rsidP="00FD3C5D">
            <w:pPr>
              <w:spacing w:before="40" w:after="40"/>
              <w:rPr>
                <w:sz w:val="16"/>
                <w:szCs w:val="16"/>
              </w:rPr>
            </w:pPr>
            <w:r w:rsidRPr="00D20258">
              <w:rPr>
                <w:sz w:val="16"/>
                <w:szCs w:val="16"/>
              </w:rPr>
              <w:t>IWEA</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SO Alternate</w:t>
            </w:r>
          </w:p>
        </w:tc>
        <w:tc>
          <w:tcPr>
            <w:tcW w:w="1323" w:type="pct"/>
          </w:tcPr>
          <w:p w:rsidR="00B37C09" w:rsidRPr="00D20258" w:rsidRDefault="00B37C09" w:rsidP="00FD3C5D">
            <w:pPr>
              <w:spacing w:before="40" w:after="40"/>
              <w:rPr>
                <w:sz w:val="16"/>
                <w:szCs w:val="16"/>
              </w:rPr>
            </w:pPr>
            <w:r w:rsidRPr="00D20258">
              <w:rPr>
                <w:sz w:val="16"/>
                <w:szCs w:val="16"/>
              </w:rPr>
              <w:t>Kris Kennedy</w:t>
            </w:r>
          </w:p>
        </w:tc>
        <w:tc>
          <w:tcPr>
            <w:tcW w:w="1986" w:type="pct"/>
          </w:tcPr>
          <w:p w:rsidR="00B37C09" w:rsidRPr="00D20258" w:rsidRDefault="00B37C09" w:rsidP="00FD3C5D">
            <w:pPr>
              <w:spacing w:before="40" w:after="40"/>
              <w:rPr>
                <w:sz w:val="16"/>
                <w:szCs w:val="16"/>
              </w:rPr>
            </w:pPr>
            <w:r w:rsidRPr="00D20258">
              <w:rPr>
                <w:sz w:val="16"/>
                <w:szCs w:val="16"/>
              </w:rPr>
              <w:t>SONI</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Supplier Member</w:t>
            </w:r>
          </w:p>
        </w:tc>
        <w:tc>
          <w:tcPr>
            <w:tcW w:w="1323" w:type="pct"/>
          </w:tcPr>
          <w:p w:rsidR="00B37C09" w:rsidRPr="00D20258" w:rsidRDefault="00B37C09" w:rsidP="00FD3C5D">
            <w:pPr>
              <w:spacing w:before="40" w:after="40"/>
              <w:rPr>
                <w:sz w:val="16"/>
                <w:szCs w:val="16"/>
              </w:rPr>
            </w:pPr>
            <w:r w:rsidRPr="00D20258">
              <w:rPr>
                <w:sz w:val="16"/>
                <w:szCs w:val="16"/>
              </w:rPr>
              <w:t>William Steele</w:t>
            </w:r>
          </w:p>
        </w:tc>
        <w:tc>
          <w:tcPr>
            <w:tcW w:w="1986" w:type="pct"/>
          </w:tcPr>
          <w:p w:rsidR="00B37C09" w:rsidRPr="00D20258" w:rsidRDefault="00B37C09" w:rsidP="00FD3C5D">
            <w:pPr>
              <w:spacing w:before="40" w:after="40"/>
              <w:rPr>
                <w:sz w:val="16"/>
                <w:szCs w:val="16"/>
              </w:rPr>
            </w:pPr>
            <w:r w:rsidRPr="00D20258">
              <w:rPr>
                <w:sz w:val="16"/>
                <w:szCs w:val="16"/>
              </w:rPr>
              <w:t>NIE Energy Supply</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Generator Member</w:t>
            </w:r>
          </w:p>
        </w:tc>
        <w:tc>
          <w:tcPr>
            <w:tcW w:w="1323" w:type="pct"/>
          </w:tcPr>
          <w:p w:rsidR="00B37C09" w:rsidRPr="00D20258" w:rsidRDefault="00B37C09" w:rsidP="00FD3C5D">
            <w:pPr>
              <w:spacing w:before="40" w:after="40"/>
              <w:rPr>
                <w:sz w:val="16"/>
                <w:szCs w:val="16"/>
              </w:rPr>
            </w:pPr>
            <w:r w:rsidRPr="00D20258">
              <w:rPr>
                <w:sz w:val="16"/>
                <w:szCs w:val="16"/>
              </w:rPr>
              <w:t>Andrew Burke</w:t>
            </w:r>
          </w:p>
        </w:tc>
        <w:tc>
          <w:tcPr>
            <w:tcW w:w="1986" w:type="pct"/>
          </w:tcPr>
          <w:p w:rsidR="00B37C09" w:rsidRPr="00D20258" w:rsidRDefault="00B37C09" w:rsidP="00667F79">
            <w:pPr>
              <w:spacing w:before="40" w:after="40"/>
              <w:rPr>
                <w:sz w:val="16"/>
                <w:szCs w:val="16"/>
              </w:rPr>
            </w:pPr>
            <w:r w:rsidRPr="00D20258">
              <w:rPr>
                <w:sz w:val="16"/>
                <w:szCs w:val="16"/>
              </w:rPr>
              <w:t>ESB</w:t>
            </w:r>
            <w:r>
              <w:rPr>
                <w:sz w:val="16"/>
                <w:szCs w:val="16"/>
              </w:rPr>
              <w:t>I</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Supplier Member</w:t>
            </w:r>
          </w:p>
        </w:tc>
        <w:tc>
          <w:tcPr>
            <w:tcW w:w="1323" w:type="pct"/>
          </w:tcPr>
          <w:p w:rsidR="00B37C09" w:rsidRPr="00D20258" w:rsidRDefault="00B37C09" w:rsidP="00FD3C5D">
            <w:pPr>
              <w:spacing w:before="40" w:after="40"/>
              <w:rPr>
                <w:sz w:val="16"/>
                <w:szCs w:val="16"/>
              </w:rPr>
            </w:pPr>
            <w:r w:rsidRPr="00D20258">
              <w:rPr>
                <w:sz w:val="16"/>
                <w:szCs w:val="16"/>
              </w:rPr>
              <w:t>Jill Murray</w:t>
            </w:r>
          </w:p>
        </w:tc>
        <w:tc>
          <w:tcPr>
            <w:tcW w:w="1986" w:type="pct"/>
          </w:tcPr>
          <w:p w:rsidR="00B37C09" w:rsidRPr="00D20258" w:rsidRDefault="00B37C09" w:rsidP="00FD3C5D">
            <w:pPr>
              <w:spacing w:before="40" w:after="40"/>
              <w:rPr>
                <w:sz w:val="16"/>
                <w:szCs w:val="16"/>
              </w:rPr>
            </w:pPr>
            <w:r w:rsidRPr="00D20258">
              <w:rPr>
                <w:sz w:val="16"/>
                <w:szCs w:val="16"/>
              </w:rPr>
              <w:t>Bord G</w:t>
            </w:r>
            <w:r w:rsidRPr="00D20258">
              <w:rPr>
                <w:rFonts w:cs="Arial"/>
                <w:sz w:val="16"/>
                <w:szCs w:val="16"/>
              </w:rPr>
              <w:t>á</w:t>
            </w:r>
            <w:r w:rsidRPr="00D20258">
              <w:rPr>
                <w:sz w:val="16"/>
                <w:szCs w:val="16"/>
              </w:rPr>
              <w:t>is Energy Supply</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Supplier Alternate</w:t>
            </w:r>
          </w:p>
        </w:tc>
        <w:tc>
          <w:tcPr>
            <w:tcW w:w="1323" w:type="pct"/>
          </w:tcPr>
          <w:p w:rsidR="00B37C09" w:rsidRPr="00D20258" w:rsidRDefault="00B37C09" w:rsidP="00FD3C5D">
            <w:pPr>
              <w:spacing w:before="40" w:after="40"/>
              <w:rPr>
                <w:sz w:val="16"/>
                <w:szCs w:val="16"/>
              </w:rPr>
            </w:pPr>
            <w:r w:rsidRPr="00D20258">
              <w:rPr>
                <w:sz w:val="16"/>
                <w:szCs w:val="16"/>
              </w:rPr>
              <w:t>William Carr</w:t>
            </w:r>
          </w:p>
        </w:tc>
        <w:tc>
          <w:tcPr>
            <w:tcW w:w="1986" w:type="pct"/>
          </w:tcPr>
          <w:p w:rsidR="00B37C09" w:rsidRPr="00D20258" w:rsidRDefault="00B37C09" w:rsidP="00FD3C5D">
            <w:pPr>
              <w:spacing w:before="40" w:after="40"/>
              <w:rPr>
                <w:sz w:val="16"/>
                <w:szCs w:val="16"/>
              </w:rPr>
            </w:pPr>
            <w:r w:rsidRPr="00D20258">
              <w:rPr>
                <w:sz w:val="16"/>
                <w:szCs w:val="16"/>
              </w:rPr>
              <w:t>ESB Electric Ireland</w:t>
            </w:r>
          </w:p>
        </w:tc>
      </w:tr>
      <w:tr w:rsidR="00B37C09" w:rsidRPr="00D20258" w:rsidTr="00FD3C5D">
        <w:trPr>
          <w:jc w:val="center"/>
        </w:trPr>
        <w:tc>
          <w:tcPr>
            <w:tcW w:w="1691" w:type="pct"/>
          </w:tcPr>
          <w:p w:rsidR="00B37C09" w:rsidRPr="00D20258" w:rsidRDefault="00B37C09" w:rsidP="00FD3C5D">
            <w:pPr>
              <w:spacing w:before="40" w:after="40"/>
              <w:rPr>
                <w:sz w:val="16"/>
                <w:szCs w:val="16"/>
              </w:rPr>
            </w:pPr>
            <w:r w:rsidRPr="00D20258">
              <w:rPr>
                <w:sz w:val="16"/>
                <w:szCs w:val="16"/>
              </w:rPr>
              <w:t>Generator Member</w:t>
            </w:r>
          </w:p>
        </w:tc>
        <w:tc>
          <w:tcPr>
            <w:tcW w:w="1323" w:type="pct"/>
          </w:tcPr>
          <w:p w:rsidR="00B37C09" w:rsidRPr="00D20258" w:rsidRDefault="00B37C09" w:rsidP="00FD3C5D">
            <w:pPr>
              <w:spacing w:before="40" w:after="40"/>
              <w:rPr>
                <w:sz w:val="16"/>
                <w:szCs w:val="16"/>
              </w:rPr>
            </w:pPr>
            <w:r w:rsidRPr="00D20258">
              <w:rPr>
                <w:sz w:val="16"/>
                <w:szCs w:val="16"/>
              </w:rPr>
              <w:t>Kevin Hannafin</w:t>
            </w:r>
          </w:p>
        </w:tc>
        <w:tc>
          <w:tcPr>
            <w:tcW w:w="1986" w:type="pct"/>
          </w:tcPr>
          <w:p w:rsidR="00B37C09" w:rsidRPr="00D20258" w:rsidRDefault="00B37C09" w:rsidP="00FD3C5D">
            <w:pPr>
              <w:spacing w:before="40" w:after="40"/>
              <w:rPr>
                <w:sz w:val="16"/>
                <w:szCs w:val="16"/>
              </w:rPr>
            </w:pPr>
            <w:r w:rsidRPr="00D20258">
              <w:rPr>
                <w:sz w:val="16"/>
                <w:szCs w:val="16"/>
              </w:rPr>
              <w:t>Viridian Power &amp; Energy</w:t>
            </w:r>
          </w:p>
        </w:tc>
      </w:tr>
    </w:tbl>
    <w:p w:rsidR="00B37C09" w:rsidRDefault="00B37C09" w:rsidP="006C23B4">
      <w:pPr>
        <w:pStyle w:val="Bullet1"/>
        <w:numPr>
          <w:ilvl w:val="0"/>
          <w:numId w:val="0"/>
        </w:numPr>
        <w:ind w:left="360" w:hanging="360"/>
      </w:pPr>
    </w:p>
    <w:p w:rsidR="00B37C09" w:rsidRPr="006C23B4" w:rsidRDefault="00B37C09" w:rsidP="006C23B4">
      <w:pPr>
        <w:pStyle w:val="Bullet1"/>
        <w:numPr>
          <w:ilvl w:val="0"/>
          <w:numId w:val="0"/>
        </w:numPr>
        <w:ind w:left="360" w:hanging="360"/>
      </w:pPr>
    </w:p>
    <w:p w:rsidR="00B37C09" w:rsidRPr="002F600B" w:rsidRDefault="00B37C09" w:rsidP="00EC3E98">
      <w:pPr>
        <w:pStyle w:val="Bullet1"/>
        <w:numPr>
          <w:ilvl w:val="0"/>
          <w:numId w:val="0"/>
        </w:numPr>
        <w:ind w:left="1440"/>
        <w:rPr>
          <w:highlight w:val="yellow"/>
        </w:rPr>
      </w:pPr>
    </w:p>
    <w:p w:rsidR="00B37C09" w:rsidRPr="002F600B" w:rsidRDefault="00B37C09" w:rsidP="006944AF">
      <w:pPr>
        <w:pStyle w:val="Bullet1"/>
        <w:numPr>
          <w:ilvl w:val="0"/>
          <w:numId w:val="0"/>
        </w:numPr>
        <w:rPr>
          <w:highlight w:val="yellow"/>
        </w:rPr>
      </w:pPr>
    </w:p>
    <w:p w:rsidR="00B37C09" w:rsidRPr="001D724D" w:rsidRDefault="00B37C09" w:rsidP="00D147ED">
      <w:pPr>
        <w:pStyle w:val="Heading1"/>
        <w:numPr>
          <w:ilvl w:val="0"/>
          <w:numId w:val="18"/>
        </w:numPr>
      </w:pPr>
      <w:bookmarkStart w:id="23" w:name="_Toc301516628"/>
      <w:r w:rsidRPr="001D724D">
        <w:lastRenderedPageBreak/>
        <w:t>Any Other Business</w:t>
      </w:r>
      <w:bookmarkEnd w:id="23"/>
    </w:p>
    <w:p w:rsidR="00B37C09" w:rsidRDefault="00B37C09" w:rsidP="00075B38">
      <w:pPr>
        <w:pStyle w:val="Bullet1"/>
        <w:numPr>
          <w:ilvl w:val="0"/>
          <w:numId w:val="0"/>
        </w:numPr>
        <w:ind w:left="360" w:hanging="360"/>
      </w:pPr>
    </w:p>
    <w:p w:rsidR="00B37C09" w:rsidRDefault="00B37C09" w:rsidP="00075B38">
      <w:pPr>
        <w:pStyle w:val="Bullet1"/>
        <w:numPr>
          <w:ilvl w:val="0"/>
          <w:numId w:val="0"/>
        </w:numPr>
        <w:ind w:left="360" w:hanging="360"/>
      </w:pPr>
      <w:r>
        <w:t>C</w:t>
      </w:r>
      <w:r w:rsidRPr="000A0D3C">
        <w:t xml:space="preserve">onference call to discuss Mod_18_10 </w:t>
      </w:r>
      <w:r w:rsidRPr="00075B38">
        <w:rPr>
          <w:i/>
        </w:rPr>
        <w:t>Intra-Day Trading</w:t>
      </w:r>
      <w:r w:rsidRPr="000A0D3C">
        <w:t xml:space="preserve"> Func</w:t>
      </w:r>
      <w:r>
        <w:t>tional Group 3 will be held on</w:t>
      </w:r>
      <w:r w:rsidRPr="000A0D3C">
        <w:t>14</w:t>
      </w:r>
      <w:r w:rsidRPr="000A0D3C">
        <w:rPr>
          <w:vertAlign w:val="superscript"/>
        </w:rPr>
        <w:t>th</w:t>
      </w:r>
      <w:r>
        <w:rPr>
          <w:vertAlign w:val="superscript"/>
        </w:rPr>
        <w:t xml:space="preserve"> </w:t>
      </w:r>
      <w:r w:rsidRPr="000A0D3C">
        <w:t>September.</w:t>
      </w:r>
    </w:p>
    <w:p w:rsidR="00B37C09" w:rsidRDefault="00B37C09" w:rsidP="00075B38">
      <w:pPr>
        <w:pStyle w:val="Bullet1"/>
        <w:numPr>
          <w:ilvl w:val="0"/>
          <w:numId w:val="0"/>
        </w:numPr>
        <w:ind w:left="360" w:hanging="360"/>
      </w:pPr>
      <w:r w:rsidRPr="000A0D3C">
        <w:t xml:space="preserve">Working Group 10 of Mod_18_10 </w:t>
      </w:r>
      <w:r w:rsidRPr="00075B38">
        <w:rPr>
          <w:i/>
        </w:rPr>
        <w:t>Intra-Day Trading</w:t>
      </w:r>
      <w:r w:rsidRPr="000A0D3C">
        <w:t xml:space="preserve"> will take place in Belfast on </w:t>
      </w:r>
      <w:r>
        <w:t>27</w:t>
      </w:r>
      <w:r w:rsidRPr="0058361B">
        <w:rPr>
          <w:vertAlign w:val="superscript"/>
        </w:rPr>
        <w:t>th</w:t>
      </w:r>
      <w:r>
        <w:t xml:space="preserve"> </w:t>
      </w:r>
      <w:r w:rsidRPr="000A0D3C">
        <w:t xml:space="preserve">September. </w:t>
      </w:r>
    </w:p>
    <w:p w:rsidR="00B37C09" w:rsidRPr="000A0D3C" w:rsidRDefault="00B37C09" w:rsidP="006944AF">
      <w:pPr>
        <w:pStyle w:val="Bullet1"/>
        <w:numPr>
          <w:ilvl w:val="0"/>
          <w:numId w:val="0"/>
        </w:numPr>
      </w:pPr>
      <w:r>
        <w:t xml:space="preserve">Working Group for Mod_16_11 </w:t>
      </w:r>
      <w:r w:rsidRPr="00075B38">
        <w:rPr>
          <w:i/>
        </w:rPr>
        <w:t>Credit Worthiness Test for the SEM Bank and Credit Cover Provider banks</w:t>
      </w:r>
      <w:r>
        <w:rPr>
          <w:i/>
        </w:rPr>
        <w:t xml:space="preserve"> </w:t>
      </w:r>
      <w:r>
        <w:t>is convened for 15</w:t>
      </w:r>
      <w:r w:rsidRPr="0058361B">
        <w:rPr>
          <w:vertAlign w:val="superscript"/>
        </w:rPr>
        <w:t>th</w:t>
      </w:r>
      <w:r>
        <w:t xml:space="preserve"> September </w:t>
      </w:r>
      <w:r>
        <w:rPr>
          <w:vertAlign w:val="superscript"/>
        </w:rPr>
        <w:t xml:space="preserve"> </w:t>
      </w:r>
      <w:r>
        <w:t xml:space="preserve">in the Clarion Hotel, Dublin. </w:t>
      </w:r>
    </w:p>
    <w:p w:rsidR="00B37C09" w:rsidRPr="000A0D3C" w:rsidRDefault="00B37C09" w:rsidP="006944AF">
      <w:pPr>
        <w:pStyle w:val="Bullet1"/>
        <w:numPr>
          <w:ilvl w:val="0"/>
          <w:numId w:val="0"/>
        </w:numPr>
      </w:pPr>
      <w:r w:rsidRPr="000A0D3C">
        <w:t>Modifications Meeting 38 will take place on 11th October 2011</w:t>
      </w:r>
      <w:r>
        <w:t xml:space="preserve"> in Dublin</w:t>
      </w:r>
      <w:r w:rsidRPr="000A0D3C">
        <w:t xml:space="preserve">. </w:t>
      </w:r>
    </w:p>
    <w:p w:rsidR="00B37C09" w:rsidRPr="002F600B" w:rsidRDefault="00B37C09" w:rsidP="00294489">
      <w:pPr>
        <w:rPr>
          <w:highlight w:val="yellow"/>
        </w:rPr>
      </w:pPr>
      <w:r w:rsidRPr="002F600B">
        <w:rPr>
          <w:highlight w:val="yellow"/>
        </w:rPr>
        <w:t xml:space="preserve"> </w:t>
      </w:r>
    </w:p>
    <w:p w:rsidR="00B37C09" w:rsidRPr="00C76600" w:rsidRDefault="00B37C09" w:rsidP="00D147ED">
      <w:pPr>
        <w:pStyle w:val="Heading1"/>
        <w:numPr>
          <w:ilvl w:val="0"/>
          <w:numId w:val="18"/>
        </w:numPr>
        <w:ind w:left="431" w:hanging="431"/>
      </w:pPr>
      <w:bookmarkStart w:id="24" w:name="_Toc301516629"/>
      <w:r w:rsidRPr="00C76600">
        <w:lastRenderedPageBreak/>
        <w:t>Appendices</w:t>
      </w:r>
      <w:bookmarkEnd w:id="24"/>
    </w:p>
    <w:p w:rsidR="00B37C09" w:rsidRPr="00DE6C5A" w:rsidRDefault="00B37C09" w:rsidP="00B47FC6"/>
    <w:p w:rsidR="00B37C09" w:rsidRPr="00DE6C5A" w:rsidRDefault="00B37C09" w:rsidP="00D147ED">
      <w:pPr>
        <w:pStyle w:val="Heading2"/>
        <w:numPr>
          <w:ilvl w:val="1"/>
          <w:numId w:val="18"/>
        </w:numPr>
      </w:pPr>
      <w:bookmarkStart w:id="25" w:name="_Appendix_1_-"/>
      <w:bookmarkStart w:id="26" w:name="_Toc301516630"/>
      <w:bookmarkStart w:id="27" w:name="_Ref276481628"/>
      <w:bookmarkEnd w:id="25"/>
      <w:r w:rsidRPr="00DE6C5A">
        <w:t>Appendix 1 - Secretariat Programme of Work</w:t>
      </w:r>
      <w:bookmarkEnd w:id="26"/>
    </w:p>
    <w:p w:rsidR="00B37C09" w:rsidRPr="002F600B" w:rsidRDefault="00B37C09" w:rsidP="005206E0">
      <w:pPr>
        <w:spacing w:before="240" w:after="240"/>
        <w:rPr>
          <w:rFonts w:cs="Arial"/>
          <w:b/>
          <w:bCs/>
          <w:sz w:val="16"/>
          <w:szCs w:val="16"/>
          <w:highlight w:val="yellow"/>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2487"/>
      </w:tblGrid>
      <w:tr w:rsidR="00B37C09" w:rsidRPr="002F600B" w:rsidTr="00892E6B">
        <w:trPr>
          <w:jc w:val="center"/>
        </w:trPr>
        <w:tc>
          <w:tcPr>
            <w:tcW w:w="8595" w:type="dxa"/>
            <w:gridSpan w:val="5"/>
            <w:shd w:val="clear" w:color="auto" w:fill="548DD4"/>
            <w:vAlign w:val="center"/>
          </w:tcPr>
          <w:p w:rsidR="00B37C09" w:rsidRPr="002F600B" w:rsidRDefault="00B37C09" w:rsidP="005206E0">
            <w:pPr>
              <w:spacing w:before="40" w:after="40"/>
              <w:jc w:val="center"/>
              <w:rPr>
                <w:b/>
                <w:color w:val="FFFFFF"/>
                <w:sz w:val="24"/>
                <w:szCs w:val="24"/>
                <w:highlight w:val="yellow"/>
              </w:rPr>
            </w:pPr>
            <w:r w:rsidRPr="00C76600">
              <w:rPr>
                <w:b/>
                <w:color w:val="FFFFFF"/>
                <w:sz w:val="24"/>
                <w:szCs w:val="24"/>
              </w:rPr>
              <w:t>Status as at 09 August 2011</w:t>
            </w:r>
          </w:p>
        </w:tc>
      </w:tr>
      <w:tr w:rsidR="00B37C09" w:rsidRPr="002F600B" w:rsidTr="005206E0">
        <w:trPr>
          <w:jc w:val="center"/>
        </w:trPr>
        <w:tc>
          <w:tcPr>
            <w:tcW w:w="8595" w:type="dxa"/>
            <w:gridSpan w:val="5"/>
            <w:shd w:val="clear" w:color="auto" w:fill="DBE5F1"/>
            <w:vAlign w:val="center"/>
          </w:tcPr>
          <w:p w:rsidR="00B37C09" w:rsidRPr="00DD1256" w:rsidRDefault="00B37C09" w:rsidP="00C76600">
            <w:pPr>
              <w:spacing w:before="120" w:after="120"/>
              <w:jc w:val="center"/>
              <w:rPr>
                <w:rFonts w:cs="Arial"/>
                <w:b/>
                <w:bCs/>
                <w:color w:val="1F497D"/>
              </w:rPr>
            </w:pPr>
            <w:r w:rsidRPr="00DD1256">
              <w:rPr>
                <w:rFonts w:cs="Arial"/>
                <w:b/>
                <w:bCs/>
                <w:color w:val="1F497D"/>
              </w:rPr>
              <w:t>FRRs  ‘Recommended for Rejection’ in draft</w:t>
            </w:r>
          </w:p>
        </w:tc>
      </w:tr>
      <w:tr w:rsidR="00B37C09" w:rsidRPr="00C76600" w:rsidTr="00DD1256">
        <w:trPr>
          <w:jc w:val="center"/>
        </w:trPr>
        <w:tc>
          <w:tcPr>
            <w:tcW w:w="3356" w:type="dxa"/>
            <w:vAlign w:val="center"/>
          </w:tcPr>
          <w:p w:rsidR="00B37C09" w:rsidRPr="00DD1256" w:rsidRDefault="00B37C09" w:rsidP="00C42814">
            <w:pPr>
              <w:spacing w:before="120" w:after="120"/>
              <w:rPr>
                <w:rFonts w:cs="Arial"/>
                <w:b/>
                <w:bCs/>
                <w:color w:val="008000"/>
                <w:sz w:val="18"/>
                <w:szCs w:val="18"/>
              </w:rPr>
            </w:pPr>
            <w:r w:rsidRPr="00DD1256">
              <w:rPr>
                <w:rFonts w:cs="Arial"/>
                <w:sz w:val="18"/>
                <w:szCs w:val="18"/>
              </w:rPr>
              <w:t>Mod_19_11 Modification Committee Representation</w:t>
            </w:r>
          </w:p>
        </w:tc>
        <w:tc>
          <w:tcPr>
            <w:tcW w:w="2693" w:type="dxa"/>
            <w:gridSpan w:val="2"/>
            <w:vAlign w:val="center"/>
          </w:tcPr>
          <w:p w:rsidR="00B37C09" w:rsidRPr="00DD1256" w:rsidRDefault="00B37C09" w:rsidP="00C42814">
            <w:pPr>
              <w:spacing w:before="120" w:after="120"/>
              <w:rPr>
                <w:rFonts w:cs="Arial"/>
                <w:b/>
                <w:bCs/>
                <w:color w:val="008000"/>
                <w:sz w:val="18"/>
                <w:szCs w:val="18"/>
              </w:rPr>
            </w:pPr>
            <w:r w:rsidRPr="00DD1256">
              <w:rPr>
                <w:rFonts w:cs="Arial"/>
                <w:sz w:val="18"/>
                <w:szCs w:val="18"/>
              </w:rPr>
              <w:t>Circulated to Committee</w:t>
            </w:r>
          </w:p>
        </w:tc>
        <w:tc>
          <w:tcPr>
            <w:tcW w:w="2546" w:type="dxa"/>
            <w:gridSpan w:val="2"/>
            <w:vAlign w:val="center"/>
          </w:tcPr>
          <w:p w:rsidR="00B37C09" w:rsidRPr="00DD1256" w:rsidRDefault="00B37C09" w:rsidP="00C42814">
            <w:pPr>
              <w:spacing w:before="120" w:after="120"/>
              <w:rPr>
                <w:rFonts w:cs="Arial"/>
                <w:b/>
                <w:bCs/>
                <w:color w:val="008000"/>
              </w:rPr>
            </w:pPr>
            <w:r w:rsidRPr="00DD1256">
              <w:rPr>
                <w:rFonts w:cs="Arial"/>
                <w:sz w:val="18"/>
                <w:szCs w:val="18"/>
              </w:rPr>
              <w:t>08 August 2011</w:t>
            </w:r>
          </w:p>
        </w:tc>
      </w:tr>
      <w:tr w:rsidR="00B37C09" w:rsidRPr="002F600B" w:rsidTr="005206E0">
        <w:trPr>
          <w:jc w:val="center"/>
        </w:trPr>
        <w:tc>
          <w:tcPr>
            <w:tcW w:w="8595" w:type="dxa"/>
            <w:gridSpan w:val="5"/>
            <w:shd w:val="clear" w:color="auto" w:fill="DBE5F1"/>
            <w:vAlign w:val="center"/>
          </w:tcPr>
          <w:p w:rsidR="00B37C09" w:rsidRPr="00DD1256" w:rsidRDefault="00B37C09" w:rsidP="004D10DF">
            <w:pPr>
              <w:spacing w:before="120" w:after="120"/>
              <w:jc w:val="center"/>
              <w:rPr>
                <w:rFonts w:cs="Arial"/>
                <w:color w:val="1F497D"/>
                <w:sz w:val="18"/>
                <w:szCs w:val="18"/>
              </w:rPr>
            </w:pPr>
            <w:r w:rsidRPr="00DD1256">
              <w:rPr>
                <w:rFonts w:cs="Arial"/>
                <w:b/>
                <w:bCs/>
                <w:color w:val="1F497D"/>
              </w:rPr>
              <w:t>FRRs  ‘Recommended for Rejection’ awaiting RA Decision</w:t>
            </w:r>
          </w:p>
        </w:tc>
      </w:tr>
      <w:tr w:rsidR="00B37C09" w:rsidRPr="002F600B" w:rsidTr="005206E0">
        <w:trPr>
          <w:jc w:val="center"/>
        </w:trPr>
        <w:tc>
          <w:tcPr>
            <w:tcW w:w="3408" w:type="dxa"/>
            <w:gridSpan w:val="2"/>
            <w:vAlign w:val="center"/>
          </w:tcPr>
          <w:p w:rsidR="00B37C09" w:rsidRPr="00DD1256" w:rsidRDefault="00B37C09" w:rsidP="005206E0">
            <w:pPr>
              <w:spacing w:before="60" w:after="60"/>
              <w:jc w:val="center"/>
              <w:rPr>
                <w:rFonts w:cs="Arial"/>
                <w:b/>
                <w:bCs/>
                <w:color w:val="1F497D"/>
                <w:sz w:val="18"/>
                <w:szCs w:val="18"/>
              </w:rPr>
            </w:pPr>
            <w:r w:rsidRPr="00DD1256">
              <w:rPr>
                <w:rFonts w:cs="Arial"/>
                <w:b/>
                <w:bCs/>
                <w:color w:val="1F497D"/>
                <w:sz w:val="18"/>
                <w:szCs w:val="18"/>
              </w:rPr>
              <w:t>Title</w:t>
            </w:r>
          </w:p>
        </w:tc>
        <w:tc>
          <w:tcPr>
            <w:tcW w:w="2700" w:type="dxa"/>
            <w:gridSpan w:val="2"/>
            <w:vAlign w:val="center"/>
          </w:tcPr>
          <w:p w:rsidR="00B37C09" w:rsidRPr="00DD1256" w:rsidRDefault="00B37C09" w:rsidP="005206E0">
            <w:pPr>
              <w:spacing w:before="60" w:after="60"/>
              <w:jc w:val="center"/>
              <w:rPr>
                <w:rFonts w:cs="Arial"/>
                <w:b/>
                <w:bCs/>
                <w:color w:val="1F497D"/>
                <w:sz w:val="18"/>
                <w:szCs w:val="18"/>
              </w:rPr>
            </w:pPr>
            <w:r w:rsidRPr="00DD1256">
              <w:rPr>
                <w:rFonts w:cs="Arial"/>
                <w:b/>
                <w:bCs/>
                <w:color w:val="1F497D"/>
                <w:sz w:val="18"/>
                <w:szCs w:val="18"/>
              </w:rPr>
              <w:t>Status</w:t>
            </w:r>
          </w:p>
        </w:tc>
        <w:tc>
          <w:tcPr>
            <w:tcW w:w="2487" w:type="dxa"/>
            <w:vAlign w:val="center"/>
          </w:tcPr>
          <w:p w:rsidR="00B37C09" w:rsidRPr="00DD1256" w:rsidRDefault="00B37C09" w:rsidP="005206E0">
            <w:pPr>
              <w:spacing w:before="60" w:after="60"/>
              <w:jc w:val="center"/>
              <w:rPr>
                <w:rFonts w:cs="Arial"/>
                <w:b/>
                <w:bCs/>
                <w:color w:val="1F497D"/>
                <w:sz w:val="18"/>
                <w:szCs w:val="18"/>
              </w:rPr>
            </w:pPr>
            <w:r w:rsidRPr="00DD1256">
              <w:rPr>
                <w:rFonts w:cs="Arial"/>
                <w:b/>
                <w:bCs/>
                <w:color w:val="1F497D"/>
                <w:sz w:val="18"/>
                <w:szCs w:val="18"/>
              </w:rPr>
              <w:t>Sent By / Achieved By</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Mod_37_10 Constraint Payment for Energy Limited Units</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20 April 2011</w:t>
            </w:r>
          </w:p>
        </w:tc>
      </w:tr>
      <w:tr w:rsidR="00B37C09" w:rsidRPr="002F600B" w:rsidTr="005206E0">
        <w:trPr>
          <w:jc w:val="center"/>
        </w:trPr>
        <w:tc>
          <w:tcPr>
            <w:tcW w:w="8595" w:type="dxa"/>
            <w:gridSpan w:val="5"/>
            <w:shd w:val="clear" w:color="auto" w:fill="DBE5F1"/>
            <w:vAlign w:val="center"/>
          </w:tcPr>
          <w:p w:rsidR="00B37C09" w:rsidRPr="00DD1256" w:rsidRDefault="00B37C09" w:rsidP="004D10DF">
            <w:pPr>
              <w:spacing w:before="120" w:after="120"/>
              <w:jc w:val="center"/>
              <w:rPr>
                <w:rFonts w:cs="Arial"/>
                <w:b/>
                <w:bCs/>
                <w:color w:val="1F497D"/>
              </w:rPr>
            </w:pPr>
            <w:r w:rsidRPr="00DD1256">
              <w:rPr>
                <w:rFonts w:cs="Arial"/>
                <w:b/>
                <w:bCs/>
                <w:color w:val="1F497D"/>
              </w:rPr>
              <w:t>FRRs  ‘Recommended for Approval’ with systems impacts awaiting RA Decision</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Mod_65_08 Short Term Test Status</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21 January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Mod_40_10 Differentiation between Dwell Times and Dwell Trigger Points while ramping up and ramping down</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04 March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Mod_42_10 Changes to the Single Ramp Up Rate and the Single Ramp Down Rate Calculation</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03 March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Mod_01_11 UI Payments for Generator Units</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19 May 2011</w:t>
            </w:r>
          </w:p>
        </w:tc>
      </w:tr>
      <w:tr w:rsidR="00B37C09" w:rsidRPr="002F600B" w:rsidTr="005206E0">
        <w:trPr>
          <w:jc w:val="center"/>
        </w:trPr>
        <w:tc>
          <w:tcPr>
            <w:tcW w:w="8595" w:type="dxa"/>
            <w:gridSpan w:val="5"/>
            <w:shd w:val="clear" w:color="auto" w:fill="DBE5F1"/>
            <w:vAlign w:val="center"/>
          </w:tcPr>
          <w:p w:rsidR="00B37C09" w:rsidRPr="00DD1256" w:rsidRDefault="00B37C09" w:rsidP="004D10DF">
            <w:pPr>
              <w:spacing w:before="120" w:after="120"/>
              <w:jc w:val="center"/>
              <w:rPr>
                <w:rFonts w:cs="Arial"/>
                <w:color w:val="1F497D"/>
                <w:sz w:val="18"/>
                <w:szCs w:val="18"/>
              </w:rPr>
            </w:pPr>
            <w:r w:rsidRPr="00DD1256">
              <w:rPr>
                <w:rFonts w:cs="Arial"/>
                <w:b/>
                <w:bCs/>
                <w:color w:val="1F497D"/>
              </w:rPr>
              <w:t>FRRs  ‘Recommended for Approval’ without systems impacts awaiting RA Decision</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Mod_36_10 Removal of connection between Supplier Units and DSUs</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22 February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Mod_38_10 Treatment of Errors under the Code</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Awaiting Decision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26 May 2011</w:t>
            </w:r>
          </w:p>
        </w:tc>
      </w:tr>
      <w:tr w:rsidR="00B37C09" w:rsidRPr="002F600B" w:rsidTr="005206E0">
        <w:trPr>
          <w:jc w:val="center"/>
        </w:trPr>
        <w:tc>
          <w:tcPr>
            <w:tcW w:w="8595" w:type="dxa"/>
            <w:gridSpan w:val="5"/>
            <w:shd w:val="clear" w:color="auto" w:fill="DBE5F1"/>
            <w:vAlign w:val="center"/>
          </w:tcPr>
          <w:p w:rsidR="00B37C09" w:rsidRPr="00DD1256" w:rsidRDefault="00B37C09" w:rsidP="004D10DF">
            <w:pPr>
              <w:spacing w:before="120" w:after="120"/>
              <w:jc w:val="center"/>
              <w:rPr>
                <w:rFonts w:cs="Arial"/>
                <w:b/>
                <w:bCs/>
                <w:color w:val="1F497D"/>
              </w:rPr>
            </w:pPr>
            <w:r w:rsidRPr="00DD1256">
              <w:rPr>
                <w:rFonts w:cs="Arial"/>
                <w:b/>
                <w:bCs/>
                <w:color w:val="1F497D"/>
              </w:rPr>
              <w:t>RA Decision Approved Modifications</w:t>
            </w:r>
          </w:p>
        </w:tc>
      </w:tr>
      <w:tr w:rsidR="00B37C09" w:rsidRPr="002F600B" w:rsidTr="005206E0">
        <w:trPr>
          <w:jc w:val="center"/>
        </w:trPr>
        <w:tc>
          <w:tcPr>
            <w:tcW w:w="3408" w:type="dxa"/>
            <w:gridSpan w:val="2"/>
            <w:shd w:val="clear" w:color="auto" w:fill="FFFFFF"/>
            <w:vAlign w:val="center"/>
          </w:tcPr>
          <w:p w:rsidR="00B37C09" w:rsidRPr="00DD1256" w:rsidRDefault="00B37C09" w:rsidP="004D10DF">
            <w:pPr>
              <w:spacing w:before="60" w:after="60"/>
              <w:jc w:val="center"/>
              <w:rPr>
                <w:rFonts w:cs="Arial"/>
                <w:b/>
                <w:bCs/>
                <w:color w:val="1F497D"/>
                <w:sz w:val="18"/>
                <w:szCs w:val="18"/>
              </w:rPr>
            </w:pPr>
            <w:r w:rsidRPr="00DD1256">
              <w:rPr>
                <w:rFonts w:cs="Arial"/>
                <w:b/>
                <w:bCs/>
                <w:color w:val="1F497D"/>
                <w:sz w:val="18"/>
                <w:szCs w:val="18"/>
              </w:rPr>
              <w:t>Title</w:t>
            </w:r>
          </w:p>
        </w:tc>
        <w:tc>
          <w:tcPr>
            <w:tcW w:w="2700" w:type="dxa"/>
            <w:gridSpan w:val="2"/>
            <w:shd w:val="clear" w:color="auto" w:fill="FFFFFF"/>
            <w:vAlign w:val="center"/>
          </w:tcPr>
          <w:p w:rsidR="00B37C09" w:rsidRPr="00DD1256" w:rsidRDefault="00B37C09" w:rsidP="004D10DF">
            <w:pPr>
              <w:spacing w:before="60" w:after="60"/>
              <w:jc w:val="center"/>
              <w:rPr>
                <w:rFonts w:cs="Arial"/>
                <w:b/>
                <w:bCs/>
                <w:color w:val="1F497D"/>
                <w:sz w:val="18"/>
                <w:szCs w:val="18"/>
              </w:rPr>
            </w:pPr>
            <w:r w:rsidRPr="00DD1256">
              <w:rPr>
                <w:rFonts w:cs="Arial"/>
                <w:b/>
                <w:bCs/>
                <w:color w:val="1F497D"/>
                <w:sz w:val="18"/>
                <w:szCs w:val="18"/>
              </w:rPr>
              <w:t>Sections Modified</w:t>
            </w:r>
          </w:p>
        </w:tc>
        <w:tc>
          <w:tcPr>
            <w:tcW w:w="2487" w:type="dxa"/>
            <w:shd w:val="clear" w:color="auto" w:fill="FFFFFF"/>
            <w:vAlign w:val="center"/>
          </w:tcPr>
          <w:p w:rsidR="00B37C09" w:rsidRPr="00DD1256" w:rsidRDefault="00B37C09" w:rsidP="004D10DF">
            <w:pPr>
              <w:spacing w:before="60" w:after="60"/>
              <w:jc w:val="center"/>
              <w:rPr>
                <w:rFonts w:cs="Arial"/>
                <w:b/>
                <w:bCs/>
                <w:color w:val="1F497D"/>
                <w:sz w:val="18"/>
                <w:szCs w:val="18"/>
              </w:rPr>
            </w:pPr>
            <w:r w:rsidRPr="00DD1256">
              <w:rPr>
                <w:rFonts w:cs="Arial"/>
                <w:b/>
                <w:bCs/>
                <w:color w:val="1F497D"/>
                <w:sz w:val="18"/>
                <w:szCs w:val="18"/>
              </w:rPr>
              <w:t>Effective Date</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Mod_05_11 Extension to the Role of the Modifications Committee via Working Groups</w:t>
            </w:r>
          </w:p>
        </w:tc>
        <w:tc>
          <w:tcPr>
            <w:tcW w:w="2700" w:type="dxa"/>
            <w:gridSpan w:val="2"/>
            <w:vAlign w:val="center"/>
          </w:tcPr>
          <w:p w:rsidR="00B37C09" w:rsidRPr="00DD1256" w:rsidRDefault="00B37C09" w:rsidP="004D10DF">
            <w:pPr>
              <w:rPr>
                <w:rFonts w:cs="Arial"/>
                <w:sz w:val="18"/>
                <w:szCs w:val="18"/>
              </w:rPr>
            </w:pPr>
            <w:r w:rsidRPr="00DD1256">
              <w:rPr>
                <w:rFonts w:cs="Arial"/>
                <w:sz w:val="18"/>
                <w:szCs w:val="18"/>
              </w:rPr>
              <w:t xml:space="preserve">T&amp;SC Section 2 </w:t>
            </w:r>
          </w:p>
          <w:p w:rsidR="00B37C09" w:rsidRPr="00DD1256" w:rsidRDefault="00B37C09" w:rsidP="004D10DF">
            <w:pPr>
              <w:rPr>
                <w:rFonts w:cs="Arial"/>
                <w:sz w:val="18"/>
                <w:szCs w:val="18"/>
              </w:rPr>
            </w:pPr>
            <w:r w:rsidRPr="00DD1256">
              <w:rPr>
                <w:rFonts w:cs="Arial"/>
                <w:sz w:val="18"/>
                <w:szCs w:val="18"/>
              </w:rPr>
              <w:t>AP12</w:t>
            </w:r>
          </w:p>
          <w:p w:rsidR="00B37C09" w:rsidRPr="00DD1256" w:rsidRDefault="00B37C09" w:rsidP="004D10DF">
            <w:pPr>
              <w:rPr>
                <w:rFonts w:cs="Arial"/>
                <w:sz w:val="18"/>
                <w:szCs w:val="18"/>
              </w:rPr>
            </w:pPr>
            <w:r w:rsidRPr="00DD1256">
              <w:rPr>
                <w:rFonts w:cs="Arial"/>
                <w:sz w:val="18"/>
                <w:szCs w:val="18"/>
              </w:rPr>
              <w:t>Appendix 2</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12 July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Mod_09_11 Drafting Errors in relation to the Generator Units shutting down</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T &amp; SC Appendix N</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16 June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lastRenderedPageBreak/>
              <w:t>Mod_13_11 Inclusion of Other Systems Charges in the Imperfections Charge</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T &amp; SC Section 4</w:t>
            </w:r>
          </w:p>
          <w:p w:rsidR="00B37C09" w:rsidRPr="00DD1256" w:rsidRDefault="00B37C09" w:rsidP="004D10DF">
            <w:pPr>
              <w:spacing w:before="120" w:after="120"/>
              <w:rPr>
                <w:rFonts w:cs="Arial"/>
                <w:sz w:val="18"/>
                <w:szCs w:val="18"/>
              </w:rPr>
            </w:pPr>
            <w:r w:rsidRPr="00DD1256">
              <w:rPr>
                <w:rFonts w:cs="Arial"/>
                <w:sz w:val="18"/>
                <w:szCs w:val="18"/>
              </w:rPr>
              <w:t>Glossary</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12 July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 xml:space="preserve">Mod_20_11 SEMO Cash Pooling </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T &amp; SC Section 6</w:t>
            </w:r>
          </w:p>
          <w:p w:rsidR="00B37C09" w:rsidRPr="00DD1256" w:rsidRDefault="00B37C09" w:rsidP="004D10DF">
            <w:pPr>
              <w:spacing w:before="120" w:after="120"/>
              <w:rPr>
                <w:rFonts w:cs="Arial"/>
                <w:sz w:val="18"/>
                <w:szCs w:val="18"/>
              </w:rPr>
            </w:pPr>
            <w:r w:rsidRPr="00DD1256">
              <w:rPr>
                <w:rFonts w:cs="Arial"/>
                <w:sz w:val="18"/>
                <w:szCs w:val="18"/>
              </w:rPr>
              <w:t>Glossary</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12</w:t>
            </w:r>
            <w:r w:rsidRPr="00DD1256">
              <w:rPr>
                <w:rFonts w:cs="Arial"/>
                <w:sz w:val="18"/>
                <w:szCs w:val="18"/>
                <w:vertAlign w:val="superscript"/>
              </w:rPr>
              <w:t>th</w:t>
            </w:r>
            <w:r w:rsidRPr="00DD1256">
              <w:rPr>
                <w:rFonts w:cs="Arial"/>
                <w:sz w:val="18"/>
                <w:szCs w:val="18"/>
              </w:rPr>
              <w:t xml:space="preserve"> July 2011</w:t>
            </w:r>
          </w:p>
        </w:tc>
      </w:tr>
      <w:tr w:rsidR="00B37C09" w:rsidRPr="002F600B" w:rsidTr="005206E0">
        <w:trPr>
          <w:jc w:val="center"/>
        </w:trPr>
        <w:tc>
          <w:tcPr>
            <w:tcW w:w="3408"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Mod_22_11 Housekeeping 4</w:t>
            </w:r>
          </w:p>
        </w:tc>
        <w:tc>
          <w:tcPr>
            <w:tcW w:w="2700" w:type="dxa"/>
            <w:gridSpan w:val="2"/>
            <w:vAlign w:val="center"/>
          </w:tcPr>
          <w:p w:rsidR="00B37C09" w:rsidRPr="00DD1256" w:rsidRDefault="00B37C09" w:rsidP="004D10DF">
            <w:pPr>
              <w:spacing w:before="120" w:after="120"/>
              <w:rPr>
                <w:rFonts w:cs="Arial"/>
                <w:sz w:val="18"/>
                <w:szCs w:val="18"/>
              </w:rPr>
            </w:pPr>
            <w:r w:rsidRPr="00DD1256">
              <w:rPr>
                <w:rFonts w:cs="Arial"/>
                <w:sz w:val="18"/>
                <w:szCs w:val="18"/>
              </w:rPr>
              <w:t>T &amp; SC Section 4,5,6</w:t>
            </w:r>
          </w:p>
          <w:p w:rsidR="00B37C09" w:rsidRPr="00DD1256" w:rsidRDefault="00B37C09" w:rsidP="004D10DF">
            <w:pPr>
              <w:spacing w:before="120" w:after="120"/>
              <w:rPr>
                <w:rFonts w:cs="Arial"/>
                <w:sz w:val="18"/>
                <w:szCs w:val="18"/>
              </w:rPr>
            </w:pPr>
            <w:r w:rsidRPr="00DD1256">
              <w:rPr>
                <w:rFonts w:cs="Arial"/>
                <w:sz w:val="18"/>
                <w:szCs w:val="18"/>
              </w:rPr>
              <w:t>AP 12</w:t>
            </w:r>
          </w:p>
        </w:tc>
        <w:tc>
          <w:tcPr>
            <w:tcW w:w="2487" w:type="dxa"/>
            <w:vAlign w:val="center"/>
          </w:tcPr>
          <w:p w:rsidR="00B37C09" w:rsidRPr="00DD1256" w:rsidRDefault="00B37C09" w:rsidP="004D10DF">
            <w:pPr>
              <w:spacing w:before="120" w:after="120"/>
              <w:rPr>
                <w:rFonts w:cs="Arial"/>
                <w:sz w:val="18"/>
                <w:szCs w:val="18"/>
              </w:rPr>
            </w:pPr>
            <w:r w:rsidRPr="00DD1256">
              <w:rPr>
                <w:rFonts w:cs="Arial"/>
                <w:sz w:val="18"/>
                <w:szCs w:val="18"/>
              </w:rPr>
              <w:t>12</w:t>
            </w:r>
            <w:r w:rsidRPr="00DD1256">
              <w:rPr>
                <w:rFonts w:cs="Arial"/>
                <w:sz w:val="18"/>
                <w:szCs w:val="18"/>
                <w:vertAlign w:val="superscript"/>
              </w:rPr>
              <w:t>th</w:t>
            </w:r>
            <w:r w:rsidRPr="00DD1256">
              <w:rPr>
                <w:rFonts w:cs="Arial"/>
                <w:sz w:val="18"/>
                <w:szCs w:val="18"/>
              </w:rPr>
              <w:t xml:space="preserve"> July</w:t>
            </w:r>
          </w:p>
        </w:tc>
      </w:tr>
      <w:tr w:rsidR="00B37C09" w:rsidRPr="002F600B" w:rsidTr="005206E0">
        <w:trPr>
          <w:jc w:val="center"/>
        </w:trPr>
        <w:tc>
          <w:tcPr>
            <w:tcW w:w="8595" w:type="dxa"/>
            <w:gridSpan w:val="5"/>
            <w:shd w:val="clear" w:color="auto" w:fill="DBE5F1"/>
            <w:vAlign w:val="center"/>
          </w:tcPr>
          <w:p w:rsidR="00B37C09" w:rsidRPr="00C76600" w:rsidRDefault="00B37C09" w:rsidP="004D10DF">
            <w:pPr>
              <w:spacing w:before="120" w:after="120"/>
              <w:jc w:val="center"/>
              <w:rPr>
                <w:rFonts w:cs="Arial"/>
                <w:b/>
                <w:bCs/>
                <w:color w:val="1F497D"/>
              </w:rPr>
            </w:pPr>
            <w:r w:rsidRPr="00C76600">
              <w:rPr>
                <w:rFonts w:cs="Arial"/>
                <w:b/>
                <w:bCs/>
                <w:color w:val="1F497D"/>
              </w:rPr>
              <w:t>RA Decision Approved Modifications with System Impacts</w:t>
            </w:r>
          </w:p>
        </w:tc>
      </w:tr>
      <w:tr w:rsidR="00B37C09" w:rsidRPr="002F600B" w:rsidTr="005206E0">
        <w:trPr>
          <w:jc w:val="center"/>
        </w:trPr>
        <w:tc>
          <w:tcPr>
            <w:tcW w:w="3408" w:type="dxa"/>
            <w:gridSpan w:val="2"/>
            <w:shd w:val="clear" w:color="auto" w:fill="FFFFFF"/>
            <w:vAlign w:val="center"/>
          </w:tcPr>
          <w:p w:rsidR="00B37C09" w:rsidRPr="00C76600" w:rsidRDefault="00B37C09" w:rsidP="004D10DF">
            <w:pPr>
              <w:spacing w:before="120" w:after="120"/>
              <w:rPr>
                <w:rFonts w:cs="Arial"/>
                <w:color w:val="1F497D"/>
                <w:sz w:val="18"/>
                <w:szCs w:val="18"/>
              </w:rPr>
            </w:pPr>
            <w:r w:rsidRPr="00C76600">
              <w:rPr>
                <w:rFonts w:cs="Arial"/>
                <w:b/>
                <w:bCs/>
                <w:color w:val="1F497D"/>
                <w:sz w:val="18"/>
                <w:szCs w:val="18"/>
              </w:rPr>
              <w:tab/>
            </w:r>
            <w:r w:rsidRPr="00C76600">
              <w:rPr>
                <w:rFonts w:cs="Arial"/>
                <w:b/>
                <w:bCs/>
                <w:color w:val="1F497D"/>
                <w:sz w:val="18"/>
                <w:szCs w:val="18"/>
              </w:rPr>
              <w:tab/>
              <w:t>Title</w:t>
            </w:r>
          </w:p>
        </w:tc>
        <w:tc>
          <w:tcPr>
            <w:tcW w:w="2700" w:type="dxa"/>
            <w:gridSpan w:val="2"/>
            <w:shd w:val="clear" w:color="auto" w:fill="FFFFFF"/>
            <w:vAlign w:val="center"/>
          </w:tcPr>
          <w:p w:rsidR="00B37C09" w:rsidRPr="00C76600" w:rsidRDefault="00B37C09" w:rsidP="004D10DF">
            <w:pPr>
              <w:spacing w:before="120" w:after="120"/>
              <w:rPr>
                <w:rFonts w:cs="Arial"/>
                <w:color w:val="1F497D"/>
                <w:sz w:val="18"/>
                <w:szCs w:val="18"/>
              </w:rPr>
            </w:pPr>
            <w:r w:rsidRPr="00C76600">
              <w:rPr>
                <w:rFonts w:cs="Arial"/>
                <w:b/>
                <w:bCs/>
                <w:color w:val="1F497D"/>
                <w:sz w:val="18"/>
                <w:szCs w:val="18"/>
              </w:rPr>
              <w:tab/>
              <w:t>Sections Modified</w:t>
            </w:r>
          </w:p>
        </w:tc>
        <w:tc>
          <w:tcPr>
            <w:tcW w:w="2487" w:type="dxa"/>
            <w:shd w:val="clear" w:color="auto" w:fill="FFFFFF"/>
            <w:vAlign w:val="center"/>
          </w:tcPr>
          <w:p w:rsidR="00B37C09" w:rsidRPr="00C76600" w:rsidRDefault="00B37C09" w:rsidP="004D10DF">
            <w:pPr>
              <w:spacing w:before="120" w:after="120"/>
              <w:rPr>
                <w:rFonts w:cs="Arial"/>
                <w:color w:val="1F497D"/>
                <w:sz w:val="18"/>
                <w:szCs w:val="18"/>
              </w:rPr>
            </w:pPr>
            <w:r w:rsidRPr="00C76600">
              <w:rPr>
                <w:rFonts w:cs="Arial"/>
                <w:b/>
                <w:bCs/>
                <w:color w:val="1F497D"/>
                <w:sz w:val="18"/>
                <w:szCs w:val="18"/>
              </w:rPr>
              <w:tab/>
              <w:t>Effective Date</w:t>
            </w:r>
          </w:p>
        </w:tc>
      </w:tr>
      <w:tr w:rsidR="00B37C09" w:rsidRPr="002F600B" w:rsidTr="005206E0">
        <w:trPr>
          <w:jc w:val="center"/>
        </w:trPr>
        <w:tc>
          <w:tcPr>
            <w:tcW w:w="3408" w:type="dxa"/>
            <w:gridSpan w:val="2"/>
            <w:vAlign w:val="center"/>
          </w:tcPr>
          <w:p w:rsidR="00B37C09" w:rsidRPr="00E2421A" w:rsidRDefault="00B37C09" w:rsidP="00C76600">
            <w:pPr>
              <w:spacing w:before="120" w:after="120"/>
              <w:rPr>
                <w:rFonts w:cs="Arial"/>
                <w:sz w:val="18"/>
                <w:szCs w:val="18"/>
              </w:rPr>
            </w:pPr>
            <w:r w:rsidRPr="00E2421A">
              <w:rPr>
                <w:rFonts w:cs="Arial"/>
                <w:sz w:val="18"/>
                <w:szCs w:val="18"/>
              </w:rPr>
              <w:t>Mod_42_10 Changes to the Single Ramp Up Rate and the Single Ramp Down Rate Calculation</w:t>
            </w:r>
          </w:p>
        </w:tc>
        <w:tc>
          <w:tcPr>
            <w:tcW w:w="2700" w:type="dxa"/>
            <w:gridSpan w:val="2"/>
            <w:vAlign w:val="center"/>
          </w:tcPr>
          <w:p w:rsidR="00B37C09" w:rsidRPr="00E2421A" w:rsidRDefault="00B37C09" w:rsidP="00C76600">
            <w:pPr>
              <w:spacing w:before="120" w:after="120"/>
              <w:rPr>
                <w:rFonts w:cs="Arial"/>
                <w:sz w:val="18"/>
                <w:szCs w:val="18"/>
              </w:rPr>
            </w:pPr>
            <w:r>
              <w:rPr>
                <w:rFonts w:cs="Arial"/>
                <w:sz w:val="18"/>
                <w:szCs w:val="18"/>
              </w:rPr>
              <w:t>T &amp; SC Section 5, Appendix H, I, N &amp; Glossary</w:t>
            </w:r>
          </w:p>
        </w:tc>
        <w:tc>
          <w:tcPr>
            <w:tcW w:w="2487" w:type="dxa"/>
            <w:vAlign w:val="center"/>
          </w:tcPr>
          <w:p w:rsidR="00B37C09" w:rsidRPr="00E2421A" w:rsidRDefault="00B37C09" w:rsidP="00C76600">
            <w:pPr>
              <w:spacing w:before="120" w:after="120"/>
              <w:rPr>
                <w:rFonts w:cs="Arial"/>
                <w:sz w:val="18"/>
                <w:szCs w:val="18"/>
              </w:rPr>
            </w:pPr>
            <w:r>
              <w:rPr>
                <w:rFonts w:cs="Arial"/>
                <w:sz w:val="18"/>
                <w:szCs w:val="18"/>
              </w:rPr>
              <w:t>TBC</w:t>
            </w:r>
          </w:p>
        </w:tc>
      </w:tr>
      <w:tr w:rsidR="00B37C09" w:rsidRPr="002F600B" w:rsidTr="005206E0">
        <w:trPr>
          <w:jc w:val="center"/>
        </w:trPr>
        <w:tc>
          <w:tcPr>
            <w:tcW w:w="3408" w:type="dxa"/>
            <w:gridSpan w:val="2"/>
            <w:vAlign w:val="center"/>
          </w:tcPr>
          <w:p w:rsidR="00B37C09" w:rsidRDefault="00B37C09" w:rsidP="00C76600">
            <w:pPr>
              <w:spacing w:before="120" w:after="120"/>
              <w:rPr>
                <w:rFonts w:cs="Arial"/>
                <w:sz w:val="18"/>
                <w:szCs w:val="18"/>
              </w:rPr>
            </w:pPr>
            <w:r>
              <w:rPr>
                <w:rFonts w:cs="Arial"/>
                <w:sz w:val="18"/>
                <w:szCs w:val="18"/>
              </w:rPr>
              <w:t>Mod_43_10 Variable Price Taker Generator Units &amp; Firm Access</w:t>
            </w:r>
          </w:p>
        </w:tc>
        <w:tc>
          <w:tcPr>
            <w:tcW w:w="2700" w:type="dxa"/>
            <w:gridSpan w:val="2"/>
            <w:vAlign w:val="center"/>
          </w:tcPr>
          <w:p w:rsidR="00B37C09" w:rsidRDefault="00B37C09" w:rsidP="00C76600">
            <w:pPr>
              <w:rPr>
                <w:rFonts w:cs="Arial"/>
                <w:sz w:val="18"/>
                <w:szCs w:val="18"/>
              </w:rPr>
            </w:pPr>
            <w:r>
              <w:rPr>
                <w:rFonts w:cs="Arial"/>
                <w:sz w:val="18"/>
                <w:szCs w:val="18"/>
              </w:rPr>
              <w:t>T &amp; SC Section 5</w:t>
            </w:r>
          </w:p>
        </w:tc>
        <w:tc>
          <w:tcPr>
            <w:tcW w:w="2487" w:type="dxa"/>
            <w:vAlign w:val="center"/>
          </w:tcPr>
          <w:p w:rsidR="00B37C09" w:rsidRDefault="00B37C09" w:rsidP="00C76600">
            <w:pPr>
              <w:spacing w:before="120" w:after="120"/>
              <w:rPr>
                <w:rFonts w:cs="Arial"/>
                <w:sz w:val="18"/>
                <w:szCs w:val="18"/>
              </w:rPr>
            </w:pPr>
            <w:r>
              <w:rPr>
                <w:rFonts w:cs="Arial"/>
                <w:sz w:val="18"/>
                <w:szCs w:val="18"/>
              </w:rPr>
              <w:t>11</w:t>
            </w:r>
            <w:r w:rsidRPr="000F6989">
              <w:rPr>
                <w:rFonts w:cs="Arial"/>
                <w:sz w:val="18"/>
                <w:szCs w:val="18"/>
                <w:vertAlign w:val="superscript"/>
              </w:rPr>
              <w:t>th</w:t>
            </w:r>
            <w:r>
              <w:rPr>
                <w:rFonts w:cs="Arial"/>
                <w:sz w:val="18"/>
                <w:szCs w:val="18"/>
              </w:rPr>
              <w:t xml:space="preserve"> Scheduled Release</w:t>
            </w:r>
          </w:p>
        </w:tc>
      </w:tr>
      <w:tr w:rsidR="00B37C09" w:rsidRPr="002F600B" w:rsidTr="005206E0">
        <w:trPr>
          <w:jc w:val="center"/>
        </w:trPr>
        <w:tc>
          <w:tcPr>
            <w:tcW w:w="3408" w:type="dxa"/>
            <w:gridSpan w:val="2"/>
            <w:vAlign w:val="center"/>
          </w:tcPr>
          <w:p w:rsidR="00B37C09" w:rsidRPr="00E2421A" w:rsidRDefault="00B37C09" w:rsidP="00C76600">
            <w:pPr>
              <w:spacing w:before="120" w:after="120"/>
              <w:rPr>
                <w:rFonts w:cs="Arial"/>
                <w:sz w:val="18"/>
                <w:szCs w:val="18"/>
              </w:rPr>
            </w:pPr>
            <w:r>
              <w:rPr>
                <w:rFonts w:cs="Arial"/>
                <w:sz w:val="18"/>
                <w:szCs w:val="18"/>
              </w:rPr>
              <w:t xml:space="preserve">Mod_06_11  </w:t>
            </w:r>
            <w:r w:rsidRPr="00871395">
              <w:rPr>
                <w:rFonts w:cs="Arial"/>
                <w:sz w:val="18"/>
                <w:szCs w:val="18"/>
              </w:rPr>
              <w:t>Increasing Maximum Daily Submission Number and Automating Cancellation of Set</w:t>
            </w:r>
            <w:r>
              <w:rPr>
                <w:rFonts w:cs="Arial"/>
                <w:sz w:val="18"/>
                <w:szCs w:val="18"/>
              </w:rPr>
              <w:t>tlement Reallocation Agreements</w:t>
            </w:r>
          </w:p>
        </w:tc>
        <w:tc>
          <w:tcPr>
            <w:tcW w:w="2700" w:type="dxa"/>
            <w:gridSpan w:val="2"/>
            <w:vAlign w:val="center"/>
          </w:tcPr>
          <w:p w:rsidR="00B37C09" w:rsidRPr="00E2421A" w:rsidRDefault="00B37C09" w:rsidP="00C76600">
            <w:pPr>
              <w:spacing w:before="120" w:after="120"/>
              <w:rPr>
                <w:rFonts w:cs="Arial"/>
                <w:sz w:val="18"/>
                <w:szCs w:val="18"/>
              </w:rPr>
            </w:pPr>
            <w:r>
              <w:rPr>
                <w:rFonts w:cs="Arial"/>
                <w:sz w:val="18"/>
                <w:szCs w:val="18"/>
              </w:rPr>
              <w:t>AP 10</w:t>
            </w:r>
          </w:p>
        </w:tc>
        <w:tc>
          <w:tcPr>
            <w:tcW w:w="2487" w:type="dxa"/>
            <w:vAlign w:val="center"/>
          </w:tcPr>
          <w:p w:rsidR="00B37C09" w:rsidRPr="00E2421A" w:rsidRDefault="00B37C09" w:rsidP="00C76600">
            <w:pPr>
              <w:spacing w:before="120" w:after="120"/>
              <w:rPr>
                <w:rFonts w:cs="Arial"/>
                <w:sz w:val="18"/>
                <w:szCs w:val="18"/>
              </w:rPr>
            </w:pPr>
            <w:r>
              <w:rPr>
                <w:rFonts w:cs="Arial"/>
                <w:sz w:val="18"/>
                <w:szCs w:val="18"/>
              </w:rPr>
              <w:t>TBC</w:t>
            </w:r>
          </w:p>
        </w:tc>
      </w:tr>
      <w:tr w:rsidR="00B37C09" w:rsidRPr="002F600B" w:rsidTr="005206E0">
        <w:trPr>
          <w:jc w:val="center"/>
        </w:trPr>
        <w:tc>
          <w:tcPr>
            <w:tcW w:w="3408" w:type="dxa"/>
            <w:gridSpan w:val="2"/>
            <w:vAlign w:val="center"/>
          </w:tcPr>
          <w:p w:rsidR="00B37C09" w:rsidRDefault="00B37C09" w:rsidP="00C76600">
            <w:pPr>
              <w:spacing w:before="120" w:after="120"/>
              <w:rPr>
                <w:rFonts w:cs="Arial"/>
                <w:sz w:val="18"/>
                <w:szCs w:val="18"/>
              </w:rPr>
            </w:pPr>
            <w:r>
              <w:rPr>
                <w:rFonts w:cs="Arial"/>
                <w:sz w:val="18"/>
                <w:szCs w:val="18"/>
              </w:rPr>
              <w:t>Mod_10_11</w:t>
            </w:r>
            <w:r>
              <w:rPr>
                <w:i/>
                <w:iCs/>
              </w:rPr>
              <w:t xml:space="preserve"> </w:t>
            </w:r>
            <w:r w:rsidRPr="00871395">
              <w:rPr>
                <w:rFonts w:cs="Arial"/>
                <w:sz w:val="18"/>
                <w:szCs w:val="18"/>
              </w:rPr>
              <w:t>Interconnector Under Test</w:t>
            </w:r>
          </w:p>
        </w:tc>
        <w:tc>
          <w:tcPr>
            <w:tcW w:w="2700" w:type="dxa"/>
            <w:gridSpan w:val="2"/>
            <w:vAlign w:val="center"/>
          </w:tcPr>
          <w:p w:rsidR="00B37C09" w:rsidRPr="00E2421A" w:rsidRDefault="00B37C09" w:rsidP="00C76600">
            <w:pPr>
              <w:rPr>
                <w:rFonts w:cs="Arial"/>
                <w:sz w:val="18"/>
                <w:szCs w:val="18"/>
              </w:rPr>
            </w:pPr>
            <w:r>
              <w:rPr>
                <w:rFonts w:cs="Arial"/>
                <w:sz w:val="18"/>
                <w:szCs w:val="18"/>
              </w:rPr>
              <w:t>T &amp; SC Section 5</w:t>
            </w:r>
          </w:p>
        </w:tc>
        <w:tc>
          <w:tcPr>
            <w:tcW w:w="2487" w:type="dxa"/>
            <w:vAlign w:val="center"/>
          </w:tcPr>
          <w:p w:rsidR="00B37C09" w:rsidRPr="00E2421A" w:rsidRDefault="00B37C09" w:rsidP="00C76600">
            <w:pPr>
              <w:spacing w:before="120" w:after="120"/>
              <w:rPr>
                <w:rFonts w:cs="Arial"/>
                <w:sz w:val="18"/>
                <w:szCs w:val="18"/>
              </w:rPr>
            </w:pPr>
            <w:r>
              <w:rPr>
                <w:rFonts w:cs="Arial"/>
                <w:sz w:val="18"/>
                <w:szCs w:val="18"/>
              </w:rPr>
              <w:t>TBC</w:t>
            </w:r>
          </w:p>
        </w:tc>
      </w:tr>
      <w:tr w:rsidR="00B37C09" w:rsidRPr="002F600B" w:rsidTr="005206E0">
        <w:trPr>
          <w:jc w:val="center"/>
        </w:trPr>
        <w:tc>
          <w:tcPr>
            <w:tcW w:w="3408" w:type="dxa"/>
            <w:gridSpan w:val="2"/>
            <w:vAlign w:val="center"/>
          </w:tcPr>
          <w:p w:rsidR="00B37C09" w:rsidRDefault="00B37C09" w:rsidP="00C76600">
            <w:pPr>
              <w:spacing w:before="120" w:after="120"/>
              <w:rPr>
                <w:rFonts w:cs="Arial"/>
                <w:sz w:val="18"/>
                <w:szCs w:val="18"/>
              </w:rPr>
            </w:pPr>
            <w:r>
              <w:rPr>
                <w:rFonts w:cs="Arial"/>
                <w:sz w:val="18"/>
                <w:szCs w:val="18"/>
              </w:rPr>
              <w:t xml:space="preserve">Mod_12_11 </w:t>
            </w:r>
            <w:r w:rsidRPr="00467760">
              <w:rPr>
                <w:rFonts w:cs="Arial"/>
                <w:sz w:val="18"/>
                <w:szCs w:val="18"/>
              </w:rPr>
              <w:t>Interconnector Unit Loss Adjustment when Exporting</w:t>
            </w:r>
          </w:p>
        </w:tc>
        <w:tc>
          <w:tcPr>
            <w:tcW w:w="2700" w:type="dxa"/>
            <w:gridSpan w:val="2"/>
            <w:vAlign w:val="center"/>
          </w:tcPr>
          <w:p w:rsidR="00B37C09" w:rsidRPr="00E2421A" w:rsidRDefault="00B37C09" w:rsidP="00C76600">
            <w:pPr>
              <w:spacing w:before="120" w:after="120"/>
              <w:rPr>
                <w:rFonts w:cs="Arial"/>
                <w:sz w:val="18"/>
                <w:szCs w:val="18"/>
              </w:rPr>
            </w:pPr>
            <w:r>
              <w:rPr>
                <w:rFonts w:cs="Arial"/>
                <w:sz w:val="18"/>
                <w:szCs w:val="18"/>
              </w:rPr>
              <w:t>T &amp; SC Section 4</w:t>
            </w:r>
          </w:p>
        </w:tc>
        <w:tc>
          <w:tcPr>
            <w:tcW w:w="2487" w:type="dxa"/>
            <w:vAlign w:val="center"/>
          </w:tcPr>
          <w:p w:rsidR="00B37C09" w:rsidRPr="00E2421A" w:rsidRDefault="00B37C09" w:rsidP="00C76600">
            <w:pPr>
              <w:spacing w:before="120" w:after="120"/>
              <w:rPr>
                <w:rFonts w:cs="Arial"/>
                <w:sz w:val="18"/>
                <w:szCs w:val="18"/>
              </w:rPr>
            </w:pPr>
            <w:r>
              <w:rPr>
                <w:rFonts w:cs="Arial"/>
                <w:sz w:val="18"/>
                <w:szCs w:val="18"/>
              </w:rPr>
              <w:t>TBC</w:t>
            </w:r>
          </w:p>
        </w:tc>
      </w:tr>
      <w:tr w:rsidR="00B37C09" w:rsidRPr="002F600B" w:rsidTr="005206E0">
        <w:trPr>
          <w:jc w:val="center"/>
        </w:trPr>
        <w:tc>
          <w:tcPr>
            <w:tcW w:w="8595" w:type="dxa"/>
            <w:gridSpan w:val="5"/>
            <w:shd w:val="clear" w:color="auto" w:fill="DBE5F1"/>
            <w:vAlign w:val="center"/>
          </w:tcPr>
          <w:p w:rsidR="00B37C09" w:rsidRPr="00C76600" w:rsidRDefault="00B37C09" w:rsidP="004D10DF">
            <w:pPr>
              <w:spacing w:before="120" w:after="120"/>
              <w:jc w:val="center"/>
              <w:rPr>
                <w:rFonts w:cs="Arial"/>
                <w:color w:val="1F497D"/>
                <w:sz w:val="18"/>
                <w:szCs w:val="18"/>
              </w:rPr>
            </w:pPr>
            <w:r w:rsidRPr="00C76600">
              <w:rPr>
                <w:rFonts w:cs="Arial"/>
                <w:b/>
                <w:bCs/>
                <w:color w:val="1F497D"/>
              </w:rPr>
              <w:t>RA Decision Rejected Modifications</w:t>
            </w:r>
          </w:p>
        </w:tc>
      </w:tr>
      <w:tr w:rsidR="00B37C09" w:rsidRPr="002F600B" w:rsidTr="005206E0">
        <w:trPr>
          <w:jc w:val="center"/>
        </w:trPr>
        <w:tc>
          <w:tcPr>
            <w:tcW w:w="3408"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Mod_11_11 Interconnector Data Submission Point</w:t>
            </w:r>
          </w:p>
        </w:tc>
        <w:tc>
          <w:tcPr>
            <w:tcW w:w="2700"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T &amp; SC Section 5</w:t>
            </w:r>
          </w:p>
        </w:tc>
        <w:tc>
          <w:tcPr>
            <w:tcW w:w="2487" w:type="dxa"/>
            <w:vAlign w:val="center"/>
          </w:tcPr>
          <w:p w:rsidR="00B37C09" w:rsidRPr="00C76600" w:rsidRDefault="00B37C09" w:rsidP="004D10DF">
            <w:pPr>
              <w:spacing w:before="120" w:after="120"/>
              <w:rPr>
                <w:rFonts w:cs="Arial"/>
                <w:sz w:val="18"/>
                <w:szCs w:val="18"/>
              </w:rPr>
            </w:pPr>
            <w:r w:rsidRPr="00C76600">
              <w:rPr>
                <w:rFonts w:cs="Arial"/>
                <w:sz w:val="18"/>
                <w:szCs w:val="18"/>
              </w:rPr>
              <w:t>05 July 2011</w:t>
            </w:r>
          </w:p>
        </w:tc>
      </w:tr>
      <w:tr w:rsidR="00B37C09" w:rsidRPr="002F600B" w:rsidTr="005206E0">
        <w:trPr>
          <w:jc w:val="center"/>
        </w:trPr>
        <w:tc>
          <w:tcPr>
            <w:tcW w:w="8595" w:type="dxa"/>
            <w:gridSpan w:val="5"/>
            <w:shd w:val="clear" w:color="auto" w:fill="DBE5F1"/>
            <w:vAlign w:val="center"/>
          </w:tcPr>
          <w:p w:rsidR="00B37C09" w:rsidRPr="00C76600" w:rsidRDefault="00B37C09" w:rsidP="004D10DF">
            <w:pPr>
              <w:spacing w:before="120" w:after="120"/>
              <w:jc w:val="center"/>
              <w:rPr>
                <w:rFonts w:cs="Arial"/>
                <w:color w:val="1F497D"/>
                <w:sz w:val="18"/>
                <w:szCs w:val="18"/>
              </w:rPr>
            </w:pPr>
            <w:r w:rsidRPr="00C76600">
              <w:rPr>
                <w:rFonts w:cs="Arial"/>
                <w:b/>
                <w:bCs/>
                <w:color w:val="1F497D"/>
              </w:rPr>
              <w:t>Working Groups, Consultations &amp; Other Meetings</w:t>
            </w:r>
          </w:p>
        </w:tc>
      </w:tr>
      <w:tr w:rsidR="00B37C09" w:rsidRPr="002F600B" w:rsidTr="005206E0">
        <w:trPr>
          <w:jc w:val="center"/>
        </w:trPr>
        <w:tc>
          <w:tcPr>
            <w:tcW w:w="3408"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Mod_18_10 Intra-Day Trading</w:t>
            </w:r>
          </w:p>
        </w:tc>
        <w:tc>
          <w:tcPr>
            <w:tcW w:w="2700"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Working Group 9</w:t>
            </w:r>
          </w:p>
        </w:tc>
        <w:tc>
          <w:tcPr>
            <w:tcW w:w="2487" w:type="dxa"/>
            <w:vAlign w:val="center"/>
          </w:tcPr>
          <w:p w:rsidR="00B37C09" w:rsidRPr="00C76600" w:rsidRDefault="00B37C09" w:rsidP="004D10DF">
            <w:pPr>
              <w:spacing w:before="120" w:after="120"/>
              <w:rPr>
                <w:rFonts w:cs="Arial"/>
                <w:sz w:val="18"/>
                <w:szCs w:val="18"/>
              </w:rPr>
            </w:pPr>
            <w:r w:rsidRPr="00C76600">
              <w:rPr>
                <w:rFonts w:cs="Arial"/>
                <w:sz w:val="18"/>
                <w:szCs w:val="18"/>
              </w:rPr>
              <w:t>29 June 2011</w:t>
            </w:r>
          </w:p>
        </w:tc>
      </w:tr>
      <w:tr w:rsidR="00B37C09" w:rsidRPr="002F600B" w:rsidTr="005206E0">
        <w:trPr>
          <w:jc w:val="center"/>
        </w:trPr>
        <w:tc>
          <w:tcPr>
            <w:tcW w:w="8595" w:type="dxa"/>
            <w:gridSpan w:val="5"/>
            <w:vAlign w:val="center"/>
          </w:tcPr>
          <w:p w:rsidR="00B37C09" w:rsidRPr="00C76600" w:rsidRDefault="00B37C09" w:rsidP="004D10DF">
            <w:pPr>
              <w:spacing w:before="120" w:after="120"/>
              <w:rPr>
                <w:rFonts w:cs="Arial"/>
                <w:b/>
                <w:bCs/>
                <w:color w:val="1F497D"/>
              </w:rPr>
            </w:pPr>
            <w:r w:rsidRPr="00C76600">
              <w:rPr>
                <w:rFonts w:cs="Arial"/>
                <w:b/>
                <w:bCs/>
                <w:color w:val="1F497D"/>
              </w:rPr>
              <w:t>Work in Progress</w:t>
            </w:r>
          </w:p>
        </w:tc>
      </w:tr>
      <w:tr w:rsidR="00B37C09" w:rsidRPr="002F600B" w:rsidTr="005206E0">
        <w:trPr>
          <w:jc w:val="center"/>
        </w:trPr>
        <w:tc>
          <w:tcPr>
            <w:tcW w:w="3408"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Mod_18_10 Intra-Day Trading</w:t>
            </w:r>
          </w:p>
        </w:tc>
        <w:tc>
          <w:tcPr>
            <w:tcW w:w="2700"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Working Group 10</w:t>
            </w:r>
          </w:p>
        </w:tc>
        <w:tc>
          <w:tcPr>
            <w:tcW w:w="2487" w:type="dxa"/>
            <w:vAlign w:val="center"/>
          </w:tcPr>
          <w:p w:rsidR="00B37C09" w:rsidRPr="00C76600" w:rsidRDefault="00B37C09" w:rsidP="004D10DF">
            <w:pPr>
              <w:spacing w:before="120" w:after="120"/>
              <w:rPr>
                <w:rFonts w:cs="Arial"/>
                <w:sz w:val="18"/>
                <w:szCs w:val="18"/>
              </w:rPr>
            </w:pPr>
            <w:r w:rsidRPr="00C76600">
              <w:rPr>
                <w:rFonts w:cs="Arial"/>
                <w:sz w:val="18"/>
                <w:szCs w:val="18"/>
              </w:rPr>
              <w:t>27 September 2011</w:t>
            </w:r>
          </w:p>
        </w:tc>
      </w:tr>
      <w:tr w:rsidR="00B37C09" w:rsidRPr="002F600B" w:rsidTr="005206E0">
        <w:trPr>
          <w:jc w:val="center"/>
        </w:trPr>
        <w:tc>
          <w:tcPr>
            <w:tcW w:w="3408"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Mod_18_10 Intra-Day Trading</w:t>
            </w:r>
          </w:p>
        </w:tc>
        <w:tc>
          <w:tcPr>
            <w:tcW w:w="2700" w:type="dxa"/>
            <w:gridSpan w:val="2"/>
            <w:vAlign w:val="center"/>
          </w:tcPr>
          <w:p w:rsidR="00B37C09" w:rsidRPr="00C76600" w:rsidRDefault="00B37C09" w:rsidP="004D10DF">
            <w:pPr>
              <w:spacing w:before="120" w:after="120"/>
              <w:rPr>
                <w:rFonts w:cs="Arial"/>
                <w:sz w:val="18"/>
                <w:szCs w:val="18"/>
              </w:rPr>
            </w:pPr>
            <w:r w:rsidRPr="00C76600">
              <w:rPr>
                <w:rFonts w:cs="Arial"/>
                <w:sz w:val="18"/>
                <w:szCs w:val="18"/>
              </w:rPr>
              <w:t>Working Group 11</w:t>
            </w:r>
          </w:p>
        </w:tc>
        <w:tc>
          <w:tcPr>
            <w:tcW w:w="2487" w:type="dxa"/>
            <w:vAlign w:val="center"/>
          </w:tcPr>
          <w:p w:rsidR="00B37C09" w:rsidRPr="00C76600" w:rsidRDefault="00B37C09" w:rsidP="004D10DF">
            <w:pPr>
              <w:spacing w:before="120" w:after="120"/>
              <w:rPr>
                <w:rFonts w:cs="Arial"/>
                <w:sz w:val="18"/>
                <w:szCs w:val="18"/>
              </w:rPr>
            </w:pPr>
            <w:r w:rsidRPr="00C76600">
              <w:rPr>
                <w:rFonts w:cs="Arial"/>
                <w:sz w:val="18"/>
                <w:szCs w:val="18"/>
              </w:rPr>
              <w:t>10 November 2011</w:t>
            </w:r>
          </w:p>
        </w:tc>
      </w:tr>
      <w:tr w:rsidR="00B37C09" w:rsidRPr="002F600B" w:rsidTr="005206E0">
        <w:trPr>
          <w:jc w:val="center"/>
        </w:trPr>
        <w:tc>
          <w:tcPr>
            <w:tcW w:w="8595" w:type="dxa"/>
            <w:gridSpan w:val="5"/>
            <w:shd w:val="clear" w:color="auto" w:fill="DBE5F1"/>
            <w:vAlign w:val="center"/>
          </w:tcPr>
          <w:p w:rsidR="00B37C09" w:rsidRPr="00C76600" w:rsidRDefault="00B37C09" w:rsidP="004D10DF">
            <w:pPr>
              <w:spacing w:before="60" w:after="60"/>
              <w:jc w:val="center"/>
              <w:rPr>
                <w:rFonts w:cs="Arial"/>
                <w:b/>
                <w:bCs/>
                <w:color w:val="1F497D"/>
                <w:sz w:val="18"/>
                <w:szCs w:val="18"/>
              </w:rPr>
            </w:pPr>
            <w:r w:rsidRPr="00C76600">
              <w:rPr>
                <w:rFonts w:cs="Arial"/>
                <w:b/>
                <w:bCs/>
                <w:color w:val="1F497D"/>
                <w:sz w:val="18"/>
                <w:szCs w:val="18"/>
              </w:rPr>
              <w:t>T&amp;SC Version 10 October 2011</w:t>
            </w:r>
          </w:p>
        </w:tc>
      </w:tr>
      <w:tr w:rsidR="00B37C09" w:rsidRPr="002F600B" w:rsidTr="005206E0">
        <w:trPr>
          <w:jc w:val="center"/>
        </w:trPr>
        <w:tc>
          <w:tcPr>
            <w:tcW w:w="8595" w:type="dxa"/>
            <w:gridSpan w:val="5"/>
            <w:vAlign w:val="center"/>
          </w:tcPr>
          <w:p w:rsidR="00B37C09" w:rsidRPr="00C76600" w:rsidRDefault="00B37C09" w:rsidP="004D10DF">
            <w:pPr>
              <w:spacing w:before="120" w:after="120"/>
              <w:rPr>
                <w:rFonts w:cs="Arial"/>
                <w:b/>
                <w:bCs/>
                <w:color w:val="008000"/>
                <w:sz w:val="18"/>
                <w:szCs w:val="18"/>
              </w:rPr>
            </w:pPr>
            <w:r w:rsidRPr="00C76600">
              <w:rPr>
                <w:rFonts w:cs="Arial"/>
                <w:sz w:val="18"/>
                <w:szCs w:val="18"/>
              </w:rPr>
              <w:t>Six approved Modification Proposals pending implementation in Version 10.0 of the Code.</w:t>
            </w:r>
          </w:p>
        </w:tc>
      </w:tr>
      <w:bookmarkEnd w:id="27"/>
    </w:tbl>
    <w:p w:rsidR="00B37C09" w:rsidRPr="00892E6B" w:rsidRDefault="00B37C09" w:rsidP="00892E6B"/>
    <w:sectPr w:rsidR="00B37C09" w:rsidRPr="00892E6B" w:rsidSect="00DD2B54">
      <w:headerReference w:type="default" r:id="rId28"/>
      <w:footerReference w:type="default" r:id="rId29"/>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56" w:rsidRDefault="005F7556">
      <w:r>
        <w:separator/>
      </w:r>
    </w:p>
  </w:endnote>
  <w:endnote w:type="continuationSeparator" w:id="0">
    <w:p w:rsidR="005F7556" w:rsidRDefault="005F7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56" w:rsidRPr="0019258D" w:rsidRDefault="005F7556" w:rsidP="0019258D">
    <w:pPr>
      <w:pStyle w:val="Footer"/>
      <w:spacing w:before="0" w:after="0"/>
      <w:rPr>
        <w:sz w:val="12"/>
        <w:szCs w:val="12"/>
      </w:rPr>
    </w:pPr>
  </w:p>
  <w:p w:rsidR="005F7556" w:rsidRPr="00A53010" w:rsidRDefault="005F755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CA113C" w:rsidRPr="00A53010">
      <w:rPr>
        <w:rStyle w:val="PageNumber"/>
        <w:sz w:val="18"/>
        <w:szCs w:val="18"/>
      </w:rPr>
      <w:fldChar w:fldCharType="begin"/>
    </w:r>
    <w:r w:rsidRPr="00A53010">
      <w:rPr>
        <w:rStyle w:val="PageNumber"/>
        <w:sz w:val="18"/>
        <w:szCs w:val="18"/>
      </w:rPr>
      <w:instrText xml:space="preserve">PAGE  </w:instrText>
    </w:r>
    <w:r w:rsidR="00CA113C" w:rsidRPr="00A53010">
      <w:rPr>
        <w:rStyle w:val="PageNumber"/>
        <w:sz w:val="18"/>
        <w:szCs w:val="18"/>
      </w:rPr>
      <w:fldChar w:fldCharType="separate"/>
    </w:r>
    <w:r w:rsidR="00835D2D">
      <w:rPr>
        <w:rStyle w:val="PageNumber"/>
        <w:noProof/>
        <w:sz w:val="18"/>
        <w:szCs w:val="18"/>
      </w:rPr>
      <w:t>3</w:t>
    </w:r>
    <w:r w:rsidR="00CA113C" w:rsidRPr="00A53010">
      <w:rPr>
        <w:rStyle w:val="PageNumber"/>
        <w:sz w:val="18"/>
        <w:szCs w:val="18"/>
      </w:rPr>
      <w:fldChar w:fldCharType="end"/>
    </w:r>
    <w:r w:rsidRPr="00A53010">
      <w:rPr>
        <w:rStyle w:val="PageNumber"/>
        <w:sz w:val="18"/>
        <w:szCs w:val="18"/>
      </w:rPr>
      <w:t xml:space="preserve"> of </w:t>
    </w:r>
    <w:r w:rsidR="00CA113C" w:rsidRPr="00A53010">
      <w:rPr>
        <w:rStyle w:val="PageNumber"/>
        <w:sz w:val="18"/>
        <w:szCs w:val="18"/>
      </w:rPr>
      <w:fldChar w:fldCharType="begin"/>
    </w:r>
    <w:r w:rsidRPr="00A53010">
      <w:rPr>
        <w:rStyle w:val="PageNumber"/>
        <w:sz w:val="18"/>
        <w:szCs w:val="18"/>
      </w:rPr>
      <w:instrText xml:space="preserve"> NUMPAGES </w:instrText>
    </w:r>
    <w:r w:rsidR="00CA113C" w:rsidRPr="00A53010">
      <w:rPr>
        <w:rStyle w:val="PageNumber"/>
        <w:sz w:val="18"/>
        <w:szCs w:val="18"/>
      </w:rPr>
      <w:fldChar w:fldCharType="separate"/>
    </w:r>
    <w:r w:rsidR="00835D2D">
      <w:rPr>
        <w:rStyle w:val="PageNumber"/>
        <w:noProof/>
        <w:sz w:val="18"/>
        <w:szCs w:val="18"/>
      </w:rPr>
      <w:t>22</w:t>
    </w:r>
    <w:r w:rsidR="00CA113C" w:rsidRPr="00A53010">
      <w:rPr>
        <w:rStyle w:val="PageNumber"/>
        <w:sz w:val="18"/>
        <w:szCs w:val="18"/>
      </w:rPr>
      <w:fldChar w:fldCharType="end"/>
    </w:r>
  </w:p>
  <w:p w:rsidR="005F7556" w:rsidRPr="00A53010" w:rsidRDefault="001511B8" w:rsidP="00A677C0">
    <w:pPr>
      <w:pStyle w:val="Footer"/>
      <w:pBdr>
        <w:top w:val="single" w:sz="4" w:space="1" w:color="auto"/>
      </w:pBdr>
      <w:rPr>
        <w:sz w:val="16"/>
        <w:szCs w:val="16"/>
      </w:rPr>
    </w:pPr>
    <w:r w:rsidRPr="00CA113C">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i1026" type="#_x0000_t75" style="width:45.5pt;height:14.95pt;visibility:visible;mso-position-horizontal-relative:char;mso-position-vertical-relative:line">
          <v:imagedata r:id="rId1" o:title="" croptop="17434f" cropbottom="15781f" cropleft="8739f" cropright="13106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56" w:rsidRDefault="005F7556">
      <w:r>
        <w:separator/>
      </w:r>
    </w:p>
  </w:footnote>
  <w:footnote w:type="continuationSeparator" w:id="0">
    <w:p w:rsidR="005F7556" w:rsidRDefault="005F7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56" w:rsidRPr="00160A78" w:rsidRDefault="005F7556"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5F7556" w:rsidRDefault="005F75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7CA"/>
    <w:multiLevelType w:val="hybridMultilevel"/>
    <w:tmpl w:val="EBF6C46C"/>
    <w:lvl w:ilvl="0" w:tplc="08090001">
      <w:start w:val="1"/>
      <w:numFmt w:val="bullet"/>
      <w:lvlText w:val=""/>
      <w:lvlJc w:val="left"/>
      <w:pPr>
        <w:tabs>
          <w:tab w:val="num" w:pos="765"/>
        </w:tabs>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13096974"/>
    <w:multiLevelType w:val="hybridMultilevel"/>
    <w:tmpl w:val="ECC6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1C11"/>
    <w:multiLevelType w:val="hybridMultilevel"/>
    <w:tmpl w:val="AC96820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D7451"/>
    <w:multiLevelType w:val="hybridMultilevel"/>
    <w:tmpl w:val="2D3CDA2E"/>
    <w:lvl w:ilvl="0" w:tplc="F5488108">
      <w:start w:val="1"/>
      <w:numFmt w:val="upperRoman"/>
      <w:lvlText w:val="%1."/>
      <w:lvlJc w:val="left"/>
      <w:pPr>
        <w:ind w:left="1151" w:hanging="720"/>
      </w:pPr>
      <w:rPr>
        <w:rFonts w:cs="Times New Roman" w:hint="default"/>
      </w:rPr>
    </w:lvl>
    <w:lvl w:ilvl="1" w:tplc="04090019">
      <w:start w:val="1"/>
      <w:numFmt w:val="lowerLetter"/>
      <w:lvlText w:val="%2."/>
      <w:lvlJc w:val="left"/>
      <w:pPr>
        <w:ind w:left="1511" w:hanging="360"/>
      </w:pPr>
      <w:rPr>
        <w:rFonts w:cs="Times New Roman"/>
      </w:rPr>
    </w:lvl>
    <w:lvl w:ilvl="2" w:tplc="0409001B" w:tentative="1">
      <w:start w:val="1"/>
      <w:numFmt w:val="lowerRoman"/>
      <w:lvlText w:val="%3."/>
      <w:lvlJc w:val="right"/>
      <w:pPr>
        <w:ind w:left="2231" w:hanging="180"/>
      </w:pPr>
      <w:rPr>
        <w:rFonts w:cs="Times New Roman"/>
      </w:rPr>
    </w:lvl>
    <w:lvl w:ilvl="3" w:tplc="0409000F" w:tentative="1">
      <w:start w:val="1"/>
      <w:numFmt w:val="decimal"/>
      <w:lvlText w:val="%4."/>
      <w:lvlJc w:val="left"/>
      <w:pPr>
        <w:ind w:left="2951" w:hanging="360"/>
      </w:pPr>
      <w:rPr>
        <w:rFonts w:cs="Times New Roman"/>
      </w:rPr>
    </w:lvl>
    <w:lvl w:ilvl="4" w:tplc="04090019" w:tentative="1">
      <w:start w:val="1"/>
      <w:numFmt w:val="lowerLetter"/>
      <w:lvlText w:val="%5."/>
      <w:lvlJc w:val="left"/>
      <w:pPr>
        <w:ind w:left="3671" w:hanging="360"/>
      </w:pPr>
      <w:rPr>
        <w:rFonts w:cs="Times New Roman"/>
      </w:rPr>
    </w:lvl>
    <w:lvl w:ilvl="5" w:tplc="0409001B" w:tentative="1">
      <w:start w:val="1"/>
      <w:numFmt w:val="lowerRoman"/>
      <w:lvlText w:val="%6."/>
      <w:lvlJc w:val="right"/>
      <w:pPr>
        <w:ind w:left="4391" w:hanging="180"/>
      </w:pPr>
      <w:rPr>
        <w:rFonts w:cs="Times New Roman"/>
      </w:rPr>
    </w:lvl>
    <w:lvl w:ilvl="6" w:tplc="0409000F" w:tentative="1">
      <w:start w:val="1"/>
      <w:numFmt w:val="decimal"/>
      <w:lvlText w:val="%7."/>
      <w:lvlJc w:val="left"/>
      <w:pPr>
        <w:ind w:left="5111" w:hanging="360"/>
      </w:pPr>
      <w:rPr>
        <w:rFonts w:cs="Times New Roman"/>
      </w:rPr>
    </w:lvl>
    <w:lvl w:ilvl="7" w:tplc="04090019" w:tentative="1">
      <w:start w:val="1"/>
      <w:numFmt w:val="lowerLetter"/>
      <w:lvlText w:val="%8."/>
      <w:lvlJc w:val="left"/>
      <w:pPr>
        <w:ind w:left="5831" w:hanging="360"/>
      </w:pPr>
      <w:rPr>
        <w:rFonts w:cs="Times New Roman"/>
      </w:rPr>
    </w:lvl>
    <w:lvl w:ilvl="8" w:tplc="0409001B" w:tentative="1">
      <w:start w:val="1"/>
      <w:numFmt w:val="lowerRoman"/>
      <w:lvlText w:val="%9."/>
      <w:lvlJc w:val="right"/>
      <w:pPr>
        <w:ind w:left="6551" w:hanging="180"/>
      </w:pPr>
      <w:rPr>
        <w:rFonts w:cs="Times New Roman"/>
      </w:rPr>
    </w:lvl>
  </w:abstractNum>
  <w:abstractNum w:abstractNumId="5">
    <w:nsid w:val="1AEC12A1"/>
    <w:multiLevelType w:val="hybridMultilevel"/>
    <w:tmpl w:val="5EC63FDA"/>
    <w:lvl w:ilvl="0" w:tplc="17207E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CD357A"/>
    <w:multiLevelType w:val="hybridMultilevel"/>
    <w:tmpl w:val="C1BE30D6"/>
    <w:lvl w:ilvl="0" w:tplc="08090001">
      <w:start w:val="1"/>
      <w:numFmt w:val="decimal"/>
      <w:lvlText w:val="%1."/>
      <w:lvlJc w:val="left"/>
      <w:pPr>
        <w:tabs>
          <w:tab w:val="num" w:pos="360"/>
        </w:tabs>
        <w:ind w:left="360" w:hanging="360"/>
      </w:pPr>
      <w:rPr>
        <w:rFonts w:ascii="Arial" w:hAnsi="Arial" w:cs="Times New Roman" w:hint="default"/>
        <w:sz w:val="20"/>
      </w:rPr>
    </w:lvl>
    <w:lvl w:ilvl="1" w:tplc="08090003" w:tentative="1">
      <w:start w:val="1"/>
      <w:numFmt w:val="lowerLetter"/>
      <w:lvlText w:val="%2."/>
      <w:lvlJc w:val="left"/>
      <w:pPr>
        <w:tabs>
          <w:tab w:val="num" w:pos="0"/>
        </w:tabs>
        <w:ind w:hanging="360"/>
      </w:pPr>
      <w:rPr>
        <w:rFonts w:cs="Times New Roman"/>
      </w:rPr>
    </w:lvl>
    <w:lvl w:ilvl="2" w:tplc="08090005" w:tentative="1">
      <w:start w:val="1"/>
      <w:numFmt w:val="lowerRoman"/>
      <w:lvlText w:val="%3."/>
      <w:lvlJc w:val="right"/>
      <w:pPr>
        <w:tabs>
          <w:tab w:val="num" w:pos="720"/>
        </w:tabs>
        <w:ind w:left="720" w:hanging="180"/>
      </w:pPr>
      <w:rPr>
        <w:rFonts w:cs="Times New Roman"/>
      </w:rPr>
    </w:lvl>
    <w:lvl w:ilvl="3" w:tplc="08090001" w:tentative="1">
      <w:start w:val="1"/>
      <w:numFmt w:val="decimal"/>
      <w:lvlText w:val="%4."/>
      <w:lvlJc w:val="left"/>
      <w:pPr>
        <w:tabs>
          <w:tab w:val="num" w:pos="1440"/>
        </w:tabs>
        <w:ind w:left="1440" w:hanging="360"/>
      </w:pPr>
      <w:rPr>
        <w:rFonts w:cs="Times New Roman"/>
      </w:rPr>
    </w:lvl>
    <w:lvl w:ilvl="4" w:tplc="08090003" w:tentative="1">
      <w:start w:val="1"/>
      <w:numFmt w:val="lowerLetter"/>
      <w:lvlText w:val="%5."/>
      <w:lvlJc w:val="left"/>
      <w:pPr>
        <w:tabs>
          <w:tab w:val="num" w:pos="2160"/>
        </w:tabs>
        <w:ind w:left="2160" w:hanging="360"/>
      </w:pPr>
      <w:rPr>
        <w:rFonts w:cs="Times New Roman"/>
      </w:rPr>
    </w:lvl>
    <w:lvl w:ilvl="5" w:tplc="08090005" w:tentative="1">
      <w:start w:val="1"/>
      <w:numFmt w:val="lowerRoman"/>
      <w:lvlText w:val="%6."/>
      <w:lvlJc w:val="right"/>
      <w:pPr>
        <w:tabs>
          <w:tab w:val="num" w:pos="2880"/>
        </w:tabs>
        <w:ind w:left="2880" w:hanging="180"/>
      </w:pPr>
      <w:rPr>
        <w:rFonts w:cs="Times New Roman"/>
      </w:rPr>
    </w:lvl>
    <w:lvl w:ilvl="6" w:tplc="08090001" w:tentative="1">
      <w:start w:val="1"/>
      <w:numFmt w:val="decimal"/>
      <w:lvlText w:val="%7."/>
      <w:lvlJc w:val="left"/>
      <w:pPr>
        <w:tabs>
          <w:tab w:val="num" w:pos="3600"/>
        </w:tabs>
        <w:ind w:left="3600" w:hanging="360"/>
      </w:pPr>
      <w:rPr>
        <w:rFonts w:cs="Times New Roman"/>
      </w:rPr>
    </w:lvl>
    <w:lvl w:ilvl="7" w:tplc="08090003" w:tentative="1">
      <w:start w:val="1"/>
      <w:numFmt w:val="lowerLetter"/>
      <w:lvlText w:val="%8."/>
      <w:lvlJc w:val="left"/>
      <w:pPr>
        <w:tabs>
          <w:tab w:val="num" w:pos="4320"/>
        </w:tabs>
        <w:ind w:left="4320" w:hanging="360"/>
      </w:pPr>
      <w:rPr>
        <w:rFonts w:cs="Times New Roman"/>
      </w:rPr>
    </w:lvl>
    <w:lvl w:ilvl="8" w:tplc="08090005" w:tentative="1">
      <w:start w:val="1"/>
      <w:numFmt w:val="lowerRoman"/>
      <w:lvlText w:val="%9."/>
      <w:lvlJc w:val="right"/>
      <w:pPr>
        <w:tabs>
          <w:tab w:val="num" w:pos="5040"/>
        </w:tabs>
        <w:ind w:left="5040" w:hanging="180"/>
      </w:pPr>
      <w:rPr>
        <w:rFonts w:cs="Times New Roman"/>
      </w:rPr>
    </w:lvl>
  </w:abstractNum>
  <w:abstractNum w:abstractNumId="7">
    <w:nsid w:val="2F353342"/>
    <w:multiLevelType w:val="hybridMultilevel"/>
    <w:tmpl w:val="6624D592"/>
    <w:lvl w:ilvl="0" w:tplc="F8A44464">
      <w:start w:val="1"/>
      <w:numFmt w:val="upperRoman"/>
      <w:lvlText w:val="%1."/>
      <w:lvlJc w:val="left"/>
      <w:pPr>
        <w:ind w:left="1151" w:hanging="720"/>
      </w:pPr>
      <w:rPr>
        <w:rFonts w:cs="Times New Roman" w:hint="default"/>
        <w:i w:val="0"/>
      </w:rPr>
    </w:lvl>
    <w:lvl w:ilvl="1" w:tplc="04090019">
      <w:start w:val="1"/>
      <w:numFmt w:val="lowerLetter"/>
      <w:lvlText w:val="%2."/>
      <w:lvlJc w:val="left"/>
      <w:pPr>
        <w:ind w:left="1511" w:hanging="360"/>
      </w:pPr>
      <w:rPr>
        <w:rFonts w:cs="Times New Roman"/>
      </w:rPr>
    </w:lvl>
    <w:lvl w:ilvl="2" w:tplc="0409001B" w:tentative="1">
      <w:start w:val="1"/>
      <w:numFmt w:val="lowerRoman"/>
      <w:lvlText w:val="%3."/>
      <w:lvlJc w:val="right"/>
      <w:pPr>
        <w:ind w:left="2231" w:hanging="180"/>
      </w:pPr>
      <w:rPr>
        <w:rFonts w:cs="Times New Roman"/>
      </w:rPr>
    </w:lvl>
    <w:lvl w:ilvl="3" w:tplc="0409000F" w:tentative="1">
      <w:start w:val="1"/>
      <w:numFmt w:val="decimal"/>
      <w:lvlText w:val="%4."/>
      <w:lvlJc w:val="left"/>
      <w:pPr>
        <w:ind w:left="2951" w:hanging="360"/>
      </w:pPr>
      <w:rPr>
        <w:rFonts w:cs="Times New Roman"/>
      </w:rPr>
    </w:lvl>
    <w:lvl w:ilvl="4" w:tplc="04090019" w:tentative="1">
      <w:start w:val="1"/>
      <w:numFmt w:val="lowerLetter"/>
      <w:lvlText w:val="%5."/>
      <w:lvlJc w:val="left"/>
      <w:pPr>
        <w:ind w:left="3671" w:hanging="360"/>
      </w:pPr>
      <w:rPr>
        <w:rFonts w:cs="Times New Roman"/>
      </w:rPr>
    </w:lvl>
    <w:lvl w:ilvl="5" w:tplc="0409001B" w:tentative="1">
      <w:start w:val="1"/>
      <w:numFmt w:val="lowerRoman"/>
      <w:lvlText w:val="%6."/>
      <w:lvlJc w:val="right"/>
      <w:pPr>
        <w:ind w:left="4391" w:hanging="180"/>
      </w:pPr>
      <w:rPr>
        <w:rFonts w:cs="Times New Roman"/>
      </w:rPr>
    </w:lvl>
    <w:lvl w:ilvl="6" w:tplc="0409000F" w:tentative="1">
      <w:start w:val="1"/>
      <w:numFmt w:val="decimal"/>
      <w:lvlText w:val="%7."/>
      <w:lvlJc w:val="left"/>
      <w:pPr>
        <w:ind w:left="5111" w:hanging="360"/>
      </w:pPr>
      <w:rPr>
        <w:rFonts w:cs="Times New Roman"/>
      </w:rPr>
    </w:lvl>
    <w:lvl w:ilvl="7" w:tplc="04090019" w:tentative="1">
      <w:start w:val="1"/>
      <w:numFmt w:val="lowerLetter"/>
      <w:lvlText w:val="%8."/>
      <w:lvlJc w:val="left"/>
      <w:pPr>
        <w:ind w:left="5831" w:hanging="360"/>
      </w:pPr>
      <w:rPr>
        <w:rFonts w:cs="Times New Roman"/>
      </w:rPr>
    </w:lvl>
    <w:lvl w:ilvl="8" w:tplc="0409001B" w:tentative="1">
      <w:start w:val="1"/>
      <w:numFmt w:val="lowerRoman"/>
      <w:lvlText w:val="%9."/>
      <w:lvlJc w:val="right"/>
      <w:pPr>
        <w:ind w:left="6551" w:hanging="180"/>
      </w:pPr>
      <w:rPr>
        <w:rFonts w:cs="Times New Roman"/>
      </w:rPr>
    </w:lvl>
  </w:abstractNum>
  <w:abstractNum w:abstractNumId="8">
    <w:nsid w:val="30735EDF"/>
    <w:multiLevelType w:val="hybridMultilevel"/>
    <w:tmpl w:val="3A08D812"/>
    <w:lvl w:ilvl="0" w:tplc="A2AC51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0605C5"/>
    <w:multiLevelType w:val="hybridMultilevel"/>
    <w:tmpl w:val="27A6870C"/>
    <w:lvl w:ilvl="0" w:tplc="5A943AC0">
      <w:start w:val="1"/>
      <w:numFmt w:val="bullet"/>
      <w:lvlText w:val="•"/>
      <w:lvlJc w:val="left"/>
      <w:pPr>
        <w:tabs>
          <w:tab w:val="num" w:pos="720"/>
        </w:tabs>
        <w:ind w:left="720" w:hanging="360"/>
      </w:pPr>
      <w:rPr>
        <w:rFonts w:ascii="Arial" w:hAnsi="Arial" w:hint="default"/>
      </w:rPr>
    </w:lvl>
    <w:lvl w:ilvl="1" w:tplc="461C1386" w:tentative="1">
      <w:start w:val="1"/>
      <w:numFmt w:val="bullet"/>
      <w:lvlText w:val="•"/>
      <w:lvlJc w:val="left"/>
      <w:pPr>
        <w:tabs>
          <w:tab w:val="num" w:pos="1440"/>
        </w:tabs>
        <w:ind w:left="1440" w:hanging="360"/>
      </w:pPr>
      <w:rPr>
        <w:rFonts w:ascii="Arial" w:hAnsi="Arial" w:hint="default"/>
      </w:rPr>
    </w:lvl>
    <w:lvl w:ilvl="2" w:tplc="4C12C552" w:tentative="1">
      <w:start w:val="1"/>
      <w:numFmt w:val="bullet"/>
      <w:lvlText w:val="•"/>
      <w:lvlJc w:val="left"/>
      <w:pPr>
        <w:tabs>
          <w:tab w:val="num" w:pos="2160"/>
        </w:tabs>
        <w:ind w:left="2160" w:hanging="360"/>
      </w:pPr>
      <w:rPr>
        <w:rFonts w:ascii="Arial" w:hAnsi="Arial" w:hint="default"/>
      </w:rPr>
    </w:lvl>
    <w:lvl w:ilvl="3" w:tplc="5882EB6A" w:tentative="1">
      <w:start w:val="1"/>
      <w:numFmt w:val="bullet"/>
      <w:lvlText w:val="•"/>
      <w:lvlJc w:val="left"/>
      <w:pPr>
        <w:tabs>
          <w:tab w:val="num" w:pos="2880"/>
        </w:tabs>
        <w:ind w:left="2880" w:hanging="360"/>
      </w:pPr>
      <w:rPr>
        <w:rFonts w:ascii="Arial" w:hAnsi="Arial" w:hint="default"/>
      </w:rPr>
    </w:lvl>
    <w:lvl w:ilvl="4" w:tplc="E5160600" w:tentative="1">
      <w:start w:val="1"/>
      <w:numFmt w:val="bullet"/>
      <w:lvlText w:val="•"/>
      <w:lvlJc w:val="left"/>
      <w:pPr>
        <w:tabs>
          <w:tab w:val="num" w:pos="3600"/>
        </w:tabs>
        <w:ind w:left="3600" w:hanging="360"/>
      </w:pPr>
      <w:rPr>
        <w:rFonts w:ascii="Arial" w:hAnsi="Arial" w:hint="default"/>
      </w:rPr>
    </w:lvl>
    <w:lvl w:ilvl="5" w:tplc="941A2DE0" w:tentative="1">
      <w:start w:val="1"/>
      <w:numFmt w:val="bullet"/>
      <w:lvlText w:val="•"/>
      <w:lvlJc w:val="left"/>
      <w:pPr>
        <w:tabs>
          <w:tab w:val="num" w:pos="4320"/>
        </w:tabs>
        <w:ind w:left="4320" w:hanging="360"/>
      </w:pPr>
      <w:rPr>
        <w:rFonts w:ascii="Arial" w:hAnsi="Arial" w:hint="default"/>
      </w:rPr>
    </w:lvl>
    <w:lvl w:ilvl="6" w:tplc="4D66B0C6" w:tentative="1">
      <w:start w:val="1"/>
      <w:numFmt w:val="bullet"/>
      <w:lvlText w:val="•"/>
      <w:lvlJc w:val="left"/>
      <w:pPr>
        <w:tabs>
          <w:tab w:val="num" w:pos="5040"/>
        </w:tabs>
        <w:ind w:left="5040" w:hanging="360"/>
      </w:pPr>
      <w:rPr>
        <w:rFonts w:ascii="Arial" w:hAnsi="Arial" w:hint="default"/>
      </w:rPr>
    </w:lvl>
    <w:lvl w:ilvl="7" w:tplc="446C3FCE" w:tentative="1">
      <w:start w:val="1"/>
      <w:numFmt w:val="bullet"/>
      <w:lvlText w:val="•"/>
      <w:lvlJc w:val="left"/>
      <w:pPr>
        <w:tabs>
          <w:tab w:val="num" w:pos="5760"/>
        </w:tabs>
        <w:ind w:left="5760" w:hanging="360"/>
      </w:pPr>
      <w:rPr>
        <w:rFonts w:ascii="Arial" w:hAnsi="Arial" w:hint="default"/>
      </w:rPr>
    </w:lvl>
    <w:lvl w:ilvl="8" w:tplc="4C408934" w:tentative="1">
      <w:start w:val="1"/>
      <w:numFmt w:val="bullet"/>
      <w:lvlText w:val="•"/>
      <w:lvlJc w:val="left"/>
      <w:pPr>
        <w:tabs>
          <w:tab w:val="num" w:pos="6480"/>
        </w:tabs>
        <w:ind w:left="6480" w:hanging="360"/>
      </w:pPr>
      <w:rPr>
        <w:rFonts w:ascii="Arial" w:hAnsi="Arial" w:hint="default"/>
      </w:rPr>
    </w:lvl>
  </w:abstractNum>
  <w:abstractNum w:abstractNumId="10">
    <w:nsid w:val="35635821"/>
    <w:multiLevelType w:val="hybridMultilevel"/>
    <w:tmpl w:val="495A71FC"/>
    <w:lvl w:ilvl="0" w:tplc="F5488108">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81D7F2B"/>
    <w:multiLevelType w:val="hybridMultilevel"/>
    <w:tmpl w:val="DB68E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386F41"/>
    <w:multiLevelType w:val="multilevel"/>
    <w:tmpl w:val="9FE0BBE0"/>
    <w:lvl w:ilvl="0">
      <w:start w:val="1"/>
      <w:numFmt w:val="upperLetter"/>
      <w:lvlText w:val="%1"/>
      <w:lvlJc w:val="left"/>
      <w:pPr>
        <w:tabs>
          <w:tab w:val="num" w:pos="576"/>
        </w:tabs>
        <w:ind w:left="576" w:hanging="576"/>
      </w:pPr>
      <w:rPr>
        <w:rFonts w:cs="Times New Roman" w:hint="default"/>
      </w:rPr>
    </w:lvl>
    <w:lvl w:ilvl="1">
      <w:start w:val="1"/>
      <w:numFmt w:val="decimal"/>
      <w:lvlText w:val="%1.%2"/>
      <w:lvlJc w:val="left"/>
      <w:pPr>
        <w:tabs>
          <w:tab w:val="num" w:pos="864"/>
        </w:tabs>
        <w:ind w:left="864" w:hanging="864"/>
      </w:pPr>
      <w:rPr>
        <w:rFonts w:cs="Times New Roman" w:hint="default"/>
      </w:rPr>
    </w:lvl>
    <w:lvl w:ilvl="2">
      <w:start w:val="1"/>
      <w:numFmt w:val="decimal"/>
      <w:lvlText w:val="%1.%2.%3"/>
      <w:lvlJc w:val="left"/>
      <w:pPr>
        <w:tabs>
          <w:tab w:val="num" w:pos="1152"/>
        </w:tabs>
        <w:ind w:left="1152" w:hanging="1152"/>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D9814E2"/>
    <w:multiLevelType w:val="hybridMultilevel"/>
    <w:tmpl w:val="DA3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33695B"/>
    <w:multiLevelType w:val="hybridMultilevel"/>
    <w:tmpl w:val="3976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907F52"/>
    <w:multiLevelType w:val="hybridMultilevel"/>
    <w:tmpl w:val="C6A68AF8"/>
    <w:lvl w:ilvl="0" w:tplc="EFAC1AE6">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845C4D"/>
    <w:multiLevelType w:val="hybridMultilevel"/>
    <w:tmpl w:val="FEF6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B02A2F"/>
    <w:multiLevelType w:val="hybridMultilevel"/>
    <w:tmpl w:val="0C5C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C905BC"/>
    <w:multiLevelType w:val="hybridMultilevel"/>
    <w:tmpl w:val="1A50C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B4E4DB6"/>
    <w:multiLevelType w:val="hybridMultilevel"/>
    <w:tmpl w:val="F2A2F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C1529FB"/>
    <w:multiLevelType w:val="hybridMultilevel"/>
    <w:tmpl w:val="7388C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4">
    <w:nsid w:val="74081605"/>
    <w:multiLevelType w:val="hybridMultilevel"/>
    <w:tmpl w:val="99C82FB2"/>
    <w:lvl w:ilvl="0" w:tplc="5B7CFE34">
      <w:start w:val="1"/>
      <w:numFmt w:val="upperRoman"/>
      <w:lvlText w:val="%1."/>
      <w:lvlJc w:val="left"/>
      <w:pPr>
        <w:ind w:left="2231" w:hanging="720"/>
      </w:pPr>
      <w:rPr>
        <w:rFonts w:cs="Times New Roman" w:hint="default"/>
      </w:rPr>
    </w:lvl>
    <w:lvl w:ilvl="1" w:tplc="04090019">
      <w:start w:val="1"/>
      <w:numFmt w:val="lowerLetter"/>
      <w:lvlText w:val="%2."/>
      <w:lvlJc w:val="left"/>
      <w:pPr>
        <w:ind w:left="2591" w:hanging="360"/>
      </w:pPr>
      <w:rPr>
        <w:rFonts w:cs="Times New Roman"/>
      </w:rPr>
    </w:lvl>
    <w:lvl w:ilvl="2" w:tplc="0409001B">
      <w:start w:val="1"/>
      <w:numFmt w:val="lowerRoman"/>
      <w:lvlText w:val="%3."/>
      <w:lvlJc w:val="right"/>
      <w:pPr>
        <w:ind w:left="3311" w:hanging="180"/>
      </w:pPr>
      <w:rPr>
        <w:rFonts w:cs="Times New Roman"/>
      </w:rPr>
    </w:lvl>
    <w:lvl w:ilvl="3" w:tplc="0409000F">
      <w:start w:val="1"/>
      <w:numFmt w:val="decimal"/>
      <w:lvlText w:val="%4."/>
      <w:lvlJc w:val="left"/>
      <w:pPr>
        <w:ind w:left="4031" w:hanging="360"/>
      </w:pPr>
      <w:rPr>
        <w:rFonts w:cs="Times New Roman"/>
      </w:rPr>
    </w:lvl>
    <w:lvl w:ilvl="4" w:tplc="04090019" w:tentative="1">
      <w:start w:val="1"/>
      <w:numFmt w:val="lowerLetter"/>
      <w:lvlText w:val="%5."/>
      <w:lvlJc w:val="left"/>
      <w:pPr>
        <w:ind w:left="4751" w:hanging="360"/>
      </w:pPr>
      <w:rPr>
        <w:rFonts w:cs="Times New Roman"/>
      </w:rPr>
    </w:lvl>
    <w:lvl w:ilvl="5" w:tplc="0409001B" w:tentative="1">
      <w:start w:val="1"/>
      <w:numFmt w:val="lowerRoman"/>
      <w:lvlText w:val="%6."/>
      <w:lvlJc w:val="right"/>
      <w:pPr>
        <w:ind w:left="5471" w:hanging="180"/>
      </w:pPr>
      <w:rPr>
        <w:rFonts w:cs="Times New Roman"/>
      </w:rPr>
    </w:lvl>
    <w:lvl w:ilvl="6" w:tplc="0409000F" w:tentative="1">
      <w:start w:val="1"/>
      <w:numFmt w:val="decimal"/>
      <w:lvlText w:val="%7."/>
      <w:lvlJc w:val="left"/>
      <w:pPr>
        <w:ind w:left="6191" w:hanging="360"/>
      </w:pPr>
      <w:rPr>
        <w:rFonts w:cs="Times New Roman"/>
      </w:rPr>
    </w:lvl>
    <w:lvl w:ilvl="7" w:tplc="04090019" w:tentative="1">
      <w:start w:val="1"/>
      <w:numFmt w:val="lowerLetter"/>
      <w:lvlText w:val="%8."/>
      <w:lvlJc w:val="left"/>
      <w:pPr>
        <w:ind w:left="6911" w:hanging="360"/>
      </w:pPr>
      <w:rPr>
        <w:rFonts w:cs="Times New Roman"/>
      </w:rPr>
    </w:lvl>
    <w:lvl w:ilvl="8" w:tplc="0409001B" w:tentative="1">
      <w:start w:val="1"/>
      <w:numFmt w:val="lowerRoman"/>
      <w:lvlText w:val="%9."/>
      <w:lvlJc w:val="right"/>
      <w:pPr>
        <w:ind w:left="7631" w:hanging="180"/>
      </w:pPr>
      <w:rPr>
        <w:rFonts w:cs="Times New Roman"/>
      </w:rPr>
    </w:lvl>
  </w:abstractNum>
  <w:abstractNum w:abstractNumId="2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6">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7C4C3713"/>
    <w:multiLevelType w:val="hybridMultilevel"/>
    <w:tmpl w:val="4A749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3"/>
  </w:num>
  <w:num w:numId="4">
    <w:abstractNumId w:val="6"/>
  </w:num>
  <w:num w:numId="5">
    <w:abstractNumId w:val="1"/>
  </w:num>
  <w:num w:numId="6">
    <w:abstractNumId w:val="11"/>
  </w:num>
  <w:num w:numId="7">
    <w:abstractNumId w:val="22"/>
  </w:num>
  <w:num w:numId="8">
    <w:abstractNumId w:val="27"/>
  </w:num>
  <w:num w:numId="9">
    <w:abstractNumId w:val="20"/>
  </w:num>
  <w:num w:numId="10">
    <w:abstractNumId w:val="18"/>
  </w:num>
  <w:num w:numId="11">
    <w:abstractNumId w:val="2"/>
  </w:num>
  <w:num w:numId="12">
    <w:abstractNumId w:val="14"/>
  </w:num>
  <w:num w:numId="13">
    <w:abstractNumId w:val="26"/>
  </w:num>
  <w:num w:numId="14">
    <w:abstractNumId w:val="19"/>
  </w:num>
  <w:num w:numId="15">
    <w:abstractNumId w:val="15"/>
  </w:num>
  <w:num w:numId="16">
    <w:abstractNumId w:val="8"/>
  </w:num>
  <w:num w:numId="17">
    <w:abstractNumId w:val="16"/>
  </w:num>
  <w:num w:numId="18">
    <w:abstractNumId w:val="4"/>
  </w:num>
  <w:num w:numId="19">
    <w:abstractNumId w:val="12"/>
  </w:num>
  <w:num w:numId="20">
    <w:abstractNumId w:val="24"/>
  </w:num>
  <w:num w:numId="21">
    <w:abstractNumId w:val="25"/>
  </w:num>
  <w:num w:numId="22">
    <w:abstractNumId w:val="17"/>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5"/>
  </w:num>
  <w:num w:numId="31">
    <w:abstractNumId w:val="25"/>
  </w:num>
  <w:num w:numId="32">
    <w:abstractNumId w:val="25"/>
  </w:num>
  <w:num w:numId="33">
    <w:abstractNumId w:val="9"/>
  </w:num>
  <w:num w:numId="34">
    <w:abstractNumId w:val="25"/>
  </w:num>
  <w:num w:numId="35">
    <w:abstractNumId w:val="25"/>
  </w:num>
  <w:num w:numId="36">
    <w:abstractNumId w:val="25"/>
  </w:num>
  <w:num w:numId="37">
    <w:abstractNumId w:val="25"/>
  </w:num>
  <w:num w:numId="38">
    <w:abstractNumId w:val="7"/>
  </w:num>
  <w:num w:numId="39">
    <w:abstractNumId w:val="21"/>
  </w:num>
  <w:num w:numId="40">
    <w:abstractNumId w:val="10"/>
  </w:num>
  <w:num w:numId="41">
    <w:abstractNumId w:val="3"/>
  </w:num>
  <w:num w:numId="42">
    <w:abstractNumId w:val="25"/>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stylePaneFormatFilter w:val="3F01"/>
  <w:defaultTabStop w:val="720"/>
  <w:characterSpacingControl w:val="doNotCompress"/>
  <w:hdrShapeDefaults>
    <o:shapedefaults v:ext="edit" spidmax="307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481"/>
    <w:rsid w:val="00001093"/>
    <w:rsid w:val="00001839"/>
    <w:rsid w:val="00001892"/>
    <w:rsid w:val="00003BF4"/>
    <w:rsid w:val="000056E3"/>
    <w:rsid w:val="00005AD9"/>
    <w:rsid w:val="00006DD9"/>
    <w:rsid w:val="0000789B"/>
    <w:rsid w:val="000078F3"/>
    <w:rsid w:val="0001040F"/>
    <w:rsid w:val="000112F3"/>
    <w:rsid w:val="00011618"/>
    <w:rsid w:val="00012395"/>
    <w:rsid w:val="00013840"/>
    <w:rsid w:val="0001405F"/>
    <w:rsid w:val="00020354"/>
    <w:rsid w:val="00023DE3"/>
    <w:rsid w:val="000308A6"/>
    <w:rsid w:val="00031DAD"/>
    <w:rsid w:val="00032747"/>
    <w:rsid w:val="0003293E"/>
    <w:rsid w:val="00033798"/>
    <w:rsid w:val="00034EC5"/>
    <w:rsid w:val="000353DB"/>
    <w:rsid w:val="00036773"/>
    <w:rsid w:val="00036D26"/>
    <w:rsid w:val="00037136"/>
    <w:rsid w:val="00040E96"/>
    <w:rsid w:val="00040ECD"/>
    <w:rsid w:val="00041C7F"/>
    <w:rsid w:val="00043B6C"/>
    <w:rsid w:val="00044318"/>
    <w:rsid w:val="000456BC"/>
    <w:rsid w:val="00047456"/>
    <w:rsid w:val="0004793C"/>
    <w:rsid w:val="0005149C"/>
    <w:rsid w:val="000522DA"/>
    <w:rsid w:val="00052B06"/>
    <w:rsid w:val="00053BA3"/>
    <w:rsid w:val="000543BB"/>
    <w:rsid w:val="00054C72"/>
    <w:rsid w:val="0005648E"/>
    <w:rsid w:val="0005683E"/>
    <w:rsid w:val="000577CD"/>
    <w:rsid w:val="000603E1"/>
    <w:rsid w:val="00061D6B"/>
    <w:rsid w:val="00061FC0"/>
    <w:rsid w:val="00063B97"/>
    <w:rsid w:val="00065E5C"/>
    <w:rsid w:val="0006701C"/>
    <w:rsid w:val="00067162"/>
    <w:rsid w:val="00070063"/>
    <w:rsid w:val="00074428"/>
    <w:rsid w:val="00074C83"/>
    <w:rsid w:val="000755CD"/>
    <w:rsid w:val="00075B38"/>
    <w:rsid w:val="000764D9"/>
    <w:rsid w:val="00076B31"/>
    <w:rsid w:val="00076C80"/>
    <w:rsid w:val="00076E28"/>
    <w:rsid w:val="00081095"/>
    <w:rsid w:val="00081A97"/>
    <w:rsid w:val="00081ACF"/>
    <w:rsid w:val="00082B7A"/>
    <w:rsid w:val="00083395"/>
    <w:rsid w:val="00084107"/>
    <w:rsid w:val="00084822"/>
    <w:rsid w:val="0008521A"/>
    <w:rsid w:val="000857C2"/>
    <w:rsid w:val="00086C33"/>
    <w:rsid w:val="000912D2"/>
    <w:rsid w:val="00093981"/>
    <w:rsid w:val="00094614"/>
    <w:rsid w:val="0009753A"/>
    <w:rsid w:val="0009763E"/>
    <w:rsid w:val="000A0D3C"/>
    <w:rsid w:val="000A21F3"/>
    <w:rsid w:val="000A2392"/>
    <w:rsid w:val="000A28AE"/>
    <w:rsid w:val="000A2C21"/>
    <w:rsid w:val="000A2E88"/>
    <w:rsid w:val="000A3DA0"/>
    <w:rsid w:val="000A431C"/>
    <w:rsid w:val="000A47CB"/>
    <w:rsid w:val="000A580F"/>
    <w:rsid w:val="000B1852"/>
    <w:rsid w:val="000B23F3"/>
    <w:rsid w:val="000B3423"/>
    <w:rsid w:val="000B4E16"/>
    <w:rsid w:val="000B798B"/>
    <w:rsid w:val="000C30EC"/>
    <w:rsid w:val="000C4AE2"/>
    <w:rsid w:val="000C4F43"/>
    <w:rsid w:val="000C7CC4"/>
    <w:rsid w:val="000C7DD9"/>
    <w:rsid w:val="000D02EC"/>
    <w:rsid w:val="000D042A"/>
    <w:rsid w:val="000D1BFE"/>
    <w:rsid w:val="000D1C39"/>
    <w:rsid w:val="000D3045"/>
    <w:rsid w:val="000D3C67"/>
    <w:rsid w:val="000D4BF1"/>
    <w:rsid w:val="000D5744"/>
    <w:rsid w:val="000D5F90"/>
    <w:rsid w:val="000D614B"/>
    <w:rsid w:val="000D637F"/>
    <w:rsid w:val="000D6F52"/>
    <w:rsid w:val="000D7912"/>
    <w:rsid w:val="000E014F"/>
    <w:rsid w:val="000E0285"/>
    <w:rsid w:val="000E2049"/>
    <w:rsid w:val="000E2241"/>
    <w:rsid w:val="000E2738"/>
    <w:rsid w:val="000E58AE"/>
    <w:rsid w:val="000E5B8F"/>
    <w:rsid w:val="000E7752"/>
    <w:rsid w:val="000F18AE"/>
    <w:rsid w:val="000F1B48"/>
    <w:rsid w:val="000F24C9"/>
    <w:rsid w:val="000F280D"/>
    <w:rsid w:val="000F36BA"/>
    <w:rsid w:val="000F4727"/>
    <w:rsid w:val="000F4DEC"/>
    <w:rsid w:val="000F4E84"/>
    <w:rsid w:val="000F614D"/>
    <w:rsid w:val="000F66ED"/>
    <w:rsid w:val="000F6989"/>
    <w:rsid w:val="000F6C50"/>
    <w:rsid w:val="000F70A2"/>
    <w:rsid w:val="000F7636"/>
    <w:rsid w:val="000F7E37"/>
    <w:rsid w:val="00100450"/>
    <w:rsid w:val="001028B9"/>
    <w:rsid w:val="00102CC6"/>
    <w:rsid w:val="0010430A"/>
    <w:rsid w:val="00105085"/>
    <w:rsid w:val="001062A9"/>
    <w:rsid w:val="001110D8"/>
    <w:rsid w:val="00112C26"/>
    <w:rsid w:val="00112E1D"/>
    <w:rsid w:val="00114BEF"/>
    <w:rsid w:val="00115111"/>
    <w:rsid w:val="0012038D"/>
    <w:rsid w:val="0012088C"/>
    <w:rsid w:val="00120CBF"/>
    <w:rsid w:val="00125A32"/>
    <w:rsid w:val="00126816"/>
    <w:rsid w:val="00126E09"/>
    <w:rsid w:val="00127A54"/>
    <w:rsid w:val="00130E65"/>
    <w:rsid w:val="00131097"/>
    <w:rsid w:val="001313DF"/>
    <w:rsid w:val="001320A1"/>
    <w:rsid w:val="001348DC"/>
    <w:rsid w:val="00134F25"/>
    <w:rsid w:val="00135461"/>
    <w:rsid w:val="00135581"/>
    <w:rsid w:val="00135A1E"/>
    <w:rsid w:val="00136E21"/>
    <w:rsid w:val="00140925"/>
    <w:rsid w:val="001411C3"/>
    <w:rsid w:val="00143006"/>
    <w:rsid w:val="001430DF"/>
    <w:rsid w:val="00143F2C"/>
    <w:rsid w:val="00145A77"/>
    <w:rsid w:val="00145FB5"/>
    <w:rsid w:val="001464AE"/>
    <w:rsid w:val="001511B8"/>
    <w:rsid w:val="00151234"/>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40D"/>
    <w:rsid w:val="00172079"/>
    <w:rsid w:val="0017277A"/>
    <w:rsid w:val="00172931"/>
    <w:rsid w:val="00173583"/>
    <w:rsid w:val="00174532"/>
    <w:rsid w:val="001769C8"/>
    <w:rsid w:val="0018142F"/>
    <w:rsid w:val="001819EB"/>
    <w:rsid w:val="00181AD3"/>
    <w:rsid w:val="00181BB8"/>
    <w:rsid w:val="00183A86"/>
    <w:rsid w:val="0018461C"/>
    <w:rsid w:val="001847B6"/>
    <w:rsid w:val="00185404"/>
    <w:rsid w:val="001855D9"/>
    <w:rsid w:val="00185E12"/>
    <w:rsid w:val="00187438"/>
    <w:rsid w:val="001875C2"/>
    <w:rsid w:val="00190CFE"/>
    <w:rsid w:val="0019258D"/>
    <w:rsid w:val="00196CBB"/>
    <w:rsid w:val="00196F2D"/>
    <w:rsid w:val="00197072"/>
    <w:rsid w:val="001A0BD2"/>
    <w:rsid w:val="001A3A94"/>
    <w:rsid w:val="001A445C"/>
    <w:rsid w:val="001A7354"/>
    <w:rsid w:val="001A7D73"/>
    <w:rsid w:val="001B04B3"/>
    <w:rsid w:val="001B1C0B"/>
    <w:rsid w:val="001B1DC5"/>
    <w:rsid w:val="001B4535"/>
    <w:rsid w:val="001B49DA"/>
    <w:rsid w:val="001B53E5"/>
    <w:rsid w:val="001B545E"/>
    <w:rsid w:val="001B558D"/>
    <w:rsid w:val="001B685F"/>
    <w:rsid w:val="001B7A95"/>
    <w:rsid w:val="001C06E5"/>
    <w:rsid w:val="001C0BBD"/>
    <w:rsid w:val="001C0E60"/>
    <w:rsid w:val="001C373B"/>
    <w:rsid w:val="001C41D2"/>
    <w:rsid w:val="001C4B0E"/>
    <w:rsid w:val="001C4BAF"/>
    <w:rsid w:val="001D120E"/>
    <w:rsid w:val="001D1CC7"/>
    <w:rsid w:val="001D29BF"/>
    <w:rsid w:val="001D2E9A"/>
    <w:rsid w:val="001D3591"/>
    <w:rsid w:val="001D4203"/>
    <w:rsid w:val="001D469B"/>
    <w:rsid w:val="001D4AE6"/>
    <w:rsid w:val="001D5BB5"/>
    <w:rsid w:val="001D68DF"/>
    <w:rsid w:val="001D6E98"/>
    <w:rsid w:val="001D6F10"/>
    <w:rsid w:val="001D724D"/>
    <w:rsid w:val="001D7A56"/>
    <w:rsid w:val="001E1DAE"/>
    <w:rsid w:val="001E2BFE"/>
    <w:rsid w:val="001E6557"/>
    <w:rsid w:val="001E67C6"/>
    <w:rsid w:val="001E6E16"/>
    <w:rsid w:val="001F0157"/>
    <w:rsid w:val="001F07B5"/>
    <w:rsid w:val="001F0D85"/>
    <w:rsid w:val="001F0ED0"/>
    <w:rsid w:val="001F26DA"/>
    <w:rsid w:val="001F41E3"/>
    <w:rsid w:val="001F57FD"/>
    <w:rsid w:val="001F5F33"/>
    <w:rsid w:val="001F7671"/>
    <w:rsid w:val="00200ADB"/>
    <w:rsid w:val="00200D98"/>
    <w:rsid w:val="00205D79"/>
    <w:rsid w:val="00206200"/>
    <w:rsid w:val="00206C3F"/>
    <w:rsid w:val="002103F4"/>
    <w:rsid w:val="0021220C"/>
    <w:rsid w:val="00212F93"/>
    <w:rsid w:val="00213452"/>
    <w:rsid w:val="0021409D"/>
    <w:rsid w:val="002158D1"/>
    <w:rsid w:val="00221836"/>
    <w:rsid w:val="002232B9"/>
    <w:rsid w:val="00223575"/>
    <w:rsid w:val="0022392D"/>
    <w:rsid w:val="00224C49"/>
    <w:rsid w:val="0022541B"/>
    <w:rsid w:val="002258B2"/>
    <w:rsid w:val="002258D6"/>
    <w:rsid w:val="00225C38"/>
    <w:rsid w:val="00227000"/>
    <w:rsid w:val="002273B1"/>
    <w:rsid w:val="0023091A"/>
    <w:rsid w:val="002309F1"/>
    <w:rsid w:val="00230A28"/>
    <w:rsid w:val="00232411"/>
    <w:rsid w:val="00232FA8"/>
    <w:rsid w:val="0023338E"/>
    <w:rsid w:val="00234BFD"/>
    <w:rsid w:val="00235FCC"/>
    <w:rsid w:val="002366E6"/>
    <w:rsid w:val="00236AD9"/>
    <w:rsid w:val="00237BE6"/>
    <w:rsid w:val="00240453"/>
    <w:rsid w:val="00240C24"/>
    <w:rsid w:val="00240DE3"/>
    <w:rsid w:val="002427BC"/>
    <w:rsid w:val="00245727"/>
    <w:rsid w:val="00245871"/>
    <w:rsid w:val="00245AEC"/>
    <w:rsid w:val="00245CA3"/>
    <w:rsid w:val="002471F5"/>
    <w:rsid w:val="0025130F"/>
    <w:rsid w:val="002519DB"/>
    <w:rsid w:val="00251BB9"/>
    <w:rsid w:val="00252CE3"/>
    <w:rsid w:val="00252EE6"/>
    <w:rsid w:val="002539F8"/>
    <w:rsid w:val="00254242"/>
    <w:rsid w:val="002612E2"/>
    <w:rsid w:val="002617A9"/>
    <w:rsid w:val="00261819"/>
    <w:rsid w:val="00261848"/>
    <w:rsid w:val="00262DF8"/>
    <w:rsid w:val="002632EC"/>
    <w:rsid w:val="00263E97"/>
    <w:rsid w:val="00263F59"/>
    <w:rsid w:val="0026453E"/>
    <w:rsid w:val="0026536D"/>
    <w:rsid w:val="00265B19"/>
    <w:rsid w:val="00270D23"/>
    <w:rsid w:val="0027106D"/>
    <w:rsid w:val="00271283"/>
    <w:rsid w:val="00273746"/>
    <w:rsid w:val="00273D2B"/>
    <w:rsid w:val="00275426"/>
    <w:rsid w:val="00275C0A"/>
    <w:rsid w:val="00276390"/>
    <w:rsid w:val="00281745"/>
    <w:rsid w:val="002826B9"/>
    <w:rsid w:val="00282711"/>
    <w:rsid w:val="00283427"/>
    <w:rsid w:val="002838BF"/>
    <w:rsid w:val="00283E81"/>
    <w:rsid w:val="002921FE"/>
    <w:rsid w:val="002932F7"/>
    <w:rsid w:val="00293904"/>
    <w:rsid w:val="00293CF2"/>
    <w:rsid w:val="00294489"/>
    <w:rsid w:val="0029455F"/>
    <w:rsid w:val="0029551D"/>
    <w:rsid w:val="002973A4"/>
    <w:rsid w:val="0029788E"/>
    <w:rsid w:val="002978FB"/>
    <w:rsid w:val="002A0E1C"/>
    <w:rsid w:val="002A2C94"/>
    <w:rsid w:val="002A3B8D"/>
    <w:rsid w:val="002A3F7C"/>
    <w:rsid w:val="002A41C6"/>
    <w:rsid w:val="002A5010"/>
    <w:rsid w:val="002A6092"/>
    <w:rsid w:val="002A7DA4"/>
    <w:rsid w:val="002B1F1A"/>
    <w:rsid w:val="002B2758"/>
    <w:rsid w:val="002B3B64"/>
    <w:rsid w:val="002B3EC3"/>
    <w:rsid w:val="002B66EB"/>
    <w:rsid w:val="002B6AF9"/>
    <w:rsid w:val="002C008E"/>
    <w:rsid w:val="002C0C7E"/>
    <w:rsid w:val="002C32A8"/>
    <w:rsid w:val="002C4A84"/>
    <w:rsid w:val="002C4AAC"/>
    <w:rsid w:val="002C4C5D"/>
    <w:rsid w:val="002C591E"/>
    <w:rsid w:val="002C5A74"/>
    <w:rsid w:val="002C60BC"/>
    <w:rsid w:val="002C6843"/>
    <w:rsid w:val="002C78C4"/>
    <w:rsid w:val="002C7BBA"/>
    <w:rsid w:val="002D173D"/>
    <w:rsid w:val="002D2149"/>
    <w:rsid w:val="002D2E88"/>
    <w:rsid w:val="002D3A35"/>
    <w:rsid w:val="002D40B5"/>
    <w:rsid w:val="002D4321"/>
    <w:rsid w:val="002D6137"/>
    <w:rsid w:val="002D61A7"/>
    <w:rsid w:val="002E1168"/>
    <w:rsid w:val="002E1A7C"/>
    <w:rsid w:val="002E22B9"/>
    <w:rsid w:val="002E2724"/>
    <w:rsid w:val="002E2AB8"/>
    <w:rsid w:val="002E305B"/>
    <w:rsid w:val="002E5AFD"/>
    <w:rsid w:val="002E68E3"/>
    <w:rsid w:val="002E6AFD"/>
    <w:rsid w:val="002E71A3"/>
    <w:rsid w:val="002F07E5"/>
    <w:rsid w:val="002F13C8"/>
    <w:rsid w:val="002F14ED"/>
    <w:rsid w:val="002F1AC9"/>
    <w:rsid w:val="002F229A"/>
    <w:rsid w:val="002F2504"/>
    <w:rsid w:val="002F34E7"/>
    <w:rsid w:val="002F573C"/>
    <w:rsid w:val="002F5AE5"/>
    <w:rsid w:val="002F5C39"/>
    <w:rsid w:val="002F600B"/>
    <w:rsid w:val="003002A5"/>
    <w:rsid w:val="00300C34"/>
    <w:rsid w:val="00300DE1"/>
    <w:rsid w:val="003027A8"/>
    <w:rsid w:val="00302A41"/>
    <w:rsid w:val="003030E4"/>
    <w:rsid w:val="00303B2F"/>
    <w:rsid w:val="00303BCE"/>
    <w:rsid w:val="00303DA0"/>
    <w:rsid w:val="00305777"/>
    <w:rsid w:val="003058F1"/>
    <w:rsid w:val="0030628E"/>
    <w:rsid w:val="00306949"/>
    <w:rsid w:val="00307813"/>
    <w:rsid w:val="00307925"/>
    <w:rsid w:val="00310016"/>
    <w:rsid w:val="00310AA9"/>
    <w:rsid w:val="00311357"/>
    <w:rsid w:val="003128CC"/>
    <w:rsid w:val="00313E6E"/>
    <w:rsid w:val="00314CCA"/>
    <w:rsid w:val="00315028"/>
    <w:rsid w:val="003165C5"/>
    <w:rsid w:val="00317604"/>
    <w:rsid w:val="00320766"/>
    <w:rsid w:val="00320E56"/>
    <w:rsid w:val="00321039"/>
    <w:rsid w:val="0032185D"/>
    <w:rsid w:val="00321F44"/>
    <w:rsid w:val="00322A97"/>
    <w:rsid w:val="00326D02"/>
    <w:rsid w:val="00327527"/>
    <w:rsid w:val="00331C2E"/>
    <w:rsid w:val="00331D03"/>
    <w:rsid w:val="003327C0"/>
    <w:rsid w:val="003331F6"/>
    <w:rsid w:val="003334A4"/>
    <w:rsid w:val="00333758"/>
    <w:rsid w:val="00333BDF"/>
    <w:rsid w:val="00334346"/>
    <w:rsid w:val="00334374"/>
    <w:rsid w:val="003343C5"/>
    <w:rsid w:val="0033471E"/>
    <w:rsid w:val="0033544A"/>
    <w:rsid w:val="00336AD7"/>
    <w:rsid w:val="00336C02"/>
    <w:rsid w:val="0033749F"/>
    <w:rsid w:val="00337A1C"/>
    <w:rsid w:val="00341680"/>
    <w:rsid w:val="00342532"/>
    <w:rsid w:val="0034275E"/>
    <w:rsid w:val="00342A85"/>
    <w:rsid w:val="00344436"/>
    <w:rsid w:val="00344B6E"/>
    <w:rsid w:val="0035045B"/>
    <w:rsid w:val="003514EC"/>
    <w:rsid w:val="0035334C"/>
    <w:rsid w:val="0035594E"/>
    <w:rsid w:val="00355B3A"/>
    <w:rsid w:val="00357E55"/>
    <w:rsid w:val="003609A6"/>
    <w:rsid w:val="00361C99"/>
    <w:rsid w:val="003628C4"/>
    <w:rsid w:val="003629C6"/>
    <w:rsid w:val="00362C68"/>
    <w:rsid w:val="003646C3"/>
    <w:rsid w:val="00365057"/>
    <w:rsid w:val="00366881"/>
    <w:rsid w:val="00367EF5"/>
    <w:rsid w:val="00370E9A"/>
    <w:rsid w:val="00371495"/>
    <w:rsid w:val="00373ED8"/>
    <w:rsid w:val="00376C85"/>
    <w:rsid w:val="0037712E"/>
    <w:rsid w:val="003807E5"/>
    <w:rsid w:val="00382A39"/>
    <w:rsid w:val="00386ECC"/>
    <w:rsid w:val="0038740C"/>
    <w:rsid w:val="003874DB"/>
    <w:rsid w:val="00390435"/>
    <w:rsid w:val="003905ED"/>
    <w:rsid w:val="00390889"/>
    <w:rsid w:val="00393BC8"/>
    <w:rsid w:val="00393C78"/>
    <w:rsid w:val="003979D0"/>
    <w:rsid w:val="003A08A8"/>
    <w:rsid w:val="003A0C51"/>
    <w:rsid w:val="003A110F"/>
    <w:rsid w:val="003A27D8"/>
    <w:rsid w:val="003A285F"/>
    <w:rsid w:val="003A3DF6"/>
    <w:rsid w:val="003A4861"/>
    <w:rsid w:val="003A5071"/>
    <w:rsid w:val="003A5AA7"/>
    <w:rsid w:val="003A5CDC"/>
    <w:rsid w:val="003A5F1F"/>
    <w:rsid w:val="003A6585"/>
    <w:rsid w:val="003A748C"/>
    <w:rsid w:val="003B0264"/>
    <w:rsid w:val="003B0277"/>
    <w:rsid w:val="003B0536"/>
    <w:rsid w:val="003B16F3"/>
    <w:rsid w:val="003B1C7E"/>
    <w:rsid w:val="003B3090"/>
    <w:rsid w:val="003B364A"/>
    <w:rsid w:val="003B391D"/>
    <w:rsid w:val="003B4EAF"/>
    <w:rsid w:val="003B5FE4"/>
    <w:rsid w:val="003B7AC7"/>
    <w:rsid w:val="003C1430"/>
    <w:rsid w:val="003C1595"/>
    <w:rsid w:val="003C1F9E"/>
    <w:rsid w:val="003C2739"/>
    <w:rsid w:val="003C58A6"/>
    <w:rsid w:val="003C6035"/>
    <w:rsid w:val="003C6F21"/>
    <w:rsid w:val="003C7D12"/>
    <w:rsid w:val="003C7E13"/>
    <w:rsid w:val="003D1476"/>
    <w:rsid w:val="003D3087"/>
    <w:rsid w:val="003D3544"/>
    <w:rsid w:val="003D5CEE"/>
    <w:rsid w:val="003D6592"/>
    <w:rsid w:val="003D65C3"/>
    <w:rsid w:val="003E01B1"/>
    <w:rsid w:val="003E5BA2"/>
    <w:rsid w:val="003E5C37"/>
    <w:rsid w:val="003E79FF"/>
    <w:rsid w:val="003F10DE"/>
    <w:rsid w:val="003F18FD"/>
    <w:rsid w:val="003F33C2"/>
    <w:rsid w:val="003F46AF"/>
    <w:rsid w:val="003F4FAB"/>
    <w:rsid w:val="003F55B6"/>
    <w:rsid w:val="003F56F9"/>
    <w:rsid w:val="003F733C"/>
    <w:rsid w:val="003F7861"/>
    <w:rsid w:val="004005A0"/>
    <w:rsid w:val="00400F12"/>
    <w:rsid w:val="00401B57"/>
    <w:rsid w:val="004025FF"/>
    <w:rsid w:val="004026DF"/>
    <w:rsid w:val="0040277A"/>
    <w:rsid w:val="00402A76"/>
    <w:rsid w:val="00402EDF"/>
    <w:rsid w:val="0040342A"/>
    <w:rsid w:val="00403EF1"/>
    <w:rsid w:val="00404DAA"/>
    <w:rsid w:val="0040555F"/>
    <w:rsid w:val="004059F6"/>
    <w:rsid w:val="00406A60"/>
    <w:rsid w:val="004108CA"/>
    <w:rsid w:val="00412C4E"/>
    <w:rsid w:val="004135E9"/>
    <w:rsid w:val="0041401B"/>
    <w:rsid w:val="00414060"/>
    <w:rsid w:val="0041440D"/>
    <w:rsid w:val="00414DCF"/>
    <w:rsid w:val="0041630C"/>
    <w:rsid w:val="004164BA"/>
    <w:rsid w:val="0041692A"/>
    <w:rsid w:val="00416E0D"/>
    <w:rsid w:val="00417CC3"/>
    <w:rsid w:val="004202DA"/>
    <w:rsid w:val="00420F97"/>
    <w:rsid w:val="0042267D"/>
    <w:rsid w:val="00423C93"/>
    <w:rsid w:val="0042518B"/>
    <w:rsid w:val="004271D8"/>
    <w:rsid w:val="004311F1"/>
    <w:rsid w:val="0043133A"/>
    <w:rsid w:val="00432DE7"/>
    <w:rsid w:val="00432FE9"/>
    <w:rsid w:val="004337A1"/>
    <w:rsid w:val="00433E54"/>
    <w:rsid w:val="00436D59"/>
    <w:rsid w:val="00437A05"/>
    <w:rsid w:val="004424D7"/>
    <w:rsid w:val="00442E76"/>
    <w:rsid w:val="0044380B"/>
    <w:rsid w:val="004449C1"/>
    <w:rsid w:val="00444C8A"/>
    <w:rsid w:val="00445E31"/>
    <w:rsid w:val="00446023"/>
    <w:rsid w:val="00446679"/>
    <w:rsid w:val="00446F2F"/>
    <w:rsid w:val="00451D93"/>
    <w:rsid w:val="0045218B"/>
    <w:rsid w:val="0045230F"/>
    <w:rsid w:val="004538C4"/>
    <w:rsid w:val="00453C66"/>
    <w:rsid w:val="00453D72"/>
    <w:rsid w:val="00454DE7"/>
    <w:rsid w:val="00456D7E"/>
    <w:rsid w:val="0046128E"/>
    <w:rsid w:val="004614FA"/>
    <w:rsid w:val="00462B31"/>
    <w:rsid w:val="0046302A"/>
    <w:rsid w:val="004630EA"/>
    <w:rsid w:val="004634C5"/>
    <w:rsid w:val="00463719"/>
    <w:rsid w:val="004643B4"/>
    <w:rsid w:val="00465139"/>
    <w:rsid w:val="00466820"/>
    <w:rsid w:val="00467760"/>
    <w:rsid w:val="00470C94"/>
    <w:rsid w:val="00470E2E"/>
    <w:rsid w:val="004711B1"/>
    <w:rsid w:val="004721B4"/>
    <w:rsid w:val="004746A9"/>
    <w:rsid w:val="004768F1"/>
    <w:rsid w:val="0047719D"/>
    <w:rsid w:val="00477D3E"/>
    <w:rsid w:val="004801BF"/>
    <w:rsid w:val="004806C2"/>
    <w:rsid w:val="004816EF"/>
    <w:rsid w:val="00481B65"/>
    <w:rsid w:val="00485011"/>
    <w:rsid w:val="00485012"/>
    <w:rsid w:val="0048691A"/>
    <w:rsid w:val="0048747E"/>
    <w:rsid w:val="0049016A"/>
    <w:rsid w:val="004904EA"/>
    <w:rsid w:val="00491442"/>
    <w:rsid w:val="00495C06"/>
    <w:rsid w:val="00495DA6"/>
    <w:rsid w:val="00495E2A"/>
    <w:rsid w:val="004971F8"/>
    <w:rsid w:val="004A05E8"/>
    <w:rsid w:val="004A1676"/>
    <w:rsid w:val="004A237B"/>
    <w:rsid w:val="004A3670"/>
    <w:rsid w:val="004A47A7"/>
    <w:rsid w:val="004A487C"/>
    <w:rsid w:val="004A4DBA"/>
    <w:rsid w:val="004A5703"/>
    <w:rsid w:val="004A782D"/>
    <w:rsid w:val="004B13B0"/>
    <w:rsid w:val="004B18A3"/>
    <w:rsid w:val="004B2E64"/>
    <w:rsid w:val="004B3BF5"/>
    <w:rsid w:val="004B6FB3"/>
    <w:rsid w:val="004B74AD"/>
    <w:rsid w:val="004C04A7"/>
    <w:rsid w:val="004C0602"/>
    <w:rsid w:val="004C074C"/>
    <w:rsid w:val="004C0862"/>
    <w:rsid w:val="004C24ED"/>
    <w:rsid w:val="004C3B51"/>
    <w:rsid w:val="004C6CF6"/>
    <w:rsid w:val="004C75E5"/>
    <w:rsid w:val="004C7E0C"/>
    <w:rsid w:val="004D0A7D"/>
    <w:rsid w:val="004D0BCE"/>
    <w:rsid w:val="004D10DF"/>
    <w:rsid w:val="004D2643"/>
    <w:rsid w:val="004D3072"/>
    <w:rsid w:val="004D37A1"/>
    <w:rsid w:val="004D3D56"/>
    <w:rsid w:val="004D5907"/>
    <w:rsid w:val="004D5D54"/>
    <w:rsid w:val="004D6298"/>
    <w:rsid w:val="004D6744"/>
    <w:rsid w:val="004D6811"/>
    <w:rsid w:val="004D68B1"/>
    <w:rsid w:val="004D7094"/>
    <w:rsid w:val="004D7ABA"/>
    <w:rsid w:val="004E064B"/>
    <w:rsid w:val="004E28AC"/>
    <w:rsid w:val="004E2C33"/>
    <w:rsid w:val="004E37C7"/>
    <w:rsid w:val="004E4D6B"/>
    <w:rsid w:val="004E4EF6"/>
    <w:rsid w:val="004E5FB3"/>
    <w:rsid w:val="004E610B"/>
    <w:rsid w:val="004E6CC9"/>
    <w:rsid w:val="004E6E2C"/>
    <w:rsid w:val="004E7A19"/>
    <w:rsid w:val="004E7C77"/>
    <w:rsid w:val="004F053B"/>
    <w:rsid w:val="004F14F8"/>
    <w:rsid w:val="004F20A9"/>
    <w:rsid w:val="004F36E5"/>
    <w:rsid w:val="004F36F4"/>
    <w:rsid w:val="004F3C78"/>
    <w:rsid w:val="00500E02"/>
    <w:rsid w:val="00500E58"/>
    <w:rsid w:val="005011C8"/>
    <w:rsid w:val="00502591"/>
    <w:rsid w:val="00502D74"/>
    <w:rsid w:val="00502FE9"/>
    <w:rsid w:val="00503681"/>
    <w:rsid w:val="005037A8"/>
    <w:rsid w:val="005060D2"/>
    <w:rsid w:val="00507ADC"/>
    <w:rsid w:val="005102EF"/>
    <w:rsid w:val="0051102C"/>
    <w:rsid w:val="005114D5"/>
    <w:rsid w:val="00511E23"/>
    <w:rsid w:val="00512651"/>
    <w:rsid w:val="0051506D"/>
    <w:rsid w:val="0051536A"/>
    <w:rsid w:val="005158A6"/>
    <w:rsid w:val="0051703F"/>
    <w:rsid w:val="005170C9"/>
    <w:rsid w:val="005206E0"/>
    <w:rsid w:val="00520745"/>
    <w:rsid w:val="005207BA"/>
    <w:rsid w:val="00520EA4"/>
    <w:rsid w:val="005215E3"/>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455B8"/>
    <w:rsid w:val="0054652F"/>
    <w:rsid w:val="00550321"/>
    <w:rsid w:val="00550716"/>
    <w:rsid w:val="005510BB"/>
    <w:rsid w:val="00551E5D"/>
    <w:rsid w:val="00554856"/>
    <w:rsid w:val="00554B81"/>
    <w:rsid w:val="00554EB0"/>
    <w:rsid w:val="00554FA6"/>
    <w:rsid w:val="0055646C"/>
    <w:rsid w:val="005566C2"/>
    <w:rsid w:val="00556B2C"/>
    <w:rsid w:val="00557A2E"/>
    <w:rsid w:val="00560EDE"/>
    <w:rsid w:val="005614FE"/>
    <w:rsid w:val="00561E1E"/>
    <w:rsid w:val="005639E3"/>
    <w:rsid w:val="005650BA"/>
    <w:rsid w:val="005657F4"/>
    <w:rsid w:val="00567060"/>
    <w:rsid w:val="00567BA7"/>
    <w:rsid w:val="005717EE"/>
    <w:rsid w:val="00573B28"/>
    <w:rsid w:val="00575221"/>
    <w:rsid w:val="005768D8"/>
    <w:rsid w:val="005825D1"/>
    <w:rsid w:val="00582955"/>
    <w:rsid w:val="00582F4B"/>
    <w:rsid w:val="0058361B"/>
    <w:rsid w:val="005836E7"/>
    <w:rsid w:val="00583E47"/>
    <w:rsid w:val="00584A7B"/>
    <w:rsid w:val="00585AC8"/>
    <w:rsid w:val="00587CDC"/>
    <w:rsid w:val="00592EC7"/>
    <w:rsid w:val="0059314A"/>
    <w:rsid w:val="00595256"/>
    <w:rsid w:val="00595A33"/>
    <w:rsid w:val="005A0BB7"/>
    <w:rsid w:val="005A1D7B"/>
    <w:rsid w:val="005A22A1"/>
    <w:rsid w:val="005A2C5C"/>
    <w:rsid w:val="005A3B1A"/>
    <w:rsid w:val="005A3BAC"/>
    <w:rsid w:val="005A4B5F"/>
    <w:rsid w:val="005A4EAE"/>
    <w:rsid w:val="005A5258"/>
    <w:rsid w:val="005A6134"/>
    <w:rsid w:val="005A76ED"/>
    <w:rsid w:val="005B0A3E"/>
    <w:rsid w:val="005B0F2E"/>
    <w:rsid w:val="005B1B08"/>
    <w:rsid w:val="005B203E"/>
    <w:rsid w:val="005B2419"/>
    <w:rsid w:val="005B36D1"/>
    <w:rsid w:val="005B4409"/>
    <w:rsid w:val="005B4B32"/>
    <w:rsid w:val="005B4D29"/>
    <w:rsid w:val="005B5476"/>
    <w:rsid w:val="005B5551"/>
    <w:rsid w:val="005B708B"/>
    <w:rsid w:val="005B73D4"/>
    <w:rsid w:val="005C046E"/>
    <w:rsid w:val="005C1FE9"/>
    <w:rsid w:val="005C3246"/>
    <w:rsid w:val="005C5077"/>
    <w:rsid w:val="005C779D"/>
    <w:rsid w:val="005D034B"/>
    <w:rsid w:val="005D0750"/>
    <w:rsid w:val="005D1455"/>
    <w:rsid w:val="005D1DF7"/>
    <w:rsid w:val="005D1E54"/>
    <w:rsid w:val="005D29E8"/>
    <w:rsid w:val="005D2CB8"/>
    <w:rsid w:val="005D4342"/>
    <w:rsid w:val="005D5BF9"/>
    <w:rsid w:val="005D5D3F"/>
    <w:rsid w:val="005D6902"/>
    <w:rsid w:val="005D69D0"/>
    <w:rsid w:val="005D77BD"/>
    <w:rsid w:val="005D7CF1"/>
    <w:rsid w:val="005D7DE7"/>
    <w:rsid w:val="005E0974"/>
    <w:rsid w:val="005E21CA"/>
    <w:rsid w:val="005E2A4C"/>
    <w:rsid w:val="005E2A9E"/>
    <w:rsid w:val="005E3106"/>
    <w:rsid w:val="005E3458"/>
    <w:rsid w:val="005E3DEF"/>
    <w:rsid w:val="005E564A"/>
    <w:rsid w:val="005E5B77"/>
    <w:rsid w:val="005E6E6F"/>
    <w:rsid w:val="005E7032"/>
    <w:rsid w:val="005F11B2"/>
    <w:rsid w:val="005F299D"/>
    <w:rsid w:val="005F4E4B"/>
    <w:rsid w:val="005F5793"/>
    <w:rsid w:val="005F581E"/>
    <w:rsid w:val="005F58FB"/>
    <w:rsid w:val="005F68C6"/>
    <w:rsid w:val="005F7556"/>
    <w:rsid w:val="005F7932"/>
    <w:rsid w:val="00601F98"/>
    <w:rsid w:val="006031F3"/>
    <w:rsid w:val="006041AA"/>
    <w:rsid w:val="00604361"/>
    <w:rsid w:val="0060483B"/>
    <w:rsid w:val="0060545C"/>
    <w:rsid w:val="00605820"/>
    <w:rsid w:val="00607C63"/>
    <w:rsid w:val="00607F45"/>
    <w:rsid w:val="006107C7"/>
    <w:rsid w:val="00611470"/>
    <w:rsid w:val="00613126"/>
    <w:rsid w:val="00613301"/>
    <w:rsid w:val="00613421"/>
    <w:rsid w:val="00613B9C"/>
    <w:rsid w:val="00614AE5"/>
    <w:rsid w:val="00614AFE"/>
    <w:rsid w:val="00617FE5"/>
    <w:rsid w:val="0062012E"/>
    <w:rsid w:val="00620204"/>
    <w:rsid w:val="00620463"/>
    <w:rsid w:val="00620BCD"/>
    <w:rsid w:val="00621FF2"/>
    <w:rsid w:val="006241C3"/>
    <w:rsid w:val="00624E88"/>
    <w:rsid w:val="00624EE6"/>
    <w:rsid w:val="00625BFD"/>
    <w:rsid w:val="00626160"/>
    <w:rsid w:val="0062669D"/>
    <w:rsid w:val="006301CF"/>
    <w:rsid w:val="0063039E"/>
    <w:rsid w:val="006329DC"/>
    <w:rsid w:val="0063341E"/>
    <w:rsid w:val="006337CE"/>
    <w:rsid w:val="00635CDC"/>
    <w:rsid w:val="00636526"/>
    <w:rsid w:val="00636ACC"/>
    <w:rsid w:val="00637116"/>
    <w:rsid w:val="00637B21"/>
    <w:rsid w:val="00637D8E"/>
    <w:rsid w:val="00640C77"/>
    <w:rsid w:val="00642EA4"/>
    <w:rsid w:val="0064301F"/>
    <w:rsid w:val="00643E25"/>
    <w:rsid w:val="00646026"/>
    <w:rsid w:val="00652342"/>
    <w:rsid w:val="006528C1"/>
    <w:rsid w:val="00655D8B"/>
    <w:rsid w:val="00656109"/>
    <w:rsid w:val="00657D03"/>
    <w:rsid w:val="0066008C"/>
    <w:rsid w:val="006608D3"/>
    <w:rsid w:val="00660FA1"/>
    <w:rsid w:val="00662F0D"/>
    <w:rsid w:val="006630B5"/>
    <w:rsid w:val="00663610"/>
    <w:rsid w:val="0066469E"/>
    <w:rsid w:val="006646FF"/>
    <w:rsid w:val="00664A42"/>
    <w:rsid w:val="0066525D"/>
    <w:rsid w:val="00665D8D"/>
    <w:rsid w:val="006660BC"/>
    <w:rsid w:val="00666B18"/>
    <w:rsid w:val="00667F79"/>
    <w:rsid w:val="0067054B"/>
    <w:rsid w:val="0067076A"/>
    <w:rsid w:val="00671399"/>
    <w:rsid w:val="00671EDB"/>
    <w:rsid w:val="00673B2C"/>
    <w:rsid w:val="00673B7B"/>
    <w:rsid w:val="006741DD"/>
    <w:rsid w:val="00674BF6"/>
    <w:rsid w:val="00675052"/>
    <w:rsid w:val="0067580B"/>
    <w:rsid w:val="00675DED"/>
    <w:rsid w:val="00676641"/>
    <w:rsid w:val="00677F4F"/>
    <w:rsid w:val="00680FA3"/>
    <w:rsid w:val="00682417"/>
    <w:rsid w:val="00682698"/>
    <w:rsid w:val="006829D0"/>
    <w:rsid w:val="00682E03"/>
    <w:rsid w:val="006841AC"/>
    <w:rsid w:val="00684AA7"/>
    <w:rsid w:val="00685302"/>
    <w:rsid w:val="006859EC"/>
    <w:rsid w:val="00685A5E"/>
    <w:rsid w:val="0068612B"/>
    <w:rsid w:val="006877AB"/>
    <w:rsid w:val="0069012A"/>
    <w:rsid w:val="00690457"/>
    <w:rsid w:val="00690DCE"/>
    <w:rsid w:val="00691C70"/>
    <w:rsid w:val="006927B1"/>
    <w:rsid w:val="006944AF"/>
    <w:rsid w:val="00695B6C"/>
    <w:rsid w:val="006A223A"/>
    <w:rsid w:val="006A2D7E"/>
    <w:rsid w:val="006A4644"/>
    <w:rsid w:val="006A4912"/>
    <w:rsid w:val="006A51D1"/>
    <w:rsid w:val="006B25E3"/>
    <w:rsid w:val="006B33AA"/>
    <w:rsid w:val="006B4684"/>
    <w:rsid w:val="006B4B61"/>
    <w:rsid w:val="006B51DE"/>
    <w:rsid w:val="006B5511"/>
    <w:rsid w:val="006B5673"/>
    <w:rsid w:val="006B576D"/>
    <w:rsid w:val="006B6E18"/>
    <w:rsid w:val="006B7FC3"/>
    <w:rsid w:val="006C0DFA"/>
    <w:rsid w:val="006C1066"/>
    <w:rsid w:val="006C23B4"/>
    <w:rsid w:val="006C3EB8"/>
    <w:rsid w:val="006C4587"/>
    <w:rsid w:val="006C4774"/>
    <w:rsid w:val="006C4806"/>
    <w:rsid w:val="006C5D45"/>
    <w:rsid w:val="006C60D8"/>
    <w:rsid w:val="006C6576"/>
    <w:rsid w:val="006D022A"/>
    <w:rsid w:val="006D0FEF"/>
    <w:rsid w:val="006D1CDF"/>
    <w:rsid w:val="006D2031"/>
    <w:rsid w:val="006D736A"/>
    <w:rsid w:val="006D7481"/>
    <w:rsid w:val="006E0A7E"/>
    <w:rsid w:val="006E1893"/>
    <w:rsid w:val="006E39F0"/>
    <w:rsid w:val="006E41D5"/>
    <w:rsid w:val="006E4724"/>
    <w:rsid w:val="006E4E61"/>
    <w:rsid w:val="006E5944"/>
    <w:rsid w:val="006E642A"/>
    <w:rsid w:val="006E6FAB"/>
    <w:rsid w:val="006E7640"/>
    <w:rsid w:val="006E78D0"/>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813"/>
    <w:rsid w:val="007118FF"/>
    <w:rsid w:val="00711D03"/>
    <w:rsid w:val="00711E23"/>
    <w:rsid w:val="00712139"/>
    <w:rsid w:val="00712418"/>
    <w:rsid w:val="00712480"/>
    <w:rsid w:val="00712BA6"/>
    <w:rsid w:val="007139D5"/>
    <w:rsid w:val="00713F34"/>
    <w:rsid w:val="00715163"/>
    <w:rsid w:val="00715C23"/>
    <w:rsid w:val="00716834"/>
    <w:rsid w:val="00720F8E"/>
    <w:rsid w:val="0072112C"/>
    <w:rsid w:val="007213D1"/>
    <w:rsid w:val="00721D10"/>
    <w:rsid w:val="007226A0"/>
    <w:rsid w:val="007244C3"/>
    <w:rsid w:val="007247FE"/>
    <w:rsid w:val="00725A73"/>
    <w:rsid w:val="00726568"/>
    <w:rsid w:val="00727A5E"/>
    <w:rsid w:val="00732006"/>
    <w:rsid w:val="0073201B"/>
    <w:rsid w:val="0073230D"/>
    <w:rsid w:val="00734322"/>
    <w:rsid w:val="00734332"/>
    <w:rsid w:val="007359CA"/>
    <w:rsid w:val="007361D2"/>
    <w:rsid w:val="007367A6"/>
    <w:rsid w:val="00736B4A"/>
    <w:rsid w:val="00736BC6"/>
    <w:rsid w:val="00736F45"/>
    <w:rsid w:val="007371D2"/>
    <w:rsid w:val="007375D3"/>
    <w:rsid w:val="0074025D"/>
    <w:rsid w:val="00743BA1"/>
    <w:rsid w:val="007448EA"/>
    <w:rsid w:val="00750748"/>
    <w:rsid w:val="007508DC"/>
    <w:rsid w:val="00750C8C"/>
    <w:rsid w:val="0075165F"/>
    <w:rsid w:val="00751AA6"/>
    <w:rsid w:val="00751DE9"/>
    <w:rsid w:val="00752B91"/>
    <w:rsid w:val="00752D4E"/>
    <w:rsid w:val="00753624"/>
    <w:rsid w:val="00753731"/>
    <w:rsid w:val="00754263"/>
    <w:rsid w:val="00754BB9"/>
    <w:rsid w:val="00755832"/>
    <w:rsid w:val="00756178"/>
    <w:rsid w:val="007572B1"/>
    <w:rsid w:val="00757E79"/>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5942"/>
    <w:rsid w:val="00775D73"/>
    <w:rsid w:val="0077770D"/>
    <w:rsid w:val="007805B7"/>
    <w:rsid w:val="0078187B"/>
    <w:rsid w:val="00781E8B"/>
    <w:rsid w:val="00782C4B"/>
    <w:rsid w:val="00782D37"/>
    <w:rsid w:val="00782E8B"/>
    <w:rsid w:val="007833EB"/>
    <w:rsid w:val="00783F12"/>
    <w:rsid w:val="007844A5"/>
    <w:rsid w:val="007844B5"/>
    <w:rsid w:val="00785505"/>
    <w:rsid w:val="0078679E"/>
    <w:rsid w:val="00790181"/>
    <w:rsid w:val="0079093B"/>
    <w:rsid w:val="00793DD4"/>
    <w:rsid w:val="007940B9"/>
    <w:rsid w:val="007948C8"/>
    <w:rsid w:val="0079493B"/>
    <w:rsid w:val="007949EB"/>
    <w:rsid w:val="00794A0D"/>
    <w:rsid w:val="007974D1"/>
    <w:rsid w:val="00797834"/>
    <w:rsid w:val="007A035A"/>
    <w:rsid w:val="007A277C"/>
    <w:rsid w:val="007A2E96"/>
    <w:rsid w:val="007A32A8"/>
    <w:rsid w:val="007A3EA7"/>
    <w:rsid w:val="007A5DB9"/>
    <w:rsid w:val="007A60F1"/>
    <w:rsid w:val="007A7525"/>
    <w:rsid w:val="007B0D35"/>
    <w:rsid w:val="007B1F40"/>
    <w:rsid w:val="007B26E5"/>
    <w:rsid w:val="007B498C"/>
    <w:rsid w:val="007B4EC3"/>
    <w:rsid w:val="007B56BA"/>
    <w:rsid w:val="007B58AB"/>
    <w:rsid w:val="007B5E36"/>
    <w:rsid w:val="007C0305"/>
    <w:rsid w:val="007C03A4"/>
    <w:rsid w:val="007C1731"/>
    <w:rsid w:val="007C2865"/>
    <w:rsid w:val="007C2D53"/>
    <w:rsid w:val="007C38C3"/>
    <w:rsid w:val="007C45D1"/>
    <w:rsid w:val="007C5195"/>
    <w:rsid w:val="007C5B93"/>
    <w:rsid w:val="007C5C8B"/>
    <w:rsid w:val="007C6EF2"/>
    <w:rsid w:val="007C7833"/>
    <w:rsid w:val="007C7FE0"/>
    <w:rsid w:val="007D0159"/>
    <w:rsid w:val="007D0443"/>
    <w:rsid w:val="007D0B0E"/>
    <w:rsid w:val="007D0EEA"/>
    <w:rsid w:val="007D140A"/>
    <w:rsid w:val="007D145E"/>
    <w:rsid w:val="007D3DAD"/>
    <w:rsid w:val="007D42F0"/>
    <w:rsid w:val="007D62FE"/>
    <w:rsid w:val="007E08FD"/>
    <w:rsid w:val="007E1EE5"/>
    <w:rsid w:val="007E27F3"/>
    <w:rsid w:val="007E2CDF"/>
    <w:rsid w:val="007E2D71"/>
    <w:rsid w:val="007E34F2"/>
    <w:rsid w:val="007E4BF2"/>
    <w:rsid w:val="007E4E7B"/>
    <w:rsid w:val="007E4F12"/>
    <w:rsid w:val="007E4F5F"/>
    <w:rsid w:val="007E5140"/>
    <w:rsid w:val="007E56FA"/>
    <w:rsid w:val="007E6A69"/>
    <w:rsid w:val="007F0085"/>
    <w:rsid w:val="007F058D"/>
    <w:rsid w:val="007F202E"/>
    <w:rsid w:val="007F2218"/>
    <w:rsid w:val="007F2A07"/>
    <w:rsid w:val="007F4BA2"/>
    <w:rsid w:val="007F4DBD"/>
    <w:rsid w:val="007F7FC3"/>
    <w:rsid w:val="00800BAF"/>
    <w:rsid w:val="00801B9E"/>
    <w:rsid w:val="00801C2C"/>
    <w:rsid w:val="00802F22"/>
    <w:rsid w:val="00803532"/>
    <w:rsid w:val="008054F8"/>
    <w:rsid w:val="0080698D"/>
    <w:rsid w:val="008102A3"/>
    <w:rsid w:val="00811577"/>
    <w:rsid w:val="00811700"/>
    <w:rsid w:val="00811D53"/>
    <w:rsid w:val="00813721"/>
    <w:rsid w:val="00815266"/>
    <w:rsid w:val="0081598C"/>
    <w:rsid w:val="00816570"/>
    <w:rsid w:val="00817DE7"/>
    <w:rsid w:val="00822F5F"/>
    <w:rsid w:val="00824490"/>
    <w:rsid w:val="0082641B"/>
    <w:rsid w:val="008301FA"/>
    <w:rsid w:val="00830F6C"/>
    <w:rsid w:val="00831437"/>
    <w:rsid w:val="00831DF1"/>
    <w:rsid w:val="00832290"/>
    <w:rsid w:val="008336A6"/>
    <w:rsid w:val="00833BE5"/>
    <w:rsid w:val="008341C7"/>
    <w:rsid w:val="008346FE"/>
    <w:rsid w:val="00835D2D"/>
    <w:rsid w:val="0083673C"/>
    <w:rsid w:val="00837075"/>
    <w:rsid w:val="008372E1"/>
    <w:rsid w:val="00841001"/>
    <w:rsid w:val="0084129C"/>
    <w:rsid w:val="00845CB1"/>
    <w:rsid w:val="00847F9C"/>
    <w:rsid w:val="00850624"/>
    <w:rsid w:val="008508AB"/>
    <w:rsid w:val="008518C0"/>
    <w:rsid w:val="00851B3E"/>
    <w:rsid w:val="0085369E"/>
    <w:rsid w:val="008541C6"/>
    <w:rsid w:val="008546EA"/>
    <w:rsid w:val="00854795"/>
    <w:rsid w:val="00854B7E"/>
    <w:rsid w:val="00854BDD"/>
    <w:rsid w:val="00855F38"/>
    <w:rsid w:val="00857CB1"/>
    <w:rsid w:val="008600F8"/>
    <w:rsid w:val="00860429"/>
    <w:rsid w:val="00860741"/>
    <w:rsid w:val="00860D85"/>
    <w:rsid w:val="00860F74"/>
    <w:rsid w:val="0086141A"/>
    <w:rsid w:val="00861DD3"/>
    <w:rsid w:val="0086225F"/>
    <w:rsid w:val="00862F05"/>
    <w:rsid w:val="00863833"/>
    <w:rsid w:val="008648CF"/>
    <w:rsid w:val="00864AF6"/>
    <w:rsid w:val="00864D7F"/>
    <w:rsid w:val="00867BC6"/>
    <w:rsid w:val="00867F9E"/>
    <w:rsid w:val="00870042"/>
    <w:rsid w:val="00870189"/>
    <w:rsid w:val="0087054B"/>
    <w:rsid w:val="00871395"/>
    <w:rsid w:val="0087332A"/>
    <w:rsid w:val="008733CD"/>
    <w:rsid w:val="0087353B"/>
    <w:rsid w:val="008735ED"/>
    <w:rsid w:val="00874F55"/>
    <w:rsid w:val="00874FDF"/>
    <w:rsid w:val="008752B6"/>
    <w:rsid w:val="00875833"/>
    <w:rsid w:val="00881B7C"/>
    <w:rsid w:val="00881F98"/>
    <w:rsid w:val="008826C1"/>
    <w:rsid w:val="008846DF"/>
    <w:rsid w:val="00884CF6"/>
    <w:rsid w:val="0088552B"/>
    <w:rsid w:val="008867C9"/>
    <w:rsid w:val="008867F6"/>
    <w:rsid w:val="00890BC2"/>
    <w:rsid w:val="00891692"/>
    <w:rsid w:val="008926A5"/>
    <w:rsid w:val="00892E6B"/>
    <w:rsid w:val="008933C5"/>
    <w:rsid w:val="00893F8B"/>
    <w:rsid w:val="008943DD"/>
    <w:rsid w:val="008947B8"/>
    <w:rsid w:val="00894822"/>
    <w:rsid w:val="00894D74"/>
    <w:rsid w:val="0089792C"/>
    <w:rsid w:val="008A02D7"/>
    <w:rsid w:val="008A175F"/>
    <w:rsid w:val="008A28FE"/>
    <w:rsid w:val="008A33E0"/>
    <w:rsid w:val="008A4DE5"/>
    <w:rsid w:val="008A4EEE"/>
    <w:rsid w:val="008A5428"/>
    <w:rsid w:val="008A5B42"/>
    <w:rsid w:val="008B00CF"/>
    <w:rsid w:val="008B0974"/>
    <w:rsid w:val="008B134C"/>
    <w:rsid w:val="008B217E"/>
    <w:rsid w:val="008B273A"/>
    <w:rsid w:val="008B2AC5"/>
    <w:rsid w:val="008B3514"/>
    <w:rsid w:val="008B4394"/>
    <w:rsid w:val="008B4B6D"/>
    <w:rsid w:val="008B4E46"/>
    <w:rsid w:val="008B5E0E"/>
    <w:rsid w:val="008B5E69"/>
    <w:rsid w:val="008B6124"/>
    <w:rsid w:val="008B7587"/>
    <w:rsid w:val="008C106B"/>
    <w:rsid w:val="008C191A"/>
    <w:rsid w:val="008C2520"/>
    <w:rsid w:val="008C2671"/>
    <w:rsid w:val="008C2EF2"/>
    <w:rsid w:val="008C3434"/>
    <w:rsid w:val="008C377F"/>
    <w:rsid w:val="008C40D1"/>
    <w:rsid w:val="008C485E"/>
    <w:rsid w:val="008C4D45"/>
    <w:rsid w:val="008C5CBB"/>
    <w:rsid w:val="008C6391"/>
    <w:rsid w:val="008D21DC"/>
    <w:rsid w:val="008D428C"/>
    <w:rsid w:val="008D575B"/>
    <w:rsid w:val="008E0784"/>
    <w:rsid w:val="008E0BFA"/>
    <w:rsid w:val="008E145B"/>
    <w:rsid w:val="008E174B"/>
    <w:rsid w:val="008E1B27"/>
    <w:rsid w:val="008E366E"/>
    <w:rsid w:val="008E3827"/>
    <w:rsid w:val="008E3C6A"/>
    <w:rsid w:val="008E4D79"/>
    <w:rsid w:val="008E50FA"/>
    <w:rsid w:val="008E5110"/>
    <w:rsid w:val="008E55EA"/>
    <w:rsid w:val="008E5CBD"/>
    <w:rsid w:val="008E662E"/>
    <w:rsid w:val="008E67A5"/>
    <w:rsid w:val="008E6FD2"/>
    <w:rsid w:val="008E75A1"/>
    <w:rsid w:val="008E780A"/>
    <w:rsid w:val="008E7995"/>
    <w:rsid w:val="008F02A2"/>
    <w:rsid w:val="008F0AA2"/>
    <w:rsid w:val="008F13D5"/>
    <w:rsid w:val="008F2B49"/>
    <w:rsid w:val="008F3580"/>
    <w:rsid w:val="008F490A"/>
    <w:rsid w:val="008F5868"/>
    <w:rsid w:val="008F5EBE"/>
    <w:rsid w:val="008F707E"/>
    <w:rsid w:val="008F7FC1"/>
    <w:rsid w:val="00900354"/>
    <w:rsid w:val="00900A16"/>
    <w:rsid w:val="00900F4E"/>
    <w:rsid w:val="00901BE7"/>
    <w:rsid w:val="00902D11"/>
    <w:rsid w:val="00905546"/>
    <w:rsid w:val="00906A7E"/>
    <w:rsid w:val="00906F87"/>
    <w:rsid w:val="00910B8D"/>
    <w:rsid w:val="00911643"/>
    <w:rsid w:val="00911929"/>
    <w:rsid w:val="00912CDF"/>
    <w:rsid w:val="009133AE"/>
    <w:rsid w:val="0091717E"/>
    <w:rsid w:val="00920369"/>
    <w:rsid w:val="00920528"/>
    <w:rsid w:val="009209CA"/>
    <w:rsid w:val="00920BF8"/>
    <w:rsid w:val="00920E1A"/>
    <w:rsid w:val="0092260B"/>
    <w:rsid w:val="00922FC7"/>
    <w:rsid w:val="009232D2"/>
    <w:rsid w:val="009241F6"/>
    <w:rsid w:val="00926309"/>
    <w:rsid w:val="009301C5"/>
    <w:rsid w:val="00930FF9"/>
    <w:rsid w:val="00931068"/>
    <w:rsid w:val="00932D21"/>
    <w:rsid w:val="009338BD"/>
    <w:rsid w:val="00933C83"/>
    <w:rsid w:val="00933DC2"/>
    <w:rsid w:val="00934171"/>
    <w:rsid w:val="0093547E"/>
    <w:rsid w:val="00935FB4"/>
    <w:rsid w:val="00936839"/>
    <w:rsid w:val="0093763F"/>
    <w:rsid w:val="00941FC5"/>
    <w:rsid w:val="00942500"/>
    <w:rsid w:val="0094405E"/>
    <w:rsid w:val="00945EFA"/>
    <w:rsid w:val="00946910"/>
    <w:rsid w:val="00946D19"/>
    <w:rsid w:val="009471B7"/>
    <w:rsid w:val="00947ED9"/>
    <w:rsid w:val="009503AA"/>
    <w:rsid w:val="0095279F"/>
    <w:rsid w:val="00952A57"/>
    <w:rsid w:val="00954F05"/>
    <w:rsid w:val="009560D0"/>
    <w:rsid w:val="00956912"/>
    <w:rsid w:val="00956D08"/>
    <w:rsid w:val="00957643"/>
    <w:rsid w:val="00957A4A"/>
    <w:rsid w:val="009602D6"/>
    <w:rsid w:val="009608AE"/>
    <w:rsid w:val="00960A37"/>
    <w:rsid w:val="00961463"/>
    <w:rsid w:val="009617BF"/>
    <w:rsid w:val="00963BE5"/>
    <w:rsid w:val="009659AC"/>
    <w:rsid w:val="00965CE9"/>
    <w:rsid w:val="00967830"/>
    <w:rsid w:val="00971403"/>
    <w:rsid w:val="009723A9"/>
    <w:rsid w:val="00973DE8"/>
    <w:rsid w:val="00973DE9"/>
    <w:rsid w:val="00973F0D"/>
    <w:rsid w:val="00974893"/>
    <w:rsid w:val="00974A69"/>
    <w:rsid w:val="00975670"/>
    <w:rsid w:val="009758A5"/>
    <w:rsid w:val="00975F25"/>
    <w:rsid w:val="00976783"/>
    <w:rsid w:val="00977C7F"/>
    <w:rsid w:val="0098012B"/>
    <w:rsid w:val="009811A2"/>
    <w:rsid w:val="0098289F"/>
    <w:rsid w:val="00983357"/>
    <w:rsid w:val="00983C00"/>
    <w:rsid w:val="00984686"/>
    <w:rsid w:val="0099061D"/>
    <w:rsid w:val="00991BD0"/>
    <w:rsid w:val="00991EF5"/>
    <w:rsid w:val="00992E88"/>
    <w:rsid w:val="0099304A"/>
    <w:rsid w:val="00994A19"/>
    <w:rsid w:val="00997156"/>
    <w:rsid w:val="009976AD"/>
    <w:rsid w:val="00997AA3"/>
    <w:rsid w:val="009A0442"/>
    <w:rsid w:val="009A0E7F"/>
    <w:rsid w:val="009A1011"/>
    <w:rsid w:val="009A1ABD"/>
    <w:rsid w:val="009A1C84"/>
    <w:rsid w:val="009A21AF"/>
    <w:rsid w:val="009A3A89"/>
    <w:rsid w:val="009A6D7A"/>
    <w:rsid w:val="009A7C42"/>
    <w:rsid w:val="009B0A7E"/>
    <w:rsid w:val="009B3A9D"/>
    <w:rsid w:val="009B5668"/>
    <w:rsid w:val="009B57D6"/>
    <w:rsid w:val="009B5B0F"/>
    <w:rsid w:val="009B62E3"/>
    <w:rsid w:val="009B6791"/>
    <w:rsid w:val="009B720E"/>
    <w:rsid w:val="009C3A4A"/>
    <w:rsid w:val="009C4616"/>
    <w:rsid w:val="009C6026"/>
    <w:rsid w:val="009C6EDF"/>
    <w:rsid w:val="009D0EBD"/>
    <w:rsid w:val="009D0FB6"/>
    <w:rsid w:val="009D231D"/>
    <w:rsid w:val="009D26AF"/>
    <w:rsid w:val="009D3857"/>
    <w:rsid w:val="009D397A"/>
    <w:rsid w:val="009D3E6F"/>
    <w:rsid w:val="009D4B5A"/>
    <w:rsid w:val="009D6598"/>
    <w:rsid w:val="009D665F"/>
    <w:rsid w:val="009E0EBE"/>
    <w:rsid w:val="009E176E"/>
    <w:rsid w:val="009E2CBF"/>
    <w:rsid w:val="009E2EA6"/>
    <w:rsid w:val="009E4BEC"/>
    <w:rsid w:val="009E4EE1"/>
    <w:rsid w:val="009E6C2F"/>
    <w:rsid w:val="009F0862"/>
    <w:rsid w:val="009F12EF"/>
    <w:rsid w:val="009F687C"/>
    <w:rsid w:val="009F7D09"/>
    <w:rsid w:val="00A003BB"/>
    <w:rsid w:val="00A009AA"/>
    <w:rsid w:val="00A00A8B"/>
    <w:rsid w:val="00A01503"/>
    <w:rsid w:val="00A01A91"/>
    <w:rsid w:val="00A0231E"/>
    <w:rsid w:val="00A025EC"/>
    <w:rsid w:val="00A03816"/>
    <w:rsid w:val="00A03D0E"/>
    <w:rsid w:val="00A043FC"/>
    <w:rsid w:val="00A0462F"/>
    <w:rsid w:val="00A10B10"/>
    <w:rsid w:val="00A12348"/>
    <w:rsid w:val="00A1396F"/>
    <w:rsid w:val="00A17C5D"/>
    <w:rsid w:val="00A21212"/>
    <w:rsid w:val="00A21295"/>
    <w:rsid w:val="00A237F0"/>
    <w:rsid w:val="00A23B31"/>
    <w:rsid w:val="00A24056"/>
    <w:rsid w:val="00A2650C"/>
    <w:rsid w:val="00A26D27"/>
    <w:rsid w:val="00A27161"/>
    <w:rsid w:val="00A2728E"/>
    <w:rsid w:val="00A279CE"/>
    <w:rsid w:val="00A27CC2"/>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1DF1"/>
    <w:rsid w:val="00A42008"/>
    <w:rsid w:val="00A4258F"/>
    <w:rsid w:val="00A42977"/>
    <w:rsid w:val="00A43391"/>
    <w:rsid w:val="00A44972"/>
    <w:rsid w:val="00A46F1A"/>
    <w:rsid w:val="00A50B5E"/>
    <w:rsid w:val="00A51816"/>
    <w:rsid w:val="00A524E0"/>
    <w:rsid w:val="00A53010"/>
    <w:rsid w:val="00A55346"/>
    <w:rsid w:val="00A55705"/>
    <w:rsid w:val="00A5625F"/>
    <w:rsid w:val="00A56467"/>
    <w:rsid w:val="00A572DA"/>
    <w:rsid w:val="00A573EC"/>
    <w:rsid w:val="00A60207"/>
    <w:rsid w:val="00A60B5A"/>
    <w:rsid w:val="00A61E1C"/>
    <w:rsid w:val="00A62A54"/>
    <w:rsid w:val="00A633B7"/>
    <w:rsid w:val="00A63B5A"/>
    <w:rsid w:val="00A6599E"/>
    <w:rsid w:val="00A66BB4"/>
    <w:rsid w:val="00A66FA9"/>
    <w:rsid w:val="00A67785"/>
    <w:rsid w:val="00A677C0"/>
    <w:rsid w:val="00A70B51"/>
    <w:rsid w:val="00A7150F"/>
    <w:rsid w:val="00A72F31"/>
    <w:rsid w:val="00A73365"/>
    <w:rsid w:val="00A73AE5"/>
    <w:rsid w:val="00A73CD5"/>
    <w:rsid w:val="00A7416C"/>
    <w:rsid w:val="00A7571B"/>
    <w:rsid w:val="00A7649A"/>
    <w:rsid w:val="00A8145F"/>
    <w:rsid w:val="00A83642"/>
    <w:rsid w:val="00A83B3E"/>
    <w:rsid w:val="00A84A6E"/>
    <w:rsid w:val="00A86D19"/>
    <w:rsid w:val="00A9055C"/>
    <w:rsid w:val="00A9132B"/>
    <w:rsid w:val="00A92D64"/>
    <w:rsid w:val="00A92EFE"/>
    <w:rsid w:val="00A9315A"/>
    <w:rsid w:val="00A942CE"/>
    <w:rsid w:val="00A94424"/>
    <w:rsid w:val="00A9480B"/>
    <w:rsid w:val="00A9593A"/>
    <w:rsid w:val="00A96536"/>
    <w:rsid w:val="00A97252"/>
    <w:rsid w:val="00A97955"/>
    <w:rsid w:val="00A97DD2"/>
    <w:rsid w:val="00AA2268"/>
    <w:rsid w:val="00AA5D89"/>
    <w:rsid w:val="00AA683C"/>
    <w:rsid w:val="00AB6BEF"/>
    <w:rsid w:val="00AB6F7F"/>
    <w:rsid w:val="00AC0B4E"/>
    <w:rsid w:val="00AC190C"/>
    <w:rsid w:val="00AC194B"/>
    <w:rsid w:val="00AC3060"/>
    <w:rsid w:val="00AC55B9"/>
    <w:rsid w:val="00AC6C03"/>
    <w:rsid w:val="00AC7320"/>
    <w:rsid w:val="00AC7397"/>
    <w:rsid w:val="00AD00EE"/>
    <w:rsid w:val="00AD1804"/>
    <w:rsid w:val="00AD5104"/>
    <w:rsid w:val="00AD57CE"/>
    <w:rsid w:val="00AD6ADC"/>
    <w:rsid w:val="00AD7387"/>
    <w:rsid w:val="00AE171D"/>
    <w:rsid w:val="00AE1891"/>
    <w:rsid w:val="00AE1BAE"/>
    <w:rsid w:val="00AE2CA9"/>
    <w:rsid w:val="00AE5F1E"/>
    <w:rsid w:val="00AE7EFF"/>
    <w:rsid w:val="00AF2735"/>
    <w:rsid w:val="00AF346F"/>
    <w:rsid w:val="00AF3D2E"/>
    <w:rsid w:val="00AF4CC7"/>
    <w:rsid w:val="00AF5761"/>
    <w:rsid w:val="00AF58F0"/>
    <w:rsid w:val="00B004E8"/>
    <w:rsid w:val="00B039C2"/>
    <w:rsid w:val="00B0449E"/>
    <w:rsid w:val="00B054BA"/>
    <w:rsid w:val="00B0551B"/>
    <w:rsid w:val="00B055BF"/>
    <w:rsid w:val="00B05624"/>
    <w:rsid w:val="00B0574C"/>
    <w:rsid w:val="00B0617E"/>
    <w:rsid w:val="00B07BC9"/>
    <w:rsid w:val="00B07D3C"/>
    <w:rsid w:val="00B10F94"/>
    <w:rsid w:val="00B136FE"/>
    <w:rsid w:val="00B145F4"/>
    <w:rsid w:val="00B150FC"/>
    <w:rsid w:val="00B16130"/>
    <w:rsid w:val="00B16ED0"/>
    <w:rsid w:val="00B17236"/>
    <w:rsid w:val="00B17A36"/>
    <w:rsid w:val="00B20DB5"/>
    <w:rsid w:val="00B20FA0"/>
    <w:rsid w:val="00B21547"/>
    <w:rsid w:val="00B2210A"/>
    <w:rsid w:val="00B22ADC"/>
    <w:rsid w:val="00B230CB"/>
    <w:rsid w:val="00B23A49"/>
    <w:rsid w:val="00B2631E"/>
    <w:rsid w:val="00B27BA3"/>
    <w:rsid w:val="00B27C60"/>
    <w:rsid w:val="00B27E7B"/>
    <w:rsid w:val="00B30522"/>
    <w:rsid w:val="00B3094E"/>
    <w:rsid w:val="00B31D02"/>
    <w:rsid w:val="00B32297"/>
    <w:rsid w:val="00B33D58"/>
    <w:rsid w:val="00B33FB7"/>
    <w:rsid w:val="00B34095"/>
    <w:rsid w:val="00B342F0"/>
    <w:rsid w:val="00B344D3"/>
    <w:rsid w:val="00B34FD1"/>
    <w:rsid w:val="00B35979"/>
    <w:rsid w:val="00B35B81"/>
    <w:rsid w:val="00B3773B"/>
    <w:rsid w:val="00B37753"/>
    <w:rsid w:val="00B37C09"/>
    <w:rsid w:val="00B40C79"/>
    <w:rsid w:val="00B412A7"/>
    <w:rsid w:val="00B412F4"/>
    <w:rsid w:val="00B41671"/>
    <w:rsid w:val="00B45ECB"/>
    <w:rsid w:val="00B47FC6"/>
    <w:rsid w:val="00B51427"/>
    <w:rsid w:val="00B51979"/>
    <w:rsid w:val="00B51EF5"/>
    <w:rsid w:val="00B52511"/>
    <w:rsid w:val="00B52D35"/>
    <w:rsid w:val="00B53485"/>
    <w:rsid w:val="00B53DF4"/>
    <w:rsid w:val="00B54561"/>
    <w:rsid w:val="00B552F6"/>
    <w:rsid w:val="00B55539"/>
    <w:rsid w:val="00B55FDB"/>
    <w:rsid w:val="00B56E82"/>
    <w:rsid w:val="00B57243"/>
    <w:rsid w:val="00B57385"/>
    <w:rsid w:val="00B602BE"/>
    <w:rsid w:val="00B60E65"/>
    <w:rsid w:val="00B61260"/>
    <w:rsid w:val="00B6248E"/>
    <w:rsid w:val="00B6339E"/>
    <w:rsid w:val="00B6352E"/>
    <w:rsid w:val="00B63EBE"/>
    <w:rsid w:val="00B6587D"/>
    <w:rsid w:val="00B674C3"/>
    <w:rsid w:val="00B6753B"/>
    <w:rsid w:val="00B67DA0"/>
    <w:rsid w:val="00B700A6"/>
    <w:rsid w:val="00B706CC"/>
    <w:rsid w:val="00B70814"/>
    <w:rsid w:val="00B715CE"/>
    <w:rsid w:val="00B7266E"/>
    <w:rsid w:val="00B72C5C"/>
    <w:rsid w:val="00B73799"/>
    <w:rsid w:val="00B76133"/>
    <w:rsid w:val="00B76BBD"/>
    <w:rsid w:val="00B807CE"/>
    <w:rsid w:val="00B809DD"/>
    <w:rsid w:val="00B80DE6"/>
    <w:rsid w:val="00B8176C"/>
    <w:rsid w:val="00B8261D"/>
    <w:rsid w:val="00B852FA"/>
    <w:rsid w:val="00B861A3"/>
    <w:rsid w:val="00B86366"/>
    <w:rsid w:val="00B8706D"/>
    <w:rsid w:val="00B90578"/>
    <w:rsid w:val="00B90BAD"/>
    <w:rsid w:val="00B91A84"/>
    <w:rsid w:val="00B92EA9"/>
    <w:rsid w:val="00B930DF"/>
    <w:rsid w:val="00B94BDF"/>
    <w:rsid w:val="00B95452"/>
    <w:rsid w:val="00B95D9E"/>
    <w:rsid w:val="00B96197"/>
    <w:rsid w:val="00B966EE"/>
    <w:rsid w:val="00B967D8"/>
    <w:rsid w:val="00BA06B9"/>
    <w:rsid w:val="00BA246D"/>
    <w:rsid w:val="00BA3339"/>
    <w:rsid w:val="00BA3CAD"/>
    <w:rsid w:val="00BB0658"/>
    <w:rsid w:val="00BB1094"/>
    <w:rsid w:val="00BB1542"/>
    <w:rsid w:val="00BB2022"/>
    <w:rsid w:val="00BB43D4"/>
    <w:rsid w:val="00BB4A67"/>
    <w:rsid w:val="00BB520D"/>
    <w:rsid w:val="00BB625E"/>
    <w:rsid w:val="00BB6448"/>
    <w:rsid w:val="00BB6606"/>
    <w:rsid w:val="00BB66DC"/>
    <w:rsid w:val="00BC0477"/>
    <w:rsid w:val="00BC2802"/>
    <w:rsid w:val="00BC4D6D"/>
    <w:rsid w:val="00BD0245"/>
    <w:rsid w:val="00BD040A"/>
    <w:rsid w:val="00BD057D"/>
    <w:rsid w:val="00BD05D7"/>
    <w:rsid w:val="00BD0770"/>
    <w:rsid w:val="00BD0FD3"/>
    <w:rsid w:val="00BD1088"/>
    <w:rsid w:val="00BD2CDD"/>
    <w:rsid w:val="00BD307F"/>
    <w:rsid w:val="00BD3BD1"/>
    <w:rsid w:val="00BD464E"/>
    <w:rsid w:val="00BD50FB"/>
    <w:rsid w:val="00BD6B56"/>
    <w:rsid w:val="00BD776A"/>
    <w:rsid w:val="00BE0415"/>
    <w:rsid w:val="00BE0B25"/>
    <w:rsid w:val="00BE11AC"/>
    <w:rsid w:val="00BE25A7"/>
    <w:rsid w:val="00BE330A"/>
    <w:rsid w:val="00BE37C7"/>
    <w:rsid w:val="00BE3EB7"/>
    <w:rsid w:val="00BE543C"/>
    <w:rsid w:val="00BE5A32"/>
    <w:rsid w:val="00BE5B9C"/>
    <w:rsid w:val="00BE5DEC"/>
    <w:rsid w:val="00BE66D5"/>
    <w:rsid w:val="00BE7017"/>
    <w:rsid w:val="00BE75EA"/>
    <w:rsid w:val="00BE7C4E"/>
    <w:rsid w:val="00BE7EC2"/>
    <w:rsid w:val="00BE7EC9"/>
    <w:rsid w:val="00BF068A"/>
    <w:rsid w:val="00BF178C"/>
    <w:rsid w:val="00BF3ED4"/>
    <w:rsid w:val="00BF7066"/>
    <w:rsid w:val="00BF770E"/>
    <w:rsid w:val="00BF7BC5"/>
    <w:rsid w:val="00C00644"/>
    <w:rsid w:val="00C01C85"/>
    <w:rsid w:val="00C02CEA"/>
    <w:rsid w:val="00C04F70"/>
    <w:rsid w:val="00C06CD5"/>
    <w:rsid w:val="00C109CE"/>
    <w:rsid w:val="00C12B8E"/>
    <w:rsid w:val="00C1303F"/>
    <w:rsid w:val="00C1436C"/>
    <w:rsid w:val="00C1703B"/>
    <w:rsid w:val="00C200A2"/>
    <w:rsid w:val="00C21B85"/>
    <w:rsid w:val="00C232FD"/>
    <w:rsid w:val="00C23CB4"/>
    <w:rsid w:val="00C23FEC"/>
    <w:rsid w:val="00C2435E"/>
    <w:rsid w:val="00C24EDD"/>
    <w:rsid w:val="00C25BD9"/>
    <w:rsid w:val="00C27305"/>
    <w:rsid w:val="00C27CC0"/>
    <w:rsid w:val="00C3206E"/>
    <w:rsid w:val="00C33A1A"/>
    <w:rsid w:val="00C34D5A"/>
    <w:rsid w:val="00C34D63"/>
    <w:rsid w:val="00C36473"/>
    <w:rsid w:val="00C3663A"/>
    <w:rsid w:val="00C37E1B"/>
    <w:rsid w:val="00C40425"/>
    <w:rsid w:val="00C40743"/>
    <w:rsid w:val="00C41991"/>
    <w:rsid w:val="00C41DC0"/>
    <w:rsid w:val="00C42814"/>
    <w:rsid w:val="00C428A4"/>
    <w:rsid w:val="00C42B89"/>
    <w:rsid w:val="00C42CF5"/>
    <w:rsid w:val="00C433D8"/>
    <w:rsid w:val="00C439C0"/>
    <w:rsid w:val="00C46FCB"/>
    <w:rsid w:val="00C47F77"/>
    <w:rsid w:val="00C51B61"/>
    <w:rsid w:val="00C51E69"/>
    <w:rsid w:val="00C54081"/>
    <w:rsid w:val="00C630C4"/>
    <w:rsid w:val="00C6590C"/>
    <w:rsid w:val="00C659A4"/>
    <w:rsid w:val="00C664E7"/>
    <w:rsid w:val="00C70946"/>
    <w:rsid w:val="00C72AB4"/>
    <w:rsid w:val="00C72BE3"/>
    <w:rsid w:val="00C739E5"/>
    <w:rsid w:val="00C7417F"/>
    <w:rsid w:val="00C755A9"/>
    <w:rsid w:val="00C758F8"/>
    <w:rsid w:val="00C75FA5"/>
    <w:rsid w:val="00C76600"/>
    <w:rsid w:val="00C77849"/>
    <w:rsid w:val="00C80519"/>
    <w:rsid w:val="00C817EC"/>
    <w:rsid w:val="00C83AED"/>
    <w:rsid w:val="00C83CF4"/>
    <w:rsid w:val="00C85BB9"/>
    <w:rsid w:val="00C85DE1"/>
    <w:rsid w:val="00C86583"/>
    <w:rsid w:val="00C867C9"/>
    <w:rsid w:val="00C87009"/>
    <w:rsid w:val="00C87BC2"/>
    <w:rsid w:val="00C925F7"/>
    <w:rsid w:val="00C92BCA"/>
    <w:rsid w:val="00C9311C"/>
    <w:rsid w:val="00C936E1"/>
    <w:rsid w:val="00C9395B"/>
    <w:rsid w:val="00C94C7D"/>
    <w:rsid w:val="00C95220"/>
    <w:rsid w:val="00C9594E"/>
    <w:rsid w:val="00C961BE"/>
    <w:rsid w:val="00C97269"/>
    <w:rsid w:val="00C97ADF"/>
    <w:rsid w:val="00CA113C"/>
    <w:rsid w:val="00CA19EE"/>
    <w:rsid w:val="00CA1EEB"/>
    <w:rsid w:val="00CA247B"/>
    <w:rsid w:val="00CA2FAC"/>
    <w:rsid w:val="00CA31E6"/>
    <w:rsid w:val="00CA3255"/>
    <w:rsid w:val="00CA3F94"/>
    <w:rsid w:val="00CA5720"/>
    <w:rsid w:val="00CA5D60"/>
    <w:rsid w:val="00CB071C"/>
    <w:rsid w:val="00CB24DA"/>
    <w:rsid w:val="00CB2828"/>
    <w:rsid w:val="00CB2C4D"/>
    <w:rsid w:val="00CB2EB7"/>
    <w:rsid w:val="00CB3E4D"/>
    <w:rsid w:val="00CB4580"/>
    <w:rsid w:val="00CB68A5"/>
    <w:rsid w:val="00CB7641"/>
    <w:rsid w:val="00CC0193"/>
    <w:rsid w:val="00CC05B7"/>
    <w:rsid w:val="00CC151E"/>
    <w:rsid w:val="00CC251C"/>
    <w:rsid w:val="00CC2602"/>
    <w:rsid w:val="00CC3F96"/>
    <w:rsid w:val="00CC63E1"/>
    <w:rsid w:val="00CC7195"/>
    <w:rsid w:val="00CC7D93"/>
    <w:rsid w:val="00CC7F7F"/>
    <w:rsid w:val="00CD009A"/>
    <w:rsid w:val="00CD16FB"/>
    <w:rsid w:val="00CD17C2"/>
    <w:rsid w:val="00CD267A"/>
    <w:rsid w:val="00CD327A"/>
    <w:rsid w:val="00CD412F"/>
    <w:rsid w:val="00CD424D"/>
    <w:rsid w:val="00CD4AEE"/>
    <w:rsid w:val="00CD6A6D"/>
    <w:rsid w:val="00CD766F"/>
    <w:rsid w:val="00CE0457"/>
    <w:rsid w:val="00CE0E3C"/>
    <w:rsid w:val="00CE108E"/>
    <w:rsid w:val="00CE176A"/>
    <w:rsid w:val="00CE2DE9"/>
    <w:rsid w:val="00CE2F0C"/>
    <w:rsid w:val="00CE33D3"/>
    <w:rsid w:val="00CE38A0"/>
    <w:rsid w:val="00CE3DCF"/>
    <w:rsid w:val="00CE5C09"/>
    <w:rsid w:val="00CE6262"/>
    <w:rsid w:val="00CF202C"/>
    <w:rsid w:val="00CF449D"/>
    <w:rsid w:val="00CF4BBF"/>
    <w:rsid w:val="00CF600C"/>
    <w:rsid w:val="00CF6CD7"/>
    <w:rsid w:val="00CF73B2"/>
    <w:rsid w:val="00D00AE9"/>
    <w:rsid w:val="00D02514"/>
    <w:rsid w:val="00D025C7"/>
    <w:rsid w:val="00D035EE"/>
    <w:rsid w:val="00D05715"/>
    <w:rsid w:val="00D0654A"/>
    <w:rsid w:val="00D0690F"/>
    <w:rsid w:val="00D07080"/>
    <w:rsid w:val="00D07C5F"/>
    <w:rsid w:val="00D07E38"/>
    <w:rsid w:val="00D108B4"/>
    <w:rsid w:val="00D118BA"/>
    <w:rsid w:val="00D12A38"/>
    <w:rsid w:val="00D147ED"/>
    <w:rsid w:val="00D15C84"/>
    <w:rsid w:val="00D1607F"/>
    <w:rsid w:val="00D20258"/>
    <w:rsid w:val="00D21441"/>
    <w:rsid w:val="00D21889"/>
    <w:rsid w:val="00D22325"/>
    <w:rsid w:val="00D22338"/>
    <w:rsid w:val="00D229BA"/>
    <w:rsid w:val="00D2304E"/>
    <w:rsid w:val="00D23F02"/>
    <w:rsid w:val="00D256D4"/>
    <w:rsid w:val="00D25E1F"/>
    <w:rsid w:val="00D26080"/>
    <w:rsid w:val="00D26904"/>
    <w:rsid w:val="00D26ADE"/>
    <w:rsid w:val="00D26C9A"/>
    <w:rsid w:val="00D312B1"/>
    <w:rsid w:val="00D318A3"/>
    <w:rsid w:val="00D32D91"/>
    <w:rsid w:val="00D330F2"/>
    <w:rsid w:val="00D33224"/>
    <w:rsid w:val="00D33EE0"/>
    <w:rsid w:val="00D351B1"/>
    <w:rsid w:val="00D35BF4"/>
    <w:rsid w:val="00D36BCE"/>
    <w:rsid w:val="00D3707E"/>
    <w:rsid w:val="00D40A1E"/>
    <w:rsid w:val="00D40C2B"/>
    <w:rsid w:val="00D41235"/>
    <w:rsid w:val="00D41556"/>
    <w:rsid w:val="00D41715"/>
    <w:rsid w:val="00D427E6"/>
    <w:rsid w:val="00D446A6"/>
    <w:rsid w:val="00D4628B"/>
    <w:rsid w:val="00D46B22"/>
    <w:rsid w:val="00D473F3"/>
    <w:rsid w:val="00D4772E"/>
    <w:rsid w:val="00D501EC"/>
    <w:rsid w:val="00D51039"/>
    <w:rsid w:val="00D550A4"/>
    <w:rsid w:val="00D553BC"/>
    <w:rsid w:val="00D55840"/>
    <w:rsid w:val="00D55BA5"/>
    <w:rsid w:val="00D57EE9"/>
    <w:rsid w:val="00D61DBC"/>
    <w:rsid w:val="00D62A5F"/>
    <w:rsid w:val="00D63149"/>
    <w:rsid w:val="00D6423D"/>
    <w:rsid w:val="00D649A8"/>
    <w:rsid w:val="00D65B0A"/>
    <w:rsid w:val="00D66A03"/>
    <w:rsid w:val="00D708D4"/>
    <w:rsid w:val="00D70AE1"/>
    <w:rsid w:val="00D70E45"/>
    <w:rsid w:val="00D71062"/>
    <w:rsid w:val="00D714CB"/>
    <w:rsid w:val="00D71E5D"/>
    <w:rsid w:val="00D72FCF"/>
    <w:rsid w:val="00D73564"/>
    <w:rsid w:val="00D772AF"/>
    <w:rsid w:val="00D77745"/>
    <w:rsid w:val="00D80CDD"/>
    <w:rsid w:val="00D81411"/>
    <w:rsid w:val="00D85517"/>
    <w:rsid w:val="00D8575B"/>
    <w:rsid w:val="00D86620"/>
    <w:rsid w:val="00D8714E"/>
    <w:rsid w:val="00D87699"/>
    <w:rsid w:val="00D92308"/>
    <w:rsid w:val="00D94850"/>
    <w:rsid w:val="00D95D5C"/>
    <w:rsid w:val="00D97EE9"/>
    <w:rsid w:val="00DA086A"/>
    <w:rsid w:val="00DA1033"/>
    <w:rsid w:val="00DA2680"/>
    <w:rsid w:val="00DA2C52"/>
    <w:rsid w:val="00DA36A3"/>
    <w:rsid w:val="00DA401B"/>
    <w:rsid w:val="00DA4059"/>
    <w:rsid w:val="00DA73B8"/>
    <w:rsid w:val="00DB072F"/>
    <w:rsid w:val="00DB11BE"/>
    <w:rsid w:val="00DB1BEA"/>
    <w:rsid w:val="00DB28CC"/>
    <w:rsid w:val="00DB303B"/>
    <w:rsid w:val="00DB4B75"/>
    <w:rsid w:val="00DB6AD3"/>
    <w:rsid w:val="00DC0E7C"/>
    <w:rsid w:val="00DC1B20"/>
    <w:rsid w:val="00DC3CC5"/>
    <w:rsid w:val="00DC4C60"/>
    <w:rsid w:val="00DC521D"/>
    <w:rsid w:val="00DC5F57"/>
    <w:rsid w:val="00DD0D48"/>
    <w:rsid w:val="00DD1256"/>
    <w:rsid w:val="00DD188A"/>
    <w:rsid w:val="00DD2B54"/>
    <w:rsid w:val="00DD2E25"/>
    <w:rsid w:val="00DD2EC6"/>
    <w:rsid w:val="00DD39EE"/>
    <w:rsid w:val="00DD4D54"/>
    <w:rsid w:val="00DD510F"/>
    <w:rsid w:val="00DD53BA"/>
    <w:rsid w:val="00DD6326"/>
    <w:rsid w:val="00DD7C99"/>
    <w:rsid w:val="00DD7EE0"/>
    <w:rsid w:val="00DE130F"/>
    <w:rsid w:val="00DE6A04"/>
    <w:rsid w:val="00DE6C5A"/>
    <w:rsid w:val="00DF185F"/>
    <w:rsid w:val="00DF231F"/>
    <w:rsid w:val="00DF3B1B"/>
    <w:rsid w:val="00DF5097"/>
    <w:rsid w:val="00DF57B5"/>
    <w:rsid w:val="00DF5977"/>
    <w:rsid w:val="00DF6613"/>
    <w:rsid w:val="00DF6AE8"/>
    <w:rsid w:val="00DF6C0F"/>
    <w:rsid w:val="00DF6EB2"/>
    <w:rsid w:val="00DF7BAE"/>
    <w:rsid w:val="00E00141"/>
    <w:rsid w:val="00E005CF"/>
    <w:rsid w:val="00E00F2B"/>
    <w:rsid w:val="00E036EB"/>
    <w:rsid w:val="00E0379C"/>
    <w:rsid w:val="00E03E2B"/>
    <w:rsid w:val="00E0730C"/>
    <w:rsid w:val="00E10E42"/>
    <w:rsid w:val="00E11B09"/>
    <w:rsid w:val="00E128E4"/>
    <w:rsid w:val="00E12C7F"/>
    <w:rsid w:val="00E1301D"/>
    <w:rsid w:val="00E13399"/>
    <w:rsid w:val="00E13930"/>
    <w:rsid w:val="00E13EAE"/>
    <w:rsid w:val="00E14816"/>
    <w:rsid w:val="00E14D73"/>
    <w:rsid w:val="00E14E05"/>
    <w:rsid w:val="00E15324"/>
    <w:rsid w:val="00E173DC"/>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8B7"/>
    <w:rsid w:val="00E342EB"/>
    <w:rsid w:val="00E3431F"/>
    <w:rsid w:val="00E3499A"/>
    <w:rsid w:val="00E3556B"/>
    <w:rsid w:val="00E36E89"/>
    <w:rsid w:val="00E41846"/>
    <w:rsid w:val="00E41C3B"/>
    <w:rsid w:val="00E42605"/>
    <w:rsid w:val="00E42F74"/>
    <w:rsid w:val="00E43A94"/>
    <w:rsid w:val="00E4522C"/>
    <w:rsid w:val="00E51C35"/>
    <w:rsid w:val="00E51DEA"/>
    <w:rsid w:val="00E52209"/>
    <w:rsid w:val="00E5234A"/>
    <w:rsid w:val="00E546C0"/>
    <w:rsid w:val="00E54AC1"/>
    <w:rsid w:val="00E54FBA"/>
    <w:rsid w:val="00E551E9"/>
    <w:rsid w:val="00E5675E"/>
    <w:rsid w:val="00E56CDA"/>
    <w:rsid w:val="00E57F75"/>
    <w:rsid w:val="00E604EF"/>
    <w:rsid w:val="00E60FA7"/>
    <w:rsid w:val="00E61657"/>
    <w:rsid w:val="00E61C6A"/>
    <w:rsid w:val="00E634F6"/>
    <w:rsid w:val="00E6366B"/>
    <w:rsid w:val="00E65AB2"/>
    <w:rsid w:val="00E65BA9"/>
    <w:rsid w:val="00E65CE6"/>
    <w:rsid w:val="00E65DAA"/>
    <w:rsid w:val="00E66674"/>
    <w:rsid w:val="00E668D3"/>
    <w:rsid w:val="00E66A0E"/>
    <w:rsid w:val="00E670F6"/>
    <w:rsid w:val="00E67A9A"/>
    <w:rsid w:val="00E67F75"/>
    <w:rsid w:val="00E708CD"/>
    <w:rsid w:val="00E718F2"/>
    <w:rsid w:val="00E733DF"/>
    <w:rsid w:val="00E73E6F"/>
    <w:rsid w:val="00E745CF"/>
    <w:rsid w:val="00E75422"/>
    <w:rsid w:val="00E7642D"/>
    <w:rsid w:val="00E772E8"/>
    <w:rsid w:val="00E7761A"/>
    <w:rsid w:val="00E7761D"/>
    <w:rsid w:val="00E8089B"/>
    <w:rsid w:val="00E80B97"/>
    <w:rsid w:val="00E810A5"/>
    <w:rsid w:val="00E81D74"/>
    <w:rsid w:val="00E82A8D"/>
    <w:rsid w:val="00E82CFD"/>
    <w:rsid w:val="00E84FE8"/>
    <w:rsid w:val="00E855D9"/>
    <w:rsid w:val="00E912E3"/>
    <w:rsid w:val="00E91B82"/>
    <w:rsid w:val="00E92FFA"/>
    <w:rsid w:val="00E93482"/>
    <w:rsid w:val="00E935C5"/>
    <w:rsid w:val="00E93FE8"/>
    <w:rsid w:val="00E94DAC"/>
    <w:rsid w:val="00E9551C"/>
    <w:rsid w:val="00E95ECD"/>
    <w:rsid w:val="00EA0794"/>
    <w:rsid w:val="00EA1215"/>
    <w:rsid w:val="00EA1329"/>
    <w:rsid w:val="00EA2CA7"/>
    <w:rsid w:val="00EA2D53"/>
    <w:rsid w:val="00EA3439"/>
    <w:rsid w:val="00EA3506"/>
    <w:rsid w:val="00EA3B43"/>
    <w:rsid w:val="00EA5C0E"/>
    <w:rsid w:val="00EA6816"/>
    <w:rsid w:val="00EA6ACC"/>
    <w:rsid w:val="00EA6F1E"/>
    <w:rsid w:val="00EA7484"/>
    <w:rsid w:val="00EB01E4"/>
    <w:rsid w:val="00EB0427"/>
    <w:rsid w:val="00EB157E"/>
    <w:rsid w:val="00EB1797"/>
    <w:rsid w:val="00EB202C"/>
    <w:rsid w:val="00EB23D5"/>
    <w:rsid w:val="00EB2B2E"/>
    <w:rsid w:val="00EB3462"/>
    <w:rsid w:val="00EB399D"/>
    <w:rsid w:val="00EB4E6A"/>
    <w:rsid w:val="00EB5564"/>
    <w:rsid w:val="00EB7441"/>
    <w:rsid w:val="00EC2CFD"/>
    <w:rsid w:val="00EC383C"/>
    <w:rsid w:val="00EC3E98"/>
    <w:rsid w:val="00EC47D1"/>
    <w:rsid w:val="00EC4B1C"/>
    <w:rsid w:val="00EC5F76"/>
    <w:rsid w:val="00EC635C"/>
    <w:rsid w:val="00EC6904"/>
    <w:rsid w:val="00ED1380"/>
    <w:rsid w:val="00ED41C8"/>
    <w:rsid w:val="00ED51C1"/>
    <w:rsid w:val="00ED5525"/>
    <w:rsid w:val="00ED669C"/>
    <w:rsid w:val="00ED71D8"/>
    <w:rsid w:val="00ED7AF6"/>
    <w:rsid w:val="00EE0645"/>
    <w:rsid w:val="00EE08F2"/>
    <w:rsid w:val="00EE2730"/>
    <w:rsid w:val="00EE3976"/>
    <w:rsid w:val="00EE47B1"/>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EC"/>
    <w:rsid w:val="00F027A9"/>
    <w:rsid w:val="00F0337F"/>
    <w:rsid w:val="00F03E8D"/>
    <w:rsid w:val="00F04038"/>
    <w:rsid w:val="00F04F32"/>
    <w:rsid w:val="00F05E51"/>
    <w:rsid w:val="00F07074"/>
    <w:rsid w:val="00F10215"/>
    <w:rsid w:val="00F10356"/>
    <w:rsid w:val="00F10E41"/>
    <w:rsid w:val="00F130E2"/>
    <w:rsid w:val="00F14A5A"/>
    <w:rsid w:val="00F154C7"/>
    <w:rsid w:val="00F170EE"/>
    <w:rsid w:val="00F17425"/>
    <w:rsid w:val="00F17FD2"/>
    <w:rsid w:val="00F210DF"/>
    <w:rsid w:val="00F213F2"/>
    <w:rsid w:val="00F22398"/>
    <w:rsid w:val="00F2434F"/>
    <w:rsid w:val="00F26C36"/>
    <w:rsid w:val="00F26E90"/>
    <w:rsid w:val="00F32E79"/>
    <w:rsid w:val="00F34144"/>
    <w:rsid w:val="00F3460A"/>
    <w:rsid w:val="00F347E6"/>
    <w:rsid w:val="00F34AA9"/>
    <w:rsid w:val="00F356AB"/>
    <w:rsid w:val="00F378E2"/>
    <w:rsid w:val="00F37A7B"/>
    <w:rsid w:val="00F41574"/>
    <w:rsid w:val="00F4198E"/>
    <w:rsid w:val="00F423B5"/>
    <w:rsid w:val="00F429DD"/>
    <w:rsid w:val="00F443ED"/>
    <w:rsid w:val="00F466E5"/>
    <w:rsid w:val="00F47131"/>
    <w:rsid w:val="00F4781B"/>
    <w:rsid w:val="00F50D96"/>
    <w:rsid w:val="00F52E26"/>
    <w:rsid w:val="00F53046"/>
    <w:rsid w:val="00F54E20"/>
    <w:rsid w:val="00F55243"/>
    <w:rsid w:val="00F558E6"/>
    <w:rsid w:val="00F57C89"/>
    <w:rsid w:val="00F60768"/>
    <w:rsid w:val="00F60E06"/>
    <w:rsid w:val="00F61A30"/>
    <w:rsid w:val="00F61E75"/>
    <w:rsid w:val="00F64DAF"/>
    <w:rsid w:val="00F64E7F"/>
    <w:rsid w:val="00F6644E"/>
    <w:rsid w:val="00F67556"/>
    <w:rsid w:val="00F70F75"/>
    <w:rsid w:val="00F7142D"/>
    <w:rsid w:val="00F73084"/>
    <w:rsid w:val="00F7370F"/>
    <w:rsid w:val="00F7470B"/>
    <w:rsid w:val="00F7577B"/>
    <w:rsid w:val="00F80618"/>
    <w:rsid w:val="00F809B7"/>
    <w:rsid w:val="00F83AB3"/>
    <w:rsid w:val="00F8538C"/>
    <w:rsid w:val="00F8599E"/>
    <w:rsid w:val="00F87331"/>
    <w:rsid w:val="00F87862"/>
    <w:rsid w:val="00F927DC"/>
    <w:rsid w:val="00F92EAC"/>
    <w:rsid w:val="00F9752E"/>
    <w:rsid w:val="00FA0870"/>
    <w:rsid w:val="00FA0EF4"/>
    <w:rsid w:val="00FA1223"/>
    <w:rsid w:val="00FA1E9A"/>
    <w:rsid w:val="00FA4521"/>
    <w:rsid w:val="00FA5ECF"/>
    <w:rsid w:val="00FB2B30"/>
    <w:rsid w:val="00FB5014"/>
    <w:rsid w:val="00FB5472"/>
    <w:rsid w:val="00FB646F"/>
    <w:rsid w:val="00FC0307"/>
    <w:rsid w:val="00FC08D1"/>
    <w:rsid w:val="00FC615D"/>
    <w:rsid w:val="00FC6406"/>
    <w:rsid w:val="00FC6BAE"/>
    <w:rsid w:val="00FC7702"/>
    <w:rsid w:val="00FC7AD7"/>
    <w:rsid w:val="00FD3C5D"/>
    <w:rsid w:val="00FD425A"/>
    <w:rsid w:val="00FD4314"/>
    <w:rsid w:val="00FD544A"/>
    <w:rsid w:val="00FD572C"/>
    <w:rsid w:val="00FD5860"/>
    <w:rsid w:val="00FD593C"/>
    <w:rsid w:val="00FD6F10"/>
    <w:rsid w:val="00FD7444"/>
    <w:rsid w:val="00FE3A68"/>
    <w:rsid w:val="00FE6886"/>
    <w:rsid w:val="00FE6CBF"/>
    <w:rsid w:val="00FE7AA2"/>
    <w:rsid w:val="00FF0B04"/>
    <w:rsid w:val="00FF0D0B"/>
    <w:rsid w:val="00FF133A"/>
    <w:rsid w:val="00FF31A9"/>
    <w:rsid w:val="00FF4C9B"/>
    <w:rsid w:val="00FF4D91"/>
    <w:rsid w:val="00FF4FA5"/>
    <w:rsid w:val="00FF7195"/>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caps/>
      <w:color w:val="FFFFFF"/>
      <w:spacing w:val="15"/>
      <w:sz w:val="22"/>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z w:val="22"/>
      <w:shd w:val="clear" w:color="auto" w:fill="DBE5F1"/>
      <w:lang w:val="en-GB"/>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lang w:val="en-GB"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lang w:val="en-GB" w:eastAsia="en-US"/>
    </w:rPr>
  </w:style>
  <w:style w:type="character" w:customStyle="1" w:styleId="Heading5Char">
    <w:name w:val="Heading 5 Char"/>
    <w:basedOn w:val="DefaultParagraphFont"/>
    <w:link w:val="Heading5"/>
    <w:uiPriority w:val="9"/>
    <w:semiHidden/>
    <w:rsid w:val="0070298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0298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0298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0298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02989"/>
    <w:rPr>
      <w:rFonts w:asciiTheme="majorHAnsi" w:eastAsiaTheme="majorEastAsia" w:hAnsiTheme="majorHAnsi" w:cstheme="majorBidi"/>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5"/>
      </w:numPr>
      <w:spacing w:before="60" w:after="60"/>
    </w:pPr>
    <w:rPr>
      <w:rFonts w:cs="Arial"/>
    </w:rPr>
  </w:style>
  <w:style w:type="character" w:customStyle="1" w:styleId="Bullet1Char">
    <w:name w:val="Bullet 1 Char"/>
    <w:link w:val="Bullet1"/>
    <w:uiPriority w:val="99"/>
    <w:locked/>
    <w:rsid w:val="00D80CDD"/>
    <w:rPr>
      <w:rFonts w:ascii="Arial" w:hAnsi="Arial"/>
      <w:lang w:val="en-GB"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9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99"/>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6"/>
      </w:numPr>
    </w:pPr>
  </w:style>
</w:styles>
</file>

<file path=word/webSettings.xml><?xml version="1.0" encoding="utf-8"?>
<w:webSettings xmlns:r="http://schemas.openxmlformats.org/officeDocument/2006/relationships" xmlns:w="http://schemas.openxmlformats.org/wordprocessingml/2006/main">
  <w:divs>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16_11.doc" TargetMode="External"/><Relationship Id="rId18" Type="http://schemas.openxmlformats.org/officeDocument/2006/relationships/hyperlink" Target="http://semopub/MarketDevelopment/ModificationDocuments/Mod_29_11%20Standard%20Letter%20of%20Credit%20Revisions.docx" TargetMode="External"/><Relationship Id="rId26" Type="http://schemas.openxmlformats.org/officeDocument/2006/relationships/hyperlink" Target="http://semopub/Publications/General/CMS%20Slides%20Meeting%2037.ppt" TargetMode="External"/><Relationship Id="rId3" Type="http://schemas.openxmlformats.org/officeDocument/2006/relationships/styles" Target="styles.xml"/><Relationship Id="rId21" Type="http://schemas.openxmlformats.org/officeDocument/2006/relationships/hyperlink" Target="http://semopub/MarketDevelopment/ModificationDocuments/Mod_26_11%20Process%20change%20for%20assessing%20Firm%20Access%20Quantity%20of%20Trading%20Site%20(FAQSst).docx"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mopub/MarketDevelopment/ModificationDocuments/Mod_14_11%20Pumped%20Storage%20Under%20Test.doc" TargetMode="External"/><Relationship Id="rId17" Type="http://schemas.openxmlformats.org/officeDocument/2006/relationships/hyperlink" Target="http://semopub/MarketDevelopment/ModificationDocuments/Mod_23_11%20Letters%20of%20Credit.docx" TargetMode="External"/><Relationship Id="rId25" Type="http://schemas.openxmlformats.org/officeDocument/2006/relationships/hyperlink" Target="http://semopub/Meetings/Meeting%2036%20Minutes.doc"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emopub/MarketDevelopment/ModificationDocuments/Mod_21_11.doc" TargetMode="External"/><Relationship Id="rId20" Type="http://schemas.openxmlformats.org/officeDocument/2006/relationships/hyperlink" Target="http://semopub/MarketDevelopment/ModificationDocuments/Mod_25_11%20Jurisdictional%20RMVIP.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4_11%20DSU%20and%20MEC.doc" TargetMode="External"/><Relationship Id="rId24" Type="http://schemas.openxmlformats.org/officeDocument/2006/relationships/hyperlink" Target="http://semopub/Publications/General/Elections%202011.ppt"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emopub/MarketDevelopment/ModificationDocuments/Mod_18_11.docx" TargetMode="External"/><Relationship Id="rId23" Type="http://schemas.openxmlformats.org/officeDocument/2006/relationships/hyperlink" Target="http://semopub/MarketDevelopment/ModificationDocuments/Mod_28_11%20Alignment%20of%20AP11%20with%20Bi-Annual%20Release%20Strategy%20v1%200.docx" TargetMode="External"/><Relationship Id="rId28" Type="http://schemas.openxmlformats.org/officeDocument/2006/relationships/header" Target="header1.xml"/><Relationship Id="rId36" Type="http://schemas.openxmlformats.org/officeDocument/2006/relationships/customXml" Target="../customXml/item6.xml"/><Relationship Id="rId10" Type="http://schemas.openxmlformats.org/officeDocument/2006/relationships/hyperlink" Target="http://semopub/MarketDevelopment/ModificationDocuments/WG9%20Report.zip" TargetMode="External"/><Relationship Id="rId19" Type="http://schemas.openxmlformats.org/officeDocument/2006/relationships/hyperlink" Target="http://semopub/MarketDevelopment/ModificationDocuments/Mod_24_11%20IC%20Flows%20in%20Data%20Transaction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http://semopub/MarketDevelopment/ModificationDocuments/Mod_17_11.docx" TargetMode="External"/><Relationship Id="rId22" Type="http://schemas.openxmlformats.org/officeDocument/2006/relationships/hyperlink" Target="http://semopub/MarketDevelopment/ModificationDocuments/Mod_27_11%20%20Market%20Operator%20Solver%20Policy.docx" TargetMode="External"/><Relationship Id="rId27" Type="http://schemas.openxmlformats.org/officeDocument/2006/relationships/hyperlink" Target="http://semopub/MarketDevelopment/ModificationDocuments/SO%20Slides%20Meeting%2037.ppt"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Meeting 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2011-10-11T00:00:00+00:00</MeetingDate>
    <MMTID xmlns="f69c7b9a-bbed-41f8-b24c-bbeb71979adf">181</MMTID>
    <_dlc_Exempt xmlns="f69c7b9a-bbed-41f8-b24c-bbeb71979adf">false</_dlc_Exempt>
    <_dlc_ExpireDateSaved xmlns="f69c7b9a-bbed-41f8-b24c-bbeb71979adf" xsi:nil="true"/>
    <_dlc_ExpireDate xmlns="f69c7b9a-bbed-41f8-b24c-bbeb71979adf" xsi:nil="true"/>
    <documentarchivestatus xmlns="555a66dc-fdf2-47ca-80f5-c077f14f4733">Active</documentarchivestatus>
  </documentManagement>
</p:propertie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6E4C891-B2D0-43F6-958C-8146826E8B44}"/>
</file>

<file path=customXml/itemProps2.xml><?xml version="1.0" encoding="utf-8"?>
<ds:datastoreItem xmlns:ds="http://schemas.openxmlformats.org/officeDocument/2006/customXml" ds:itemID="{C7A24ECA-D409-470C-9A37-F938C207BFD6}"/>
</file>

<file path=customXml/itemProps3.xml><?xml version="1.0" encoding="utf-8"?>
<ds:datastoreItem xmlns:ds="http://schemas.openxmlformats.org/officeDocument/2006/customXml" ds:itemID="{7C29BC1C-48F8-4B65-8847-5C761204ADF0}"/>
</file>

<file path=customXml/itemProps4.xml><?xml version="1.0" encoding="utf-8"?>
<ds:datastoreItem xmlns:ds="http://schemas.openxmlformats.org/officeDocument/2006/customXml" ds:itemID="{B33E3C7B-F7DB-48AF-B02A-2B076ED12FB1}"/>
</file>

<file path=customXml/itemProps5.xml><?xml version="1.0" encoding="utf-8"?>
<ds:datastoreItem xmlns:ds="http://schemas.openxmlformats.org/officeDocument/2006/customXml" ds:itemID="{18DD35B4-FEB8-4E20-A203-10D6FD005728}"/>
</file>

<file path=customXml/itemProps6.xml><?xml version="1.0" encoding="utf-8"?>
<ds:datastoreItem xmlns:ds="http://schemas.openxmlformats.org/officeDocument/2006/customXml" ds:itemID="{F289C35B-046D-4B04-BCA2-3204829E5CAD}"/>
</file>

<file path=docProps/app.xml><?xml version="1.0" encoding="utf-8"?>
<Properties xmlns="http://schemas.openxmlformats.org/officeDocument/2006/extended-properties" xmlns:vt="http://schemas.openxmlformats.org/officeDocument/2006/docPropsVTypes">
  <Template>Normal</Template>
  <TotalTime>0</TotalTime>
  <Pages>22</Pages>
  <Words>7088</Words>
  <Characters>40402</Characters>
  <Application>Microsoft Office Word</Application>
  <DocSecurity>0</DocSecurity>
  <Lines>336</Lines>
  <Paragraphs>94</Paragraphs>
  <ScaleCrop>false</ScaleCrop>
  <Company/>
  <LinksUpToDate>false</LinksUpToDate>
  <CharactersWithSpaces>47396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37</dc:title>
  <dc:subject/>
  <dc:creator/>
  <cp:keywords/>
  <dc:description/>
  <cp:lastModifiedBy/>
  <cp:revision>1</cp:revision>
  <dcterms:created xsi:type="dcterms:W3CDTF">2011-10-11T15:49:00Z</dcterms:created>
  <dcterms:modified xsi:type="dcterms:W3CDTF">2011-10-11T15:49:00Z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83</vt:lpwstr>
  </property>
  <property fmtid="{D5CDD505-2E9C-101B-9397-08002B2CF9AE}" pid="5" name="Meeting Date">
    <vt:lpwstr>2011-10-10T23:00:00+00:00</vt:lpwstr>
  </property>
  <property fmtid="{D5CDD505-2E9C-101B-9397-08002B2CF9AE}" pid="6" name="Copy to Website">
    <vt:lpwstr>true</vt:lpwstr>
  </property>
  <property fmtid="{D5CDD505-2E9C-101B-9397-08002B2CF9AE}" pid="8" name="Location">
    <vt:lpwstr>Dublin</vt:lpwstr>
  </property>
  <property fmtid="{D5CDD505-2E9C-101B-9397-08002B2CF9AE}" pid="9" name="Copy Status">
    <vt:lpwstr>Success!</vt:lpwstr>
  </property>
  <property fmtid="{D5CDD505-2E9C-101B-9397-08002B2CF9AE}" pid="10" name="Meeting Type">
    <vt:lpwstr>Ordinary Meeting</vt:lpwstr>
  </property>
  <property fmtid="{D5CDD505-2E9C-101B-9397-08002B2CF9AE}" pid="11" name="Copy to Website Date">
    <vt:lpwstr>2011-10-11T15:51:00+00:00</vt:lpwstr>
  </property>
  <property fmtid="{D5CDD505-2E9C-101B-9397-08002B2CF9AE}" pid="12" name="_CopySource">
    <vt:lpwstr>Minutes Meeting 37.docx</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