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1B36E7" w:rsidRPr="00F850F0" w:rsidRDefault="00F61B28" w:rsidP="0059642B">
      <w:pPr>
        <w:jc w:val="center"/>
      </w:pPr>
      <w:r>
        <w:rPr>
          <w:noProof/>
          <w:lang w:val="en-US"/>
        </w:rPr>
        <w:drawing>
          <wp:inline distT="0" distB="0" distL="0" distR="0">
            <wp:extent cx="4345305" cy="18211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5305" cy="1821180"/>
                    </a:xfrm>
                    <a:prstGeom prst="rect">
                      <a:avLst/>
                    </a:prstGeom>
                    <a:noFill/>
                    <a:ln w="9525">
                      <a:noFill/>
                      <a:miter lim="800000"/>
                      <a:headEnd/>
                      <a:tailEnd/>
                    </a:ln>
                  </pic:spPr>
                </pic:pic>
              </a:graphicData>
            </a:graphic>
          </wp:inline>
        </w:drawing>
      </w:r>
    </w:p>
    <w:p w:rsidR="001B36E7" w:rsidRPr="00F850F0" w:rsidRDefault="001B36E7" w:rsidP="0059642B">
      <w:pPr>
        <w:jc w:val="center"/>
      </w:pPr>
    </w:p>
    <w:p w:rsidR="001B36E7" w:rsidRPr="00F850F0" w:rsidRDefault="001B36E7" w:rsidP="0059642B">
      <w:pPr>
        <w:pStyle w:val="SEMTitle"/>
      </w:pPr>
      <w:r w:rsidRPr="00F850F0">
        <w:t>Single Electricity Market</w:t>
      </w:r>
    </w:p>
    <w:p w:rsidR="001B36E7" w:rsidRPr="00F850F0" w:rsidRDefault="001B36E7"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1B36E7" w:rsidRPr="00F850F0" w:rsidRDefault="001B36E7" w:rsidP="0059642B">
            <w:pPr>
              <w:pStyle w:val="DocTitle"/>
              <w:rPr>
                <w:b w:val="0"/>
              </w:rPr>
            </w:pPr>
            <w:r w:rsidRPr="00F850F0">
              <w:rPr>
                <w:b w:val="0"/>
              </w:rPr>
              <w:t>Modifications Committee Meeting Minutes</w:t>
            </w:r>
          </w:p>
          <w:p w:rsidR="001B36E7" w:rsidRPr="00F850F0" w:rsidRDefault="001B36E7" w:rsidP="0059642B">
            <w:pPr>
              <w:pStyle w:val="DocTitle"/>
              <w:rPr>
                <w:b w:val="0"/>
                <w:highlight w:val="yellow"/>
              </w:rPr>
            </w:pPr>
          </w:p>
          <w:p w:rsidR="001B36E7" w:rsidRPr="00F850F0" w:rsidRDefault="001B36E7" w:rsidP="0059642B">
            <w:pPr>
              <w:pStyle w:val="DocTitle"/>
              <w:rPr>
                <w:b w:val="0"/>
              </w:rPr>
            </w:pPr>
            <w:r w:rsidRPr="00F850F0">
              <w:rPr>
                <w:b w:val="0"/>
              </w:rPr>
              <w:t>Meeting 5</w:t>
            </w:r>
            <w:r w:rsidR="001D3E3E">
              <w:rPr>
                <w:b w:val="0"/>
              </w:rPr>
              <w:t>8</w:t>
            </w:r>
          </w:p>
          <w:p w:rsidR="001B36E7" w:rsidRPr="00F850F0" w:rsidRDefault="001D3E3E" w:rsidP="0059642B">
            <w:pPr>
              <w:pStyle w:val="DocTitle"/>
              <w:rPr>
                <w:b w:val="0"/>
              </w:rPr>
            </w:pPr>
            <w:r>
              <w:rPr>
                <w:b w:val="0"/>
              </w:rPr>
              <w:t>spencer</w:t>
            </w:r>
            <w:r w:rsidR="001B36E7" w:rsidRPr="00F850F0">
              <w:rPr>
                <w:b w:val="0"/>
              </w:rPr>
              <w:t xml:space="preserve"> hotel,</w:t>
            </w:r>
          </w:p>
          <w:p w:rsidR="001B36E7" w:rsidRPr="00F850F0" w:rsidRDefault="001D3E3E" w:rsidP="0059642B">
            <w:pPr>
              <w:pStyle w:val="DocTitle"/>
              <w:rPr>
                <w:b w:val="0"/>
              </w:rPr>
            </w:pPr>
            <w:r>
              <w:rPr>
                <w:b w:val="0"/>
              </w:rPr>
              <w:t>4</w:t>
            </w:r>
            <w:r w:rsidR="00084A30">
              <w:rPr>
                <w:b w:val="0"/>
              </w:rPr>
              <w:t xml:space="preserve"> </w:t>
            </w:r>
            <w:r>
              <w:rPr>
                <w:b w:val="0"/>
              </w:rPr>
              <w:t>decem</w:t>
            </w:r>
            <w:r w:rsidR="007C4DC6">
              <w:rPr>
                <w:b w:val="0"/>
              </w:rPr>
              <w:t>ber</w:t>
            </w:r>
            <w:r w:rsidR="001B36E7" w:rsidRPr="00DC736D">
              <w:rPr>
                <w:b w:val="0"/>
              </w:rPr>
              <w:t xml:space="preserve"> 2014</w:t>
            </w:r>
            <w:r w:rsidR="001B36E7" w:rsidRPr="00F850F0">
              <w:rPr>
                <w:b w:val="0"/>
              </w:rPr>
              <w:t xml:space="preserve"> </w:t>
            </w:r>
          </w:p>
          <w:p w:rsidR="001B36E7" w:rsidRPr="00F850F0" w:rsidRDefault="001D3E3E" w:rsidP="003E35F2">
            <w:pPr>
              <w:pStyle w:val="DocTitle"/>
              <w:rPr>
                <w:b w:val="0"/>
                <w:highlight w:val="yellow"/>
              </w:rPr>
            </w:pPr>
            <w:r>
              <w:rPr>
                <w:b w:val="0"/>
              </w:rPr>
              <w:t>10:30 – 15</w:t>
            </w:r>
            <w:r w:rsidR="001B36E7" w:rsidRPr="00F850F0">
              <w:rPr>
                <w:b w:val="0"/>
              </w:rPr>
              <w:t>:00</w:t>
            </w:r>
          </w:p>
        </w:tc>
      </w:tr>
    </w:tbl>
    <w:p w:rsidR="001B36E7" w:rsidRPr="00F850F0" w:rsidRDefault="001B36E7" w:rsidP="0059642B">
      <w:pPr>
        <w:pBdr>
          <w:bottom w:val="single" w:sz="12" w:space="1" w:color="auto"/>
        </w:pBdr>
        <w:jc w:val="center"/>
        <w:rPr>
          <w:rStyle w:val="TableText"/>
        </w:rPr>
      </w:pPr>
    </w:p>
    <w:p w:rsidR="001B36E7" w:rsidRPr="00F850F0" w:rsidRDefault="001B36E7" w:rsidP="00D655B3">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7C6BE1">
      <w:pPr>
        <w:rPr>
          <w:rStyle w:val="TableText"/>
        </w:rPr>
      </w:pPr>
    </w:p>
    <w:p w:rsidR="001B36E7" w:rsidRPr="00F850F0" w:rsidRDefault="001B36E7" w:rsidP="007C6BE1">
      <w:pPr>
        <w:pStyle w:val="Notices"/>
        <w:rPr>
          <w:rStyle w:val="TableText"/>
        </w:rPr>
      </w:pPr>
      <w:r w:rsidRPr="00F850F0">
        <w:rPr>
          <w:rStyle w:val="TableText"/>
        </w:rPr>
        <w:t>COPYRIGHT NOTICE</w:t>
      </w:r>
    </w:p>
    <w:p w:rsidR="001B36E7" w:rsidRPr="00F850F0" w:rsidRDefault="001B36E7" w:rsidP="007C6BE1">
      <w:pPr>
        <w:pStyle w:val="Notices"/>
        <w:rPr>
          <w:rStyle w:val="TableText"/>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1B36E7" w:rsidRPr="00F850F0" w:rsidRDefault="001B36E7" w:rsidP="007C6BE1">
      <w:pPr>
        <w:pStyle w:val="Notices"/>
        <w:rPr>
          <w:rStyle w:val="TableText"/>
        </w:rPr>
      </w:pPr>
    </w:p>
    <w:p w:rsidR="001B36E7" w:rsidRPr="00F850F0" w:rsidRDefault="001B36E7" w:rsidP="007C6BE1">
      <w:pPr>
        <w:pStyle w:val="Notices"/>
        <w:rPr>
          <w:rStyle w:val="TableText"/>
        </w:rPr>
      </w:pPr>
      <w:bookmarkStart w:id="2" w:name="_DV_C9"/>
      <w:r w:rsidRPr="00F850F0">
        <w:rPr>
          <w:rStyle w:val="TableText"/>
        </w:rPr>
        <w:t>DOCUMENT DISCLAIMER</w:t>
      </w:r>
      <w:bookmarkEnd w:id="2"/>
    </w:p>
    <w:p w:rsidR="001B36E7" w:rsidRPr="00DA7362" w:rsidRDefault="001B36E7" w:rsidP="007C6BE1">
      <w:pPr>
        <w:pStyle w:val="Notices"/>
        <w:rPr>
          <w:rStyle w:val="TableText"/>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w:t>
      </w:r>
      <w:r w:rsidRPr="00F850F0">
        <w:rPr>
          <w:rStyle w:val="TableText"/>
        </w:rPr>
        <w:lastRenderedPageBreak/>
        <w:t xml:space="preserve">fullest extent permitted by law shall not be liable for any inaccuracies, errors, omissions or misleading information </w:t>
      </w:r>
      <w:r w:rsidRPr="00DA7362">
        <w:rPr>
          <w:rStyle w:val="TableText"/>
        </w:rPr>
        <w:t>contained herein.</w:t>
      </w:r>
      <w:bookmarkEnd w:id="3"/>
    </w:p>
    <w:p w:rsidR="001B36E7" w:rsidRPr="00DA7362" w:rsidRDefault="001B36E7" w:rsidP="007C6BE1">
      <w:pPr>
        <w:rPr>
          <w:rStyle w:val="TableText"/>
        </w:rPr>
      </w:pPr>
    </w:p>
    <w:p w:rsidR="005C70F1" w:rsidRPr="00DA7362" w:rsidRDefault="005C70F1" w:rsidP="007C6BE1"/>
    <w:p w:rsidR="001B36E7" w:rsidRPr="00DD64B3" w:rsidRDefault="001B36E7" w:rsidP="007C6BE1">
      <w:pPr>
        <w:pStyle w:val="ContentsTitle"/>
        <w:jc w:val="left"/>
        <w:rPr>
          <w:b w:val="0"/>
        </w:rPr>
      </w:pPr>
      <w:r w:rsidRPr="00DD64B3">
        <w:rPr>
          <w:b w:val="0"/>
        </w:rPr>
        <w:t>Table of Contents</w:t>
      </w:r>
    </w:p>
    <w:p w:rsidR="001B36E7" w:rsidRPr="00176816" w:rsidRDefault="001B36E7" w:rsidP="007C6BE1">
      <w:pPr>
        <w:rPr>
          <w:highlight w:val="yellow"/>
        </w:rPr>
      </w:pPr>
    </w:p>
    <w:p w:rsidR="002B7161" w:rsidRDefault="000B5F90">
      <w:pPr>
        <w:pStyle w:val="TOC1"/>
        <w:rPr>
          <w:rFonts w:ascii="Calibri" w:hAnsi="Calibri"/>
          <w:sz w:val="22"/>
          <w:szCs w:val="22"/>
          <w:lang w:val="en-US"/>
        </w:rPr>
      </w:pPr>
      <w:r w:rsidRPr="000B5F90">
        <w:rPr>
          <w:noProof w:val="0"/>
          <w:sz w:val="48"/>
          <w:szCs w:val="48"/>
          <w:highlight w:val="yellow"/>
        </w:rPr>
        <w:fldChar w:fldCharType="begin"/>
      </w:r>
      <w:r w:rsidR="001B36E7" w:rsidRPr="00176816">
        <w:rPr>
          <w:noProof w:val="0"/>
          <w:sz w:val="48"/>
          <w:szCs w:val="48"/>
          <w:highlight w:val="yellow"/>
        </w:rPr>
        <w:instrText xml:space="preserve"> TOC \o "1-3" \h \z \u </w:instrText>
      </w:r>
      <w:r w:rsidRPr="000B5F90">
        <w:rPr>
          <w:noProof w:val="0"/>
          <w:sz w:val="48"/>
          <w:szCs w:val="48"/>
          <w:highlight w:val="yellow"/>
        </w:rPr>
        <w:fldChar w:fldCharType="separate"/>
      </w:r>
      <w:hyperlink w:anchor="_Toc406084432" w:history="1">
        <w:r w:rsidR="002B7161" w:rsidRPr="00711921">
          <w:rPr>
            <w:rStyle w:val="Hyperlink"/>
          </w:rPr>
          <w:t>1.</w:t>
        </w:r>
        <w:r w:rsidR="002B7161">
          <w:rPr>
            <w:rFonts w:ascii="Calibri" w:hAnsi="Calibri"/>
            <w:sz w:val="22"/>
            <w:szCs w:val="22"/>
            <w:lang w:val="en-US"/>
          </w:rPr>
          <w:tab/>
        </w:r>
        <w:r w:rsidR="002B7161" w:rsidRPr="00711921">
          <w:rPr>
            <w:rStyle w:val="Hyperlink"/>
          </w:rPr>
          <w:t>SEMO Update</w:t>
        </w:r>
        <w:r w:rsidR="002B7161">
          <w:rPr>
            <w:webHidden/>
          </w:rPr>
          <w:tab/>
        </w:r>
        <w:r>
          <w:rPr>
            <w:webHidden/>
          </w:rPr>
          <w:fldChar w:fldCharType="begin"/>
        </w:r>
        <w:r w:rsidR="002B7161">
          <w:rPr>
            <w:webHidden/>
          </w:rPr>
          <w:instrText xml:space="preserve"> PAGEREF _Toc406084432 \h </w:instrText>
        </w:r>
        <w:r>
          <w:rPr>
            <w:webHidden/>
          </w:rPr>
        </w:r>
        <w:r>
          <w:rPr>
            <w:webHidden/>
          </w:rPr>
          <w:fldChar w:fldCharType="separate"/>
        </w:r>
        <w:r w:rsidR="002B7161">
          <w:rPr>
            <w:webHidden/>
          </w:rPr>
          <w:t>5</w:t>
        </w:r>
        <w:r>
          <w:rPr>
            <w:webHidden/>
          </w:rPr>
          <w:fldChar w:fldCharType="end"/>
        </w:r>
      </w:hyperlink>
    </w:p>
    <w:p w:rsidR="002B7161" w:rsidRDefault="000B5F90">
      <w:pPr>
        <w:pStyle w:val="TOC1"/>
        <w:rPr>
          <w:rFonts w:ascii="Calibri" w:hAnsi="Calibri"/>
          <w:sz w:val="22"/>
          <w:szCs w:val="22"/>
          <w:lang w:val="en-US"/>
        </w:rPr>
      </w:pPr>
      <w:hyperlink w:anchor="_Toc406084433" w:history="1">
        <w:r w:rsidR="002B7161" w:rsidRPr="00711921">
          <w:rPr>
            <w:rStyle w:val="Hyperlink"/>
          </w:rPr>
          <w:t>2.</w:t>
        </w:r>
        <w:r w:rsidR="002B7161">
          <w:rPr>
            <w:rFonts w:ascii="Calibri" w:hAnsi="Calibri"/>
            <w:sz w:val="22"/>
            <w:szCs w:val="22"/>
            <w:lang w:val="en-US"/>
          </w:rPr>
          <w:tab/>
        </w:r>
        <w:r w:rsidR="002B7161" w:rsidRPr="00711921">
          <w:rPr>
            <w:rStyle w:val="Hyperlink"/>
          </w:rPr>
          <w:t>Review of Actions</w:t>
        </w:r>
        <w:r w:rsidR="002B7161">
          <w:rPr>
            <w:webHidden/>
          </w:rPr>
          <w:tab/>
        </w:r>
        <w:r>
          <w:rPr>
            <w:webHidden/>
          </w:rPr>
          <w:fldChar w:fldCharType="begin"/>
        </w:r>
        <w:r w:rsidR="002B7161">
          <w:rPr>
            <w:webHidden/>
          </w:rPr>
          <w:instrText xml:space="preserve"> PAGEREF _Toc406084433 \h </w:instrText>
        </w:r>
        <w:r>
          <w:rPr>
            <w:webHidden/>
          </w:rPr>
        </w:r>
        <w:r>
          <w:rPr>
            <w:webHidden/>
          </w:rPr>
          <w:fldChar w:fldCharType="separate"/>
        </w:r>
        <w:r w:rsidR="002B7161">
          <w:rPr>
            <w:webHidden/>
          </w:rPr>
          <w:t>6</w:t>
        </w:r>
        <w:r>
          <w:rPr>
            <w:webHidden/>
          </w:rPr>
          <w:fldChar w:fldCharType="end"/>
        </w:r>
      </w:hyperlink>
    </w:p>
    <w:p w:rsidR="002B7161" w:rsidRDefault="000B5F90">
      <w:pPr>
        <w:pStyle w:val="TOC1"/>
        <w:rPr>
          <w:rFonts w:ascii="Calibri" w:hAnsi="Calibri"/>
          <w:sz w:val="22"/>
          <w:szCs w:val="22"/>
          <w:lang w:val="en-US"/>
        </w:rPr>
      </w:pPr>
      <w:hyperlink w:anchor="_Toc406084434" w:history="1">
        <w:r w:rsidR="002B7161" w:rsidRPr="00711921">
          <w:rPr>
            <w:rStyle w:val="Hyperlink"/>
          </w:rPr>
          <w:t>3.</w:t>
        </w:r>
        <w:r w:rsidR="002B7161">
          <w:rPr>
            <w:rFonts w:ascii="Calibri" w:hAnsi="Calibri"/>
            <w:sz w:val="22"/>
            <w:szCs w:val="22"/>
            <w:lang w:val="en-US"/>
          </w:rPr>
          <w:tab/>
        </w:r>
        <w:r w:rsidR="002B7161" w:rsidRPr="00711921">
          <w:rPr>
            <w:rStyle w:val="Hyperlink"/>
          </w:rPr>
          <w:t>Deferred Modification Proposals</w:t>
        </w:r>
        <w:r w:rsidR="002B7161">
          <w:rPr>
            <w:webHidden/>
          </w:rPr>
          <w:tab/>
        </w:r>
        <w:r>
          <w:rPr>
            <w:webHidden/>
          </w:rPr>
          <w:fldChar w:fldCharType="begin"/>
        </w:r>
        <w:r w:rsidR="002B7161">
          <w:rPr>
            <w:webHidden/>
          </w:rPr>
          <w:instrText xml:space="preserve"> PAGEREF _Toc406084434 \h </w:instrText>
        </w:r>
        <w:r>
          <w:rPr>
            <w:webHidden/>
          </w:rPr>
        </w:r>
        <w:r>
          <w:rPr>
            <w:webHidden/>
          </w:rPr>
          <w:fldChar w:fldCharType="separate"/>
        </w:r>
        <w:r w:rsidR="002B7161">
          <w:rPr>
            <w:webHidden/>
          </w:rPr>
          <w:t>8</w:t>
        </w:r>
        <w:r>
          <w:rPr>
            <w:webHidden/>
          </w:rPr>
          <w:fldChar w:fldCharType="end"/>
        </w:r>
      </w:hyperlink>
    </w:p>
    <w:p w:rsidR="002B7161" w:rsidRDefault="000B5F90">
      <w:pPr>
        <w:pStyle w:val="TOC2"/>
        <w:rPr>
          <w:rFonts w:ascii="Calibri" w:hAnsi="Calibri"/>
          <w:sz w:val="22"/>
          <w:szCs w:val="22"/>
          <w:lang w:val="en-US"/>
        </w:rPr>
      </w:pPr>
      <w:hyperlink w:anchor="_Toc406084435" w:history="1">
        <w:r w:rsidR="002B7161" w:rsidRPr="00711921">
          <w:rPr>
            <w:rStyle w:val="Hyperlink"/>
            <w:b/>
            <w:bCs/>
            <w:smallCaps/>
            <w:spacing w:val="5"/>
          </w:rPr>
          <w:t>I.</w:t>
        </w:r>
        <w:r w:rsidR="002B7161">
          <w:rPr>
            <w:rFonts w:ascii="Calibri" w:hAnsi="Calibri"/>
            <w:sz w:val="22"/>
            <w:szCs w:val="22"/>
            <w:lang w:val="en-US"/>
          </w:rPr>
          <w:tab/>
        </w:r>
        <w:r w:rsidR="002B7161" w:rsidRPr="00711921">
          <w:rPr>
            <w:rStyle w:val="Hyperlink"/>
            <w:b/>
            <w:bCs/>
            <w:smallCaps/>
            <w:spacing w:val="5"/>
          </w:rPr>
          <w:t>Mod_11_12 proposal to extend the</w:t>
        </w:r>
        <w:r w:rsidR="002B7161" w:rsidRPr="00711921">
          <w:rPr>
            <w:rStyle w:val="Hyperlink"/>
          </w:rPr>
          <w:t xml:space="preserve"> </w:t>
        </w:r>
        <w:r w:rsidR="002B7161" w:rsidRPr="00711921">
          <w:rPr>
            <w:rStyle w:val="Hyperlink"/>
            <w:b/>
            <w:bCs/>
            <w:smallCaps/>
            <w:spacing w:val="5"/>
          </w:rPr>
          <w:t>definition of special units to include caes</w:t>
        </w:r>
        <w:r w:rsidR="002B7161">
          <w:rPr>
            <w:webHidden/>
          </w:rPr>
          <w:tab/>
        </w:r>
        <w:r>
          <w:rPr>
            <w:webHidden/>
          </w:rPr>
          <w:fldChar w:fldCharType="begin"/>
        </w:r>
        <w:r w:rsidR="002B7161">
          <w:rPr>
            <w:webHidden/>
          </w:rPr>
          <w:instrText xml:space="preserve"> PAGEREF _Toc406084435 \h </w:instrText>
        </w:r>
        <w:r>
          <w:rPr>
            <w:webHidden/>
          </w:rPr>
        </w:r>
        <w:r>
          <w:rPr>
            <w:webHidden/>
          </w:rPr>
          <w:fldChar w:fldCharType="separate"/>
        </w:r>
        <w:r w:rsidR="002B7161">
          <w:rPr>
            <w:webHidden/>
          </w:rPr>
          <w:t>8</w:t>
        </w:r>
        <w:r>
          <w:rPr>
            <w:webHidden/>
          </w:rPr>
          <w:fldChar w:fldCharType="end"/>
        </w:r>
      </w:hyperlink>
    </w:p>
    <w:p w:rsidR="002B7161" w:rsidRDefault="000B5F90">
      <w:pPr>
        <w:pStyle w:val="TOC2"/>
        <w:rPr>
          <w:rFonts w:ascii="Calibri" w:hAnsi="Calibri"/>
          <w:sz w:val="22"/>
          <w:szCs w:val="22"/>
          <w:lang w:val="en-US"/>
        </w:rPr>
      </w:pPr>
      <w:hyperlink w:anchor="_Toc406084436" w:history="1">
        <w:r w:rsidR="002B7161" w:rsidRPr="00711921">
          <w:rPr>
            <w:rStyle w:val="Hyperlink"/>
            <w:b/>
            <w:smallCaps/>
            <w:spacing w:val="5"/>
          </w:rPr>
          <w:t>I</w:t>
        </w:r>
        <w:r w:rsidR="002B7161" w:rsidRPr="00711921">
          <w:rPr>
            <w:rStyle w:val="Hyperlink"/>
            <w:b/>
            <w:smallCaps/>
            <w:spacing w:val="5"/>
            <w:lang w:val="en-IE"/>
          </w:rPr>
          <w:t>I</w:t>
        </w:r>
        <w:r w:rsidR="002B7161" w:rsidRPr="00711921">
          <w:rPr>
            <w:rStyle w:val="Hyperlink"/>
            <w:b/>
            <w:smallCaps/>
            <w:spacing w:val="5"/>
          </w:rPr>
          <w:t>.</w:t>
        </w:r>
        <w:r w:rsidR="002B7161">
          <w:rPr>
            <w:rFonts w:ascii="Calibri" w:hAnsi="Calibri"/>
            <w:sz w:val="22"/>
            <w:szCs w:val="22"/>
            <w:lang w:val="en-US"/>
          </w:rPr>
          <w:tab/>
        </w:r>
        <w:r w:rsidR="002B7161" w:rsidRPr="00711921">
          <w:rPr>
            <w:rStyle w:val="Hyperlink"/>
            <w:b/>
            <w:smallCaps/>
            <w:spacing w:val="5"/>
          </w:rPr>
          <w:t>Mod_</w:t>
        </w:r>
        <w:r w:rsidR="002B7161" w:rsidRPr="00711921">
          <w:rPr>
            <w:rStyle w:val="Hyperlink"/>
            <w:b/>
            <w:smallCaps/>
            <w:spacing w:val="5"/>
            <w:lang w:val="en-IE"/>
          </w:rPr>
          <w:t>02_13_registration of charges</w:t>
        </w:r>
        <w:r w:rsidR="002B7161">
          <w:rPr>
            <w:webHidden/>
          </w:rPr>
          <w:tab/>
        </w:r>
        <w:r>
          <w:rPr>
            <w:webHidden/>
          </w:rPr>
          <w:fldChar w:fldCharType="begin"/>
        </w:r>
        <w:r w:rsidR="002B7161">
          <w:rPr>
            <w:webHidden/>
          </w:rPr>
          <w:instrText xml:space="preserve"> PAGEREF _Toc406084436 \h </w:instrText>
        </w:r>
        <w:r>
          <w:rPr>
            <w:webHidden/>
          </w:rPr>
        </w:r>
        <w:r>
          <w:rPr>
            <w:webHidden/>
          </w:rPr>
          <w:fldChar w:fldCharType="separate"/>
        </w:r>
        <w:r w:rsidR="002B7161">
          <w:rPr>
            <w:webHidden/>
          </w:rPr>
          <w:t>8</w:t>
        </w:r>
        <w:r>
          <w:rPr>
            <w:webHidden/>
          </w:rPr>
          <w:fldChar w:fldCharType="end"/>
        </w:r>
      </w:hyperlink>
    </w:p>
    <w:p w:rsidR="002B7161" w:rsidRDefault="000B5F90">
      <w:pPr>
        <w:pStyle w:val="TOC2"/>
        <w:rPr>
          <w:rFonts w:ascii="Calibri" w:hAnsi="Calibri"/>
          <w:sz w:val="22"/>
          <w:szCs w:val="22"/>
          <w:lang w:val="en-US"/>
        </w:rPr>
      </w:pPr>
      <w:hyperlink w:anchor="_Toc406084437" w:history="1">
        <w:r w:rsidR="002B7161" w:rsidRPr="00711921">
          <w:rPr>
            <w:rStyle w:val="Hyperlink"/>
            <w:b/>
            <w:smallCaps/>
            <w:spacing w:val="5"/>
          </w:rPr>
          <w:t>I</w:t>
        </w:r>
        <w:r w:rsidR="002B7161" w:rsidRPr="00711921">
          <w:rPr>
            <w:rStyle w:val="Hyperlink"/>
            <w:b/>
            <w:smallCaps/>
            <w:spacing w:val="5"/>
            <w:lang w:val="en-IE"/>
          </w:rPr>
          <w:t>I</w:t>
        </w:r>
        <w:r w:rsidR="002B7161" w:rsidRPr="00711921">
          <w:rPr>
            <w:rStyle w:val="Hyperlink"/>
            <w:b/>
            <w:smallCaps/>
            <w:spacing w:val="5"/>
          </w:rPr>
          <w:t>I.</w:t>
        </w:r>
        <w:r w:rsidR="002B7161">
          <w:rPr>
            <w:rFonts w:ascii="Calibri" w:hAnsi="Calibri"/>
            <w:sz w:val="22"/>
            <w:szCs w:val="22"/>
            <w:lang w:val="en-US"/>
          </w:rPr>
          <w:tab/>
        </w:r>
        <w:r w:rsidR="002B7161" w:rsidRPr="00711921">
          <w:rPr>
            <w:rStyle w:val="Hyperlink"/>
            <w:b/>
            <w:smallCaps/>
            <w:spacing w:val="5"/>
          </w:rPr>
          <w:t>Mod_</w:t>
        </w:r>
        <w:r w:rsidR="002B7161" w:rsidRPr="00711921">
          <w:rPr>
            <w:rStyle w:val="Hyperlink"/>
            <w:b/>
            <w:smallCaps/>
            <w:spacing w:val="5"/>
            <w:lang w:val="en-IE"/>
          </w:rPr>
          <w:t>08_14 Clarification of location of sem collateral reserve accounts</w:t>
        </w:r>
        <w:r w:rsidR="002B7161">
          <w:rPr>
            <w:webHidden/>
          </w:rPr>
          <w:tab/>
        </w:r>
        <w:r>
          <w:rPr>
            <w:webHidden/>
          </w:rPr>
          <w:fldChar w:fldCharType="begin"/>
        </w:r>
        <w:r w:rsidR="002B7161">
          <w:rPr>
            <w:webHidden/>
          </w:rPr>
          <w:instrText xml:space="preserve"> PAGEREF _Toc406084437 \h </w:instrText>
        </w:r>
        <w:r>
          <w:rPr>
            <w:webHidden/>
          </w:rPr>
        </w:r>
        <w:r>
          <w:rPr>
            <w:webHidden/>
          </w:rPr>
          <w:fldChar w:fldCharType="separate"/>
        </w:r>
        <w:r w:rsidR="002B7161">
          <w:rPr>
            <w:webHidden/>
          </w:rPr>
          <w:t>10</w:t>
        </w:r>
        <w:r>
          <w:rPr>
            <w:webHidden/>
          </w:rPr>
          <w:fldChar w:fldCharType="end"/>
        </w:r>
      </w:hyperlink>
    </w:p>
    <w:p w:rsidR="002B7161" w:rsidRDefault="000B5F90">
      <w:pPr>
        <w:pStyle w:val="TOC1"/>
        <w:rPr>
          <w:rFonts w:ascii="Calibri" w:hAnsi="Calibri"/>
          <w:sz w:val="22"/>
          <w:szCs w:val="22"/>
          <w:lang w:val="en-US"/>
        </w:rPr>
      </w:pPr>
      <w:hyperlink w:anchor="_Toc406084438" w:history="1">
        <w:r w:rsidR="002B7161" w:rsidRPr="00711921">
          <w:rPr>
            <w:rStyle w:val="Hyperlink"/>
          </w:rPr>
          <w:t>4.</w:t>
        </w:r>
        <w:r w:rsidR="002B7161">
          <w:rPr>
            <w:rFonts w:ascii="Calibri" w:hAnsi="Calibri"/>
            <w:sz w:val="22"/>
            <w:szCs w:val="22"/>
            <w:lang w:val="en-US"/>
          </w:rPr>
          <w:tab/>
        </w:r>
        <w:r w:rsidR="002B7161" w:rsidRPr="00711921">
          <w:rPr>
            <w:rStyle w:val="Hyperlink"/>
          </w:rPr>
          <w:t>NEW Modification Proposals</w:t>
        </w:r>
        <w:r w:rsidR="002B7161">
          <w:rPr>
            <w:webHidden/>
          </w:rPr>
          <w:tab/>
        </w:r>
        <w:r>
          <w:rPr>
            <w:webHidden/>
          </w:rPr>
          <w:fldChar w:fldCharType="begin"/>
        </w:r>
        <w:r w:rsidR="002B7161">
          <w:rPr>
            <w:webHidden/>
          </w:rPr>
          <w:instrText xml:space="preserve"> PAGEREF _Toc406084438 \h </w:instrText>
        </w:r>
        <w:r>
          <w:rPr>
            <w:webHidden/>
          </w:rPr>
        </w:r>
        <w:r>
          <w:rPr>
            <w:webHidden/>
          </w:rPr>
          <w:fldChar w:fldCharType="separate"/>
        </w:r>
        <w:r w:rsidR="002B7161">
          <w:rPr>
            <w:webHidden/>
          </w:rPr>
          <w:t>10</w:t>
        </w:r>
        <w:r>
          <w:rPr>
            <w:webHidden/>
          </w:rPr>
          <w:fldChar w:fldCharType="end"/>
        </w:r>
      </w:hyperlink>
    </w:p>
    <w:p w:rsidR="002B7161" w:rsidRDefault="000B5F90">
      <w:pPr>
        <w:pStyle w:val="TOC2"/>
        <w:rPr>
          <w:rFonts w:ascii="Calibri" w:hAnsi="Calibri"/>
          <w:sz w:val="22"/>
          <w:szCs w:val="22"/>
          <w:lang w:val="en-US"/>
        </w:rPr>
      </w:pPr>
      <w:hyperlink w:anchor="_Toc406084439" w:history="1">
        <w:r w:rsidR="002B7161" w:rsidRPr="00711921">
          <w:rPr>
            <w:rStyle w:val="Hyperlink"/>
            <w:b/>
            <w:bCs/>
            <w:smallCaps/>
            <w:spacing w:val="5"/>
            <w:lang w:val="en-IE"/>
          </w:rPr>
          <w:t>I.</w:t>
        </w:r>
        <w:r w:rsidR="002B7161">
          <w:rPr>
            <w:rFonts w:ascii="Calibri" w:hAnsi="Calibri"/>
            <w:sz w:val="22"/>
            <w:szCs w:val="22"/>
            <w:lang w:val="en-US"/>
          </w:rPr>
          <w:tab/>
        </w:r>
        <w:r w:rsidR="002B7161" w:rsidRPr="00711921">
          <w:rPr>
            <w:rStyle w:val="Hyperlink"/>
            <w:b/>
            <w:bCs/>
            <w:smallCaps/>
            <w:spacing w:val="5"/>
          </w:rPr>
          <w:t>Mod_1</w:t>
        </w:r>
        <w:r w:rsidR="002B7161" w:rsidRPr="00711921">
          <w:rPr>
            <w:rStyle w:val="Hyperlink"/>
            <w:b/>
            <w:bCs/>
            <w:smallCaps/>
            <w:spacing w:val="5"/>
            <w:lang w:val="en-IE"/>
          </w:rPr>
          <w:t>3_14 DSUs as Price Takers</w:t>
        </w:r>
        <w:r w:rsidR="002B7161">
          <w:rPr>
            <w:webHidden/>
          </w:rPr>
          <w:tab/>
        </w:r>
        <w:r>
          <w:rPr>
            <w:webHidden/>
          </w:rPr>
          <w:fldChar w:fldCharType="begin"/>
        </w:r>
        <w:r w:rsidR="002B7161">
          <w:rPr>
            <w:webHidden/>
          </w:rPr>
          <w:instrText xml:space="preserve"> PAGEREF _Toc406084439 \h </w:instrText>
        </w:r>
        <w:r>
          <w:rPr>
            <w:webHidden/>
          </w:rPr>
        </w:r>
        <w:r>
          <w:rPr>
            <w:webHidden/>
          </w:rPr>
          <w:fldChar w:fldCharType="separate"/>
        </w:r>
        <w:r w:rsidR="002B7161">
          <w:rPr>
            <w:webHidden/>
          </w:rPr>
          <w:t>10</w:t>
        </w:r>
        <w:r>
          <w:rPr>
            <w:webHidden/>
          </w:rPr>
          <w:fldChar w:fldCharType="end"/>
        </w:r>
      </w:hyperlink>
    </w:p>
    <w:p w:rsidR="002B7161" w:rsidRDefault="000B5F90">
      <w:pPr>
        <w:pStyle w:val="TOC2"/>
        <w:rPr>
          <w:rFonts w:ascii="Calibri" w:hAnsi="Calibri"/>
          <w:sz w:val="22"/>
          <w:szCs w:val="22"/>
          <w:lang w:val="en-US"/>
        </w:rPr>
      </w:pPr>
      <w:hyperlink w:anchor="_Toc406084440" w:history="1">
        <w:r w:rsidR="002B7161" w:rsidRPr="00711921">
          <w:rPr>
            <w:rStyle w:val="Hyperlink"/>
            <w:b/>
            <w:smallCaps/>
            <w:spacing w:val="5"/>
          </w:rPr>
          <w:t>I</w:t>
        </w:r>
        <w:r w:rsidR="002B7161" w:rsidRPr="00711921">
          <w:rPr>
            <w:rStyle w:val="Hyperlink"/>
            <w:b/>
            <w:smallCaps/>
            <w:spacing w:val="5"/>
            <w:lang w:val="en-IE"/>
          </w:rPr>
          <w:t>I</w:t>
        </w:r>
        <w:r w:rsidR="002B7161" w:rsidRPr="00711921">
          <w:rPr>
            <w:rStyle w:val="Hyperlink"/>
            <w:b/>
            <w:smallCaps/>
            <w:spacing w:val="5"/>
          </w:rPr>
          <w:t>.</w:t>
        </w:r>
        <w:r w:rsidR="002B7161">
          <w:rPr>
            <w:rFonts w:ascii="Calibri" w:hAnsi="Calibri"/>
            <w:sz w:val="22"/>
            <w:szCs w:val="22"/>
            <w:lang w:val="en-US"/>
          </w:rPr>
          <w:tab/>
        </w:r>
        <w:r w:rsidR="002B7161" w:rsidRPr="00711921">
          <w:rPr>
            <w:rStyle w:val="Hyperlink"/>
            <w:b/>
            <w:smallCaps/>
            <w:spacing w:val="5"/>
          </w:rPr>
          <w:t xml:space="preserve">Mod_09_14 </w:t>
        </w:r>
        <w:r w:rsidR="002B7161" w:rsidRPr="00711921">
          <w:rPr>
            <w:rStyle w:val="Hyperlink"/>
            <w:b/>
            <w:bCs/>
            <w:smallCaps/>
            <w:spacing w:val="5"/>
          </w:rPr>
          <w:t xml:space="preserve"> Amendment to Make Whole Payments for Interconnector Units</w:t>
        </w:r>
        <w:r w:rsidR="002B7161">
          <w:rPr>
            <w:webHidden/>
          </w:rPr>
          <w:tab/>
        </w:r>
        <w:r>
          <w:rPr>
            <w:webHidden/>
          </w:rPr>
          <w:fldChar w:fldCharType="begin"/>
        </w:r>
        <w:r w:rsidR="002B7161">
          <w:rPr>
            <w:webHidden/>
          </w:rPr>
          <w:instrText xml:space="preserve"> PAGEREF _Toc406084440 \h </w:instrText>
        </w:r>
        <w:r>
          <w:rPr>
            <w:webHidden/>
          </w:rPr>
        </w:r>
        <w:r>
          <w:rPr>
            <w:webHidden/>
          </w:rPr>
          <w:fldChar w:fldCharType="separate"/>
        </w:r>
        <w:r w:rsidR="002B7161">
          <w:rPr>
            <w:webHidden/>
          </w:rPr>
          <w:t>12</w:t>
        </w:r>
        <w:r>
          <w:rPr>
            <w:webHidden/>
          </w:rPr>
          <w:fldChar w:fldCharType="end"/>
        </w:r>
      </w:hyperlink>
    </w:p>
    <w:p w:rsidR="002B7161" w:rsidRDefault="000B5F90">
      <w:pPr>
        <w:pStyle w:val="TOC2"/>
        <w:rPr>
          <w:rFonts w:ascii="Calibri" w:hAnsi="Calibri"/>
          <w:sz w:val="22"/>
          <w:szCs w:val="22"/>
          <w:lang w:val="en-US"/>
        </w:rPr>
      </w:pPr>
      <w:hyperlink w:anchor="_Toc406084441" w:history="1">
        <w:r w:rsidR="002B7161" w:rsidRPr="00711921">
          <w:rPr>
            <w:rStyle w:val="Hyperlink"/>
            <w:b/>
            <w:bCs/>
            <w:smallCaps/>
            <w:spacing w:val="5"/>
            <w:lang w:val="en-IE"/>
          </w:rPr>
          <w:t>III.</w:t>
        </w:r>
        <w:r w:rsidR="002B7161">
          <w:rPr>
            <w:rFonts w:ascii="Calibri" w:hAnsi="Calibri"/>
            <w:sz w:val="22"/>
            <w:szCs w:val="22"/>
            <w:lang w:val="en-US"/>
          </w:rPr>
          <w:tab/>
        </w:r>
        <w:r w:rsidR="002B7161" w:rsidRPr="00711921">
          <w:rPr>
            <w:rStyle w:val="Hyperlink"/>
            <w:b/>
            <w:bCs/>
            <w:smallCaps/>
            <w:spacing w:val="5"/>
          </w:rPr>
          <w:t>Mod_</w:t>
        </w:r>
        <w:r w:rsidR="002B7161" w:rsidRPr="00711921">
          <w:rPr>
            <w:rStyle w:val="Hyperlink"/>
            <w:b/>
            <w:bCs/>
            <w:smallCaps/>
            <w:spacing w:val="5"/>
            <w:lang w:val="en-IE"/>
          </w:rPr>
          <w:t>10</w:t>
        </w:r>
        <w:r w:rsidR="002B7161" w:rsidRPr="00711921">
          <w:rPr>
            <w:rStyle w:val="Hyperlink"/>
            <w:b/>
            <w:bCs/>
            <w:smallCaps/>
            <w:spacing w:val="5"/>
          </w:rPr>
          <w:t xml:space="preserve">_14 </w:t>
        </w:r>
        <w:r w:rsidR="002B7161" w:rsidRPr="00711921">
          <w:rPr>
            <w:rStyle w:val="Hyperlink"/>
            <w:b/>
            <w:bCs/>
            <w:smallCaps/>
            <w:spacing w:val="5"/>
            <w:lang w:val="en-IE"/>
          </w:rPr>
          <w:t>make whole payments for interconnector units</w:t>
        </w:r>
        <w:r w:rsidR="002B7161">
          <w:rPr>
            <w:webHidden/>
          </w:rPr>
          <w:tab/>
        </w:r>
        <w:r>
          <w:rPr>
            <w:webHidden/>
          </w:rPr>
          <w:fldChar w:fldCharType="begin"/>
        </w:r>
        <w:r w:rsidR="002B7161">
          <w:rPr>
            <w:webHidden/>
          </w:rPr>
          <w:instrText xml:space="preserve"> PAGEREF _Toc406084441 \h </w:instrText>
        </w:r>
        <w:r>
          <w:rPr>
            <w:webHidden/>
          </w:rPr>
        </w:r>
        <w:r>
          <w:rPr>
            <w:webHidden/>
          </w:rPr>
          <w:fldChar w:fldCharType="separate"/>
        </w:r>
        <w:r w:rsidR="002B7161">
          <w:rPr>
            <w:webHidden/>
          </w:rPr>
          <w:t>13</w:t>
        </w:r>
        <w:r>
          <w:rPr>
            <w:webHidden/>
          </w:rPr>
          <w:fldChar w:fldCharType="end"/>
        </w:r>
      </w:hyperlink>
    </w:p>
    <w:p w:rsidR="002B7161" w:rsidRDefault="000B5F90">
      <w:pPr>
        <w:pStyle w:val="TOC2"/>
        <w:rPr>
          <w:rFonts w:ascii="Calibri" w:hAnsi="Calibri"/>
          <w:sz w:val="22"/>
          <w:szCs w:val="22"/>
          <w:lang w:val="en-US"/>
        </w:rPr>
      </w:pPr>
      <w:hyperlink w:anchor="_Toc406084442" w:history="1">
        <w:r w:rsidR="002B7161" w:rsidRPr="00711921">
          <w:rPr>
            <w:rStyle w:val="Hyperlink"/>
            <w:b/>
            <w:bCs/>
            <w:smallCaps/>
            <w:spacing w:val="5"/>
            <w:lang w:val="en-IE"/>
          </w:rPr>
          <w:t>IV.</w:t>
        </w:r>
        <w:r w:rsidR="002B7161">
          <w:rPr>
            <w:rFonts w:ascii="Calibri" w:hAnsi="Calibri"/>
            <w:sz w:val="22"/>
            <w:szCs w:val="22"/>
            <w:lang w:val="en-US"/>
          </w:rPr>
          <w:tab/>
        </w:r>
        <w:r w:rsidR="002B7161" w:rsidRPr="00711921">
          <w:rPr>
            <w:rStyle w:val="Hyperlink"/>
            <w:b/>
            <w:bCs/>
            <w:smallCaps/>
            <w:spacing w:val="5"/>
          </w:rPr>
          <w:t>Mod_</w:t>
        </w:r>
        <w:r w:rsidR="002B7161" w:rsidRPr="00711921">
          <w:rPr>
            <w:rStyle w:val="Hyperlink"/>
            <w:b/>
            <w:bCs/>
            <w:smallCaps/>
            <w:spacing w:val="5"/>
            <w:lang w:val="en-IE"/>
          </w:rPr>
          <w:t>11</w:t>
        </w:r>
        <w:r w:rsidR="002B7161" w:rsidRPr="00711921">
          <w:rPr>
            <w:rStyle w:val="Hyperlink"/>
            <w:b/>
            <w:bCs/>
            <w:smallCaps/>
            <w:spacing w:val="5"/>
          </w:rPr>
          <w:t xml:space="preserve">_14 </w:t>
        </w:r>
        <w:r w:rsidR="002B7161" w:rsidRPr="00711921">
          <w:rPr>
            <w:rStyle w:val="Hyperlink"/>
            <w:b/>
            <w:bCs/>
            <w:smallCaps/>
            <w:spacing w:val="5"/>
            <w:lang w:val="en-IE"/>
          </w:rPr>
          <w:t>pay-as-bid/paid-as-bid for Interconnector units</w:t>
        </w:r>
        <w:r w:rsidR="002B7161">
          <w:rPr>
            <w:webHidden/>
          </w:rPr>
          <w:tab/>
        </w:r>
        <w:r>
          <w:rPr>
            <w:webHidden/>
          </w:rPr>
          <w:fldChar w:fldCharType="begin"/>
        </w:r>
        <w:r w:rsidR="002B7161">
          <w:rPr>
            <w:webHidden/>
          </w:rPr>
          <w:instrText xml:space="preserve"> PAGEREF _Toc406084442 \h </w:instrText>
        </w:r>
        <w:r>
          <w:rPr>
            <w:webHidden/>
          </w:rPr>
        </w:r>
        <w:r>
          <w:rPr>
            <w:webHidden/>
          </w:rPr>
          <w:fldChar w:fldCharType="separate"/>
        </w:r>
        <w:r w:rsidR="002B7161">
          <w:rPr>
            <w:webHidden/>
          </w:rPr>
          <w:t>13</w:t>
        </w:r>
        <w:r>
          <w:rPr>
            <w:webHidden/>
          </w:rPr>
          <w:fldChar w:fldCharType="end"/>
        </w:r>
      </w:hyperlink>
    </w:p>
    <w:p w:rsidR="002B7161" w:rsidRDefault="002B7161">
      <w:pPr>
        <w:pStyle w:val="TOC2"/>
        <w:rPr>
          <w:rFonts w:ascii="Calibri" w:hAnsi="Calibri"/>
          <w:sz w:val="22"/>
          <w:szCs w:val="22"/>
          <w:lang w:val="en-US"/>
        </w:rPr>
      </w:pPr>
      <w:r w:rsidRPr="002B7161">
        <w:rPr>
          <w:rStyle w:val="Hyperlink"/>
          <w:u w:val="none"/>
        </w:rPr>
        <w:tab/>
      </w:r>
      <w:hyperlink w:anchor="_Toc406084443" w:history="1">
        <w:r>
          <w:rPr>
            <w:rStyle w:val="Hyperlink"/>
            <w:lang w:val="en-IE" w:eastAsia="en-GB"/>
          </w:rPr>
          <w:t>Make Whole Payments Dis</w:t>
        </w:r>
        <w:r w:rsidRPr="00711921">
          <w:rPr>
            <w:rStyle w:val="Hyperlink"/>
            <w:lang w:val="en-IE" w:eastAsia="en-GB"/>
          </w:rPr>
          <w:t>cussion (On all four Modification proposals)</w:t>
        </w:r>
        <w:r>
          <w:rPr>
            <w:webHidden/>
          </w:rPr>
          <w:tab/>
        </w:r>
        <w:r w:rsidR="000B5F90">
          <w:rPr>
            <w:webHidden/>
          </w:rPr>
          <w:fldChar w:fldCharType="begin"/>
        </w:r>
        <w:r>
          <w:rPr>
            <w:webHidden/>
          </w:rPr>
          <w:instrText xml:space="preserve"> PAGEREF _Toc406084443 \h </w:instrText>
        </w:r>
        <w:r w:rsidR="000B5F90">
          <w:rPr>
            <w:webHidden/>
          </w:rPr>
        </w:r>
        <w:r w:rsidR="000B5F90">
          <w:rPr>
            <w:webHidden/>
          </w:rPr>
          <w:fldChar w:fldCharType="separate"/>
        </w:r>
        <w:r>
          <w:rPr>
            <w:webHidden/>
          </w:rPr>
          <w:t>13</w:t>
        </w:r>
        <w:r w:rsidR="000B5F90">
          <w:rPr>
            <w:webHidden/>
          </w:rPr>
          <w:fldChar w:fldCharType="end"/>
        </w:r>
      </w:hyperlink>
    </w:p>
    <w:p w:rsidR="002B7161" w:rsidRDefault="000B5F90">
      <w:pPr>
        <w:pStyle w:val="TOC2"/>
        <w:rPr>
          <w:rFonts w:ascii="Calibri" w:hAnsi="Calibri"/>
          <w:sz w:val="22"/>
          <w:szCs w:val="22"/>
          <w:lang w:val="en-US"/>
        </w:rPr>
      </w:pPr>
      <w:hyperlink w:anchor="_Toc406084444" w:history="1">
        <w:r w:rsidR="002B7161" w:rsidRPr="00711921">
          <w:rPr>
            <w:rStyle w:val="Hyperlink"/>
            <w:b/>
            <w:bCs/>
            <w:smallCaps/>
            <w:spacing w:val="5"/>
            <w:lang w:val="en-IE"/>
          </w:rPr>
          <w:t xml:space="preserve">V. </w:t>
        </w:r>
        <w:r w:rsidR="002B7161">
          <w:rPr>
            <w:rFonts w:ascii="Calibri" w:hAnsi="Calibri"/>
            <w:sz w:val="22"/>
            <w:szCs w:val="22"/>
            <w:lang w:val="en-US"/>
          </w:rPr>
          <w:tab/>
        </w:r>
        <w:r w:rsidR="002B7161" w:rsidRPr="00711921">
          <w:rPr>
            <w:rStyle w:val="Hyperlink"/>
            <w:b/>
            <w:bCs/>
            <w:smallCaps/>
            <w:spacing w:val="5"/>
          </w:rPr>
          <w:t>Mod_1</w:t>
        </w:r>
        <w:r w:rsidR="002B7161" w:rsidRPr="00711921">
          <w:rPr>
            <w:rStyle w:val="Hyperlink"/>
            <w:b/>
            <w:bCs/>
            <w:smallCaps/>
            <w:spacing w:val="5"/>
            <w:lang w:val="en-IE"/>
          </w:rPr>
          <w:t>2</w:t>
        </w:r>
        <w:r w:rsidR="002B7161" w:rsidRPr="00711921">
          <w:rPr>
            <w:rStyle w:val="Hyperlink"/>
            <w:b/>
            <w:bCs/>
            <w:smallCaps/>
            <w:spacing w:val="5"/>
          </w:rPr>
          <w:t>_14 Amendment to Make Whole Mechanism to remove Settlement Periods of simultaneous import and export flows</w:t>
        </w:r>
        <w:r w:rsidR="002B7161">
          <w:rPr>
            <w:webHidden/>
          </w:rPr>
          <w:tab/>
        </w:r>
        <w:r>
          <w:rPr>
            <w:webHidden/>
          </w:rPr>
          <w:fldChar w:fldCharType="begin"/>
        </w:r>
        <w:r w:rsidR="002B7161">
          <w:rPr>
            <w:webHidden/>
          </w:rPr>
          <w:instrText xml:space="preserve"> PAGEREF _Toc406084444 \h </w:instrText>
        </w:r>
        <w:r>
          <w:rPr>
            <w:webHidden/>
          </w:rPr>
        </w:r>
        <w:r>
          <w:rPr>
            <w:webHidden/>
          </w:rPr>
          <w:fldChar w:fldCharType="separate"/>
        </w:r>
        <w:r w:rsidR="002B7161">
          <w:rPr>
            <w:webHidden/>
          </w:rPr>
          <w:t>16</w:t>
        </w:r>
        <w:r>
          <w:rPr>
            <w:webHidden/>
          </w:rPr>
          <w:fldChar w:fldCharType="end"/>
        </w:r>
      </w:hyperlink>
    </w:p>
    <w:p w:rsidR="002B7161" w:rsidRDefault="000B5F90">
      <w:pPr>
        <w:pStyle w:val="TOC1"/>
        <w:rPr>
          <w:rFonts w:ascii="Calibri" w:hAnsi="Calibri"/>
          <w:sz w:val="22"/>
          <w:szCs w:val="22"/>
          <w:lang w:val="en-US"/>
        </w:rPr>
      </w:pPr>
      <w:hyperlink w:anchor="_Toc406084445" w:history="1">
        <w:r w:rsidR="002B7161" w:rsidRPr="00711921">
          <w:rPr>
            <w:rStyle w:val="Hyperlink"/>
          </w:rPr>
          <w:t>5.</w:t>
        </w:r>
        <w:r w:rsidR="002B7161">
          <w:rPr>
            <w:rFonts w:ascii="Calibri" w:hAnsi="Calibri"/>
            <w:sz w:val="22"/>
            <w:szCs w:val="22"/>
            <w:lang w:val="en-US"/>
          </w:rPr>
          <w:tab/>
        </w:r>
        <w:r w:rsidR="002B7161" w:rsidRPr="00711921">
          <w:rPr>
            <w:rStyle w:val="Hyperlink"/>
          </w:rPr>
          <w:t>AOB/upcoming events</w:t>
        </w:r>
        <w:r w:rsidR="002B7161">
          <w:rPr>
            <w:webHidden/>
          </w:rPr>
          <w:tab/>
        </w:r>
        <w:r>
          <w:rPr>
            <w:webHidden/>
          </w:rPr>
          <w:fldChar w:fldCharType="begin"/>
        </w:r>
        <w:r w:rsidR="002B7161">
          <w:rPr>
            <w:webHidden/>
          </w:rPr>
          <w:instrText xml:space="preserve"> PAGEREF _Toc406084445 \h </w:instrText>
        </w:r>
        <w:r>
          <w:rPr>
            <w:webHidden/>
          </w:rPr>
        </w:r>
        <w:r>
          <w:rPr>
            <w:webHidden/>
          </w:rPr>
          <w:fldChar w:fldCharType="separate"/>
        </w:r>
        <w:r w:rsidR="002B7161">
          <w:rPr>
            <w:webHidden/>
          </w:rPr>
          <w:t>16</w:t>
        </w:r>
        <w:r>
          <w:rPr>
            <w:webHidden/>
          </w:rPr>
          <w:fldChar w:fldCharType="end"/>
        </w:r>
      </w:hyperlink>
    </w:p>
    <w:p w:rsidR="002B7161" w:rsidRDefault="000B5F90">
      <w:pPr>
        <w:pStyle w:val="TOC1"/>
        <w:rPr>
          <w:rFonts w:ascii="Calibri" w:hAnsi="Calibri"/>
          <w:sz w:val="22"/>
          <w:szCs w:val="22"/>
          <w:lang w:val="en-US"/>
        </w:rPr>
      </w:pPr>
      <w:hyperlink w:anchor="_Toc406084446" w:history="1">
        <w:r w:rsidR="002B7161" w:rsidRPr="00711921">
          <w:rPr>
            <w:rStyle w:val="Hyperlink"/>
          </w:rPr>
          <w:t>Appendices</w:t>
        </w:r>
        <w:r w:rsidR="002B7161">
          <w:rPr>
            <w:webHidden/>
          </w:rPr>
          <w:tab/>
        </w:r>
        <w:r>
          <w:rPr>
            <w:webHidden/>
          </w:rPr>
          <w:fldChar w:fldCharType="begin"/>
        </w:r>
        <w:r w:rsidR="002B7161">
          <w:rPr>
            <w:webHidden/>
          </w:rPr>
          <w:instrText xml:space="preserve"> PAGEREF _Toc406084446 \h </w:instrText>
        </w:r>
        <w:r>
          <w:rPr>
            <w:webHidden/>
          </w:rPr>
        </w:r>
        <w:r>
          <w:rPr>
            <w:webHidden/>
          </w:rPr>
          <w:fldChar w:fldCharType="separate"/>
        </w:r>
        <w:r w:rsidR="002B7161">
          <w:rPr>
            <w:webHidden/>
          </w:rPr>
          <w:t>17</w:t>
        </w:r>
        <w:r>
          <w:rPr>
            <w:webHidden/>
          </w:rPr>
          <w:fldChar w:fldCharType="end"/>
        </w:r>
      </w:hyperlink>
    </w:p>
    <w:p w:rsidR="002B7161" w:rsidRDefault="000B5F90">
      <w:pPr>
        <w:pStyle w:val="TOC2"/>
        <w:rPr>
          <w:rFonts w:ascii="Calibri" w:hAnsi="Calibri"/>
          <w:sz w:val="22"/>
          <w:szCs w:val="22"/>
          <w:lang w:val="en-US"/>
        </w:rPr>
      </w:pPr>
      <w:hyperlink w:anchor="_Toc406084447" w:history="1">
        <w:r w:rsidR="002B7161" w:rsidRPr="00711921">
          <w:rPr>
            <w:rStyle w:val="Hyperlink"/>
            <w:b/>
            <w:bCs/>
            <w:smallCaps/>
            <w:spacing w:val="5"/>
          </w:rPr>
          <w:t>Appendix 1 - Secretariat Programme of Work</w:t>
        </w:r>
        <w:r w:rsidR="002B7161">
          <w:rPr>
            <w:webHidden/>
          </w:rPr>
          <w:tab/>
        </w:r>
        <w:r>
          <w:rPr>
            <w:webHidden/>
          </w:rPr>
          <w:fldChar w:fldCharType="begin"/>
        </w:r>
        <w:r w:rsidR="002B7161">
          <w:rPr>
            <w:webHidden/>
          </w:rPr>
          <w:instrText xml:space="preserve"> PAGEREF _Toc406084447 \h </w:instrText>
        </w:r>
        <w:r>
          <w:rPr>
            <w:webHidden/>
          </w:rPr>
        </w:r>
        <w:r>
          <w:rPr>
            <w:webHidden/>
          </w:rPr>
          <w:fldChar w:fldCharType="separate"/>
        </w:r>
        <w:r w:rsidR="002B7161">
          <w:rPr>
            <w:webHidden/>
          </w:rPr>
          <w:t>17</w:t>
        </w:r>
        <w:r>
          <w:rPr>
            <w:webHidden/>
          </w:rPr>
          <w:fldChar w:fldCharType="end"/>
        </w:r>
      </w:hyperlink>
    </w:p>
    <w:p w:rsidR="001B36E7" w:rsidRPr="00176816" w:rsidRDefault="000B5F90" w:rsidP="007C6BE1">
      <w:pPr>
        <w:rPr>
          <w:noProof/>
          <w:highlight w:val="yellow"/>
        </w:rPr>
      </w:pPr>
      <w:r w:rsidRPr="00176816">
        <w:rPr>
          <w:sz w:val="48"/>
          <w:szCs w:val="48"/>
          <w:highlight w:val="yellow"/>
        </w:rPr>
        <w:fldChar w:fldCharType="end"/>
      </w:r>
    </w:p>
    <w:p w:rsidR="001B36E7" w:rsidRPr="00176816" w:rsidRDefault="001B36E7" w:rsidP="007C6BE1">
      <w:pPr>
        <w:rPr>
          <w:noProof/>
          <w:highlight w:val="yellow"/>
        </w:rPr>
      </w:pPr>
    </w:p>
    <w:p w:rsidR="001B36E7" w:rsidRPr="00322B6B" w:rsidRDefault="001B36E7" w:rsidP="007C6BE1">
      <w:pPr>
        <w:rPr>
          <w:noProof/>
        </w:rPr>
      </w:pPr>
      <w:r w:rsidRPr="00176816">
        <w:rPr>
          <w:noProof/>
          <w:highlight w:val="yellow"/>
        </w:rPr>
        <w:br w:type="page"/>
      </w:r>
    </w:p>
    <w:p w:rsidR="001B36E7" w:rsidRPr="00322B6B" w:rsidRDefault="001B36E7" w:rsidP="007C6BE1">
      <w:pPr>
        <w:pStyle w:val="UntitledHeading"/>
      </w:pPr>
      <w:r w:rsidRPr="00322B6B">
        <w:lastRenderedPageBreak/>
        <w:t>Document History</w:t>
      </w:r>
    </w:p>
    <w:p w:rsidR="001B36E7" w:rsidRPr="00322B6B" w:rsidRDefault="001B36E7"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322B6B" w:rsidTr="004F2ADD">
        <w:trPr>
          <w:trHeight w:val="300"/>
        </w:trPr>
        <w:tc>
          <w:tcPr>
            <w:tcW w:w="592" w:type="pct"/>
            <w:shd w:val="clear" w:color="auto" w:fill="548DD4"/>
          </w:tcPr>
          <w:p w:rsidR="001B36E7" w:rsidRPr="00322B6B" w:rsidRDefault="001B36E7" w:rsidP="0059642B">
            <w:pPr>
              <w:spacing w:before="0" w:after="0"/>
              <w:jc w:val="center"/>
              <w:rPr>
                <w:rStyle w:val="TableText"/>
                <w:b/>
                <w:bCs/>
                <w:color w:val="FFFFFF"/>
              </w:rPr>
            </w:pPr>
            <w:r w:rsidRPr="00322B6B">
              <w:rPr>
                <w:rStyle w:val="TableText"/>
                <w:b/>
                <w:bCs/>
                <w:color w:val="FFFFFF"/>
              </w:rPr>
              <w:t>Version</w:t>
            </w:r>
          </w:p>
        </w:tc>
        <w:tc>
          <w:tcPr>
            <w:tcW w:w="918" w:type="pct"/>
            <w:shd w:val="clear" w:color="auto" w:fill="548DD4"/>
          </w:tcPr>
          <w:p w:rsidR="001B36E7" w:rsidRPr="00322B6B" w:rsidRDefault="001B36E7" w:rsidP="0059642B">
            <w:pPr>
              <w:spacing w:before="0" w:after="0"/>
              <w:jc w:val="center"/>
              <w:rPr>
                <w:rStyle w:val="TableText"/>
                <w:b/>
                <w:bCs/>
                <w:color w:val="FFFFFF"/>
              </w:rPr>
            </w:pPr>
            <w:r w:rsidRPr="00322B6B">
              <w:rPr>
                <w:rStyle w:val="TableText"/>
                <w:b/>
                <w:bCs/>
                <w:color w:val="FFFFFF"/>
              </w:rPr>
              <w:t>Date</w:t>
            </w:r>
          </w:p>
        </w:tc>
        <w:tc>
          <w:tcPr>
            <w:tcW w:w="1091" w:type="pct"/>
            <w:shd w:val="clear" w:color="auto" w:fill="548DD4"/>
          </w:tcPr>
          <w:p w:rsidR="001B36E7" w:rsidRPr="00322B6B" w:rsidRDefault="001B36E7" w:rsidP="0059642B">
            <w:pPr>
              <w:spacing w:before="0" w:after="0"/>
              <w:jc w:val="center"/>
              <w:rPr>
                <w:rStyle w:val="TableText"/>
                <w:b/>
                <w:bCs/>
                <w:color w:val="FFFFFF"/>
              </w:rPr>
            </w:pPr>
            <w:r w:rsidRPr="00322B6B">
              <w:rPr>
                <w:rStyle w:val="TableText"/>
                <w:b/>
                <w:bCs/>
                <w:color w:val="FFFFFF"/>
              </w:rPr>
              <w:t>Author</w:t>
            </w:r>
          </w:p>
        </w:tc>
        <w:tc>
          <w:tcPr>
            <w:tcW w:w="2399" w:type="pct"/>
            <w:shd w:val="clear" w:color="auto" w:fill="548DD4"/>
          </w:tcPr>
          <w:p w:rsidR="001B36E7" w:rsidRPr="00322B6B" w:rsidRDefault="001B36E7" w:rsidP="0059642B">
            <w:pPr>
              <w:spacing w:before="0" w:after="0"/>
              <w:jc w:val="center"/>
              <w:rPr>
                <w:rStyle w:val="TableText"/>
                <w:b/>
                <w:bCs/>
                <w:color w:val="FFFFFF"/>
              </w:rPr>
            </w:pPr>
            <w:r w:rsidRPr="00322B6B">
              <w:rPr>
                <w:rStyle w:val="TableText"/>
                <w:b/>
                <w:bCs/>
                <w:color w:val="FFFFFF"/>
              </w:rPr>
              <w:t>Comment</w:t>
            </w:r>
          </w:p>
        </w:tc>
      </w:tr>
      <w:tr w:rsidR="001B36E7" w:rsidRPr="00322B6B" w:rsidTr="00DC233C">
        <w:trPr>
          <w:trHeight w:val="300"/>
        </w:trPr>
        <w:tc>
          <w:tcPr>
            <w:tcW w:w="592" w:type="pct"/>
          </w:tcPr>
          <w:p w:rsidR="001B36E7" w:rsidRPr="004976CD" w:rsidRDefault="001B36E7" w:rsidP="007C6BE1">
            <w:pPr>
              <w:spacing w:before="0" w:after="0"/>
              <w:rPr>
                <w:rStyle w:val="TableText"/>
              </w:rPr>
            </w:pPr>
            <w:r w:rsidRPr="004976CD">
              <w:rPr>
                <w:rStyle w:val="TableText"/>
              </w:rPr>
              <w:t>1.0</w:t>
            </w:r>
          </w:p>
        </w:tc>
        <w:tc>
          <w:tcPr>
            <w:tcW w:w="918" w:type="pct"/>
          </w:tcPr>
          <w:p w:rsidR="001B36E7" w:rsidRPr="004976CD" w:rsidRDefault="00322B6B" w:rsidP="00E975D7">
            <w:pPr>
              <w:spacing w:before="0" w:after="0"/>
              <w:rPr>
                <w:rStyle w:val="TableText"/>
              </w:rPr>
            </w:pPr>
            <w:r w:rsidRPr="004976CD">
              <w:rPr>
                <w:rStyle w:val="TableText"/>
              </w:rPr>
              <w:t>11  Decem</w:t>
            </w:r>
            <w:r w:rsidR="00F53F86" w:rsidRPr="004976CD">
              <w:rPr>
                <w:rStyle w:val="TableText"/>
              </w:rPr>
              <w:t>ber</w:t>
            </w:r>
            <w:r w:rsidR="00E975D7" w:rsidRPr="004976CD">
              <w:rPr>
                <w:rStyle w:val="TableText"/>
              </w:rPr>
              <w:t xml:space="preserve"> </w:t>
            </w:r>
            <w:r w:rsidR="001B36E7" w:rsidRPr="004976CD">
              <w:rPr>
                <w:rStyle w:val="TableText"/>
              </w:rPr>
              <w:t xml:space="preserve"> 201</w:t>
            </w:r>
            <w:r w:rsidR="00E975D7" w:rsidRPr="004976CD">
              <w:rPr>
                <w:rStyle w:val="TableText"/>
              </w:rPr>
              <w:t>4</w:t>
            </w:r>
          </w:p>
        </w:tc>
        <w:tc>
          <w:tcPr>
            <w:tcW w:w="1091" w:type="pct"/>
          </w:tcPr>
          <w:p w:rsidR="001B36E7" w:rsidRPr="004976CD" w:rsidRDefault="001B36E7" w:rsidP="007C6BE1">
            <w:pPr>
              <w:spacing w:before="0" w:after="0"/>
              <w:rPr>
                <w:rStyle w:val="TableText"/>
              </w:rPr>
            </w:pPr>
            <w:r w:rsidRPr="004976CD">
              <w:rPr>
                <w:rStyle w:val="TableText"/>
              </w:rPr>
              <w:t>Modifications Committee Secretariat</w:t>
            </w:r>
          </w:p>
        </w:tc>
        <w:tc>
          <w:tcPr>
            <w:tcW w:w="2399" w:type="pct"/>
          </w:tcPr>
          <w:p w:rsidR="001B36E7" w:rsidRPr="004976CD" w:rsidRDefault="001B36E7" w:rsidP="007C6BE1">
            <w:pPr>
              <w:spacing w:before="0" w:after="0"/>
              <w:rPr>
                <w:rStyle w:val="TableText"/>
              </w:rPr>
            </w:pPr>
            <w:r w:rsidRPr="004976CD">
              <w:rPr>
                <w:rStyle w:val="TableText"/>
              </w:rPr>
              <w:t>Issued to Modifications Committee for review and approval</w:t>
            </w:r>
          </w:p>
        </w:tc>
      </w:tr>
      <w:tr w:rsidR="001B36E7" w:rsidRPr="00322B6B" w:rsidTr="00DC233C">
        <w:trPr>
          <w:trHeight w:val="300"/>
        </w:trPr>
        <w:tc>
          <w:tcPr>
            <w:tcW w:w="592" w:type="pct"/>
          </w:tcPr>
          <w:p w:rsidR="001B36E7" w:rsidRPr="004976CD" w:rsidRDefault="001B36E7" w:rsidP="007C6BE1">
            <w:pPr>
              <w:spacing w:before="0" w:after="0"/>
              <w:rPr>
                <w:rStyle w:val="TableText"/>
              </w:rPr>
            </w:pPr>
            <w:r w:rsidRPr="004976CD">
              <w:rPr>
                <w:rStyle w:val="TableText"/>
              </w:rPr>
              <w:t>2.0</w:t>
            </w:r>
          </w:p>
        </w:tc>
        <w:tc>
          <w:tcPr>
            <w:tcW w:w="918" w:type="pct"/>
          </w:tcPr>
          <w:p w:rsidR="001B36E7" w:rsidRPr="004976CD" w:rsidRDefault="009A5EEB" w:rsidP="003E35F2">
            <w:pPr>
              <w:spacing w:before="0" w:after="0"/>
              <w:rPr>
                <w:rStyle w:val="TableText"/>
              </w:rPr>
            </w:pPr>
            <w:r>
              <w:rPr>
                <w:rStyle w:val="TableText"/>
              </w:rPr>
              <w:t>22 December 2014</w:t>
            </w:r>
          </w:p>
        </w:tc>
        <w:tc>
          <w:tcPr>
            <w:tcW w:w="1091" w:type="pct"/>
          </w:tcPr>
          <w:p w:rsidR="001B36E7" w:rsidRPr="004976CD" w:rsidRDefault="006B1870" w:rsidP="007C6BE1">
            <w:pPr>
              <w:spacing w:before="0" w:after="0"/>
              <w:rPr>
                <w:rStyle w:val="TableText"/>
              </w:rPr>
            </w:pPr>
            <w:r w:rsidRPr="004976CD">
              <w:rPr>
                <w:rStyle w:val="TableText"/>
              </w:rPr>
              <w:t>Modifications Committee Secretariat</w:t>
            </w:r>
          </w:p>
        </w:tc>
        <w:tc>
          <w:tcPr>
            <w:tcW w:w="2399" w:type="pct"/>
          </w:tcPr>
          <w:p w:rsidR="001B36E7" w:rsidRPr="004976CD" w:rsidRDefault="009A5EEB" w:rsidP="00302580">
            <w:pPr>
              <w:spacing w:before="0" w:after="0"/>
              <w:rPr>
                <w:rStyle w:val="TableText"/>
              </w:rPr>
            </w:pPr>
            <w:r>
              <w:rPr>
                <w:rStyle w:val="TableText"/>
              </w:rPr>
              <w:t xml:space="preserve">Modifications Committee and observer review complete. </w:t>
            </w:r>
          </w:p>
        </w:tc>
      </w:tr>
      <w:tr w:rsidR="00302580" w:rsidRPr="00322B6B" w:rsidTr="00DC233C">
        <w:trPr>
          <w:trHeight w:val="300"/>
        </w:trPr>
        <w:tc>
          <w:tcPr>
            <w:tcW w:w="592" w:type="pct"/>
          </w:tcPr>
          <w:p w:rsidR="00302580" w:rsidRPr="004976CD" w:rsidRDefault="00302580" w:rsidP="007C6BE1">
            <w:pPr>
              <w:spacing w:before="0" w:after="0"/>
              <w:rPr>
                <w:rStyle w:val="TableText"/>
              </w:rPr>
            </w:pPr>
            <w:r>
              <w:rPr>
                <w:rStyle w:val="TableText"/>
              </w:rPr>
              <w:t>3.0</w:t>
            </w:r>
          </w:p>
        </w:tc>
        <w:tc>
          <w:tcPr>
            <w:tcW w:w="918" w:type="pct"/>
          </w:tcPr>
          <w:p w:rsidR="00302580" w:rsidRDefault="00302580" w:rsidP="003E35F2">
            <w:pPr>
              <w:spacing w:before="0" w:after="0"/>
              <w:rPr>
                <w:rStyle w:val="TableText"/>
              </w:rPr>
            </w:pPr>
            <w:r>
              <w:rPr>
                <w:rStyle w:val="TableText"/>
              </w:rPr>
              <w:t>16 February 2015</w:t>
            </w:r>
          </w:p>
        </w:tc>
        <w:tc>
          <w:tcPr>
            <w:tcW w:w="1091" w:type="pct"/>
          </w:tcPr>
          <w:p w:rsidR="00302580" w:rsidRPr="004976CD" w:rsidRDefault="00302580" w:rsidP="007C6BE1">
            <w:pPr>
              <w:spacing w:before="0" w:after="0"/>
              <w:rPr>
                <w:rStyle w:val="TableText"/>
              </w:rPr>
            </w:pPr>
            <w:r w:rsidRPr="004976CD">
              <w:rPr>
                <w:rStyle w:val="TableText"/>
              </w:rPr>
              <w:t>Modifications Committee Secretariat</w:t>
            </w:r>
          </w:p>
        </w:tc>
        <w:tc>
          <w:tcPr>
            <w:tcW w:w="2399" w:type="pct"/>
          </w:tcPr>
          <w:p w:rsidR="00302580" w:rsidRDefault="00302580" w:rsidP="00302580">
            <w:pPr>
              <w:spacing w:before="0" w:after="0"/>
              <w:rPr>
                <w:rStyle w:val="TableText"/>
              </w:rPr>
            </w:pPr>
            <w:r>
              <w:rPr>
                <w:rStyle w:val="TableText"/>
              </w:rPr>
              <w:t>Final  version published. Clarificatory comments received from the RAs</w:t>
            </w:r>
          </w:p>
        </w:tc>
      </w:tr>
    </w:tbl>
    <w:p w:rsidR="001B36E7" w:rsidRPr="00176816" w:rsidRDefault="001B36E7" w:rsidP="007C6BE1">
      <w:pPr>
        <w:rPr>
          <w:highlight w:val="yellow"/>
        </w:rPr>
      </w:pPr>
    </w:p>
    <w:p w:rsidR="001B36E7" w:rsidRPr="00A53775" w:rsidRDefault="001B36E7" w:rsidP="007C6BE1">
      <w:pPr>
        <w:pStyle w:val="UntitledHeading"/>
      </w:pPr>
      <w:r w:rsidRPr="00A53775">
        <w:t>Distribution List</w:t>
      </w:r>
    </w:p>
    <w:p w:rsidR="001B36E7" w:rsidRPr="00A53775" w:rsidRDefault="001B36E7"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53775" w:rsidTr="00885ACF">
        <w:tc>
          <w:tcPr>
            <w:tcW w:w="1583" w:type="pct"/>
            <w:shd w:val="clear" w:color="auto" w:fill="548DD4"/>
          </w:tcPr>
          <w:p w:rsidR="001B36E7" w:rsidRPr="00A53775" w:rsidRDefault="001B36E7" w:rsidP="0059642B">
            <w:pPr>
              <w:spacing w:before="0" w:after="0"/>
              <w:jc w:val="center"/>
              <w:rPr>
                <w:rStyle w:val="TableText"/>
                <w:b/>
                <w:bCs/>
                <w:color w:val="FFFFFF"/>
                <w:szCs w:val="18"/>
              </w:rPr>
            </w:pPr>
            <w:r w:rsidRPr="00A53775">
              <w:rPr>
                <w:rStyle w:val="TableText"/>
                <w:b/>
                <w:bCs/>
                <w:color w:val="FFFFFF"/>
                <w:szCs w:val="18"/>
              </w:rPr>
              <w:t>Name</w:t>
            </w:r>
          </w:p>
        </w:tc>
        <w:tc>
          <w:tcPr>
            <w:tcW w:w="3417" w:type="pct"/>
            <w:shd w:val="clear" w:color="auto" w:fill="548DD4"/>
          </w:tcPr>
          <w:p w:rsidR="001B36E7" w:rsidRPr="00A53775" w:rsidRDefault="001B36E7" w:rsidP="0059642B">
            <w:pPr>
              <w:spacing w:before="0" w:after="0"/>
              <w:jc w:val="center"/>
              <w:rPr>
                <w:rStyle w:val="TableText"/>
                <w:b/>
                <w:bCs/>
                <w:color w:val="FFFFFF"/>
                <w:szCs w:val="18"/>
              </w:rPr>
            </w:pPr>
            <w:r w:rsidRPr="00A53775">
              <w:rPr>
                <w:rStyle w:val="TableText"/>
                <w:b/>
                <w:bCs/>
                <w:color w:val="FFFFFF"/>
                <w:szCs w:val="18"/>
              </w:rPr>
              <w:t>Organisation</w:t>
            </w:r>
          </w:p>
        </w:tc>
      </w:tr>
      <w:tr w:rsidR="001B36E7" w:rsidRPr="00A53775" w:rsidTr="00885ACF">
        <w:tc>
          <w:tcPr>
            <w:tcW w:w="1583" w:type="pct"/>
          </w:tcPr>
          <w:p w:rsidR="001B36E7" w:rsidRPr="00A53775" w:rsidRDefault="001B36E7" w:rsidP="007C6BE1">
            <w:pPr>
              <w:spacing w:before="0" w:after="0"/>
              <w:rPr>
                <w:rStyle w:val="TableText"/>
                <w:szCs w:val="18"/>
              </w:rPr>
            </w:pPr>
            <w:r w:rsidRPr="00A53775">
              <w:rPr>
                <w:rStyle w:val="TableText"/>
                <w:szCs w:val="18"/>
              </w:rPr>
              <w:t>Modifications Committee Members</w:t>
            </w:r>
          </w:p>
        </w:tc>
        <w:tc>
          <w:tcPr>
            <w:tcW w:w="3417" w:type="pct"/>
          </w:tcPr>
          <w:p w:rsidR="001B36E7" w:rsidRPr="00A53775" w:rsidRDefault="001B36E7" w:rsidP="007C6BE1">
            <w:pPr>
              <w:spacing w:before="0" w:after="0"/>
              <w:rPr>
                <w:rStyle w:val="TableText"/>
                <w:szCs w:val="18"/>
              </w:rPr>
            </w:pPr>
            <w:r w:rsidRPr="00A53775">
              <w:rPr>
                <w:rStyle w:val="TableText"/>
                <w:szCs w:val="18"/>
              </w:rPr>
              <w:t>SEM Modifications Committee</w:t>
            </w:r>
          </w:p>
        </w:tc>
      </w:tr>
      <w:tr w:rsidR="001B36E7" w:rsidRPr="00A53775" w:rsidTr="00885ACF">
        <w:tc>
          <w:tcPr>
            <w:tcW w:w="1583" w:type="pct"/>
          </w:tcPr>
          <w:p w:rsidR="001B36E7" w:rsidRPr="00A53775" w:rsidRDefault="001B36E7" w:rsidP="007C6BE1">
            <w:pPr>
              <w:spacing w:before="0" w:after="0"/>
              <w:rPr>
                <w:rStyle w:val="TableText"/>
                <w:szCs w:val="18"/>
              </w:rPr>
            </w:pPr>
            <w:r w:rsidRPr="00A53775">
              <w:rPr>
                <w:rStyle w:val="TableText"/>
                <w:szCs w:val="18"/>
              </w:rPr>
              <w:t>Modification Committee Observers</w:t>
            </w:r>
          </w:p>
        </w:tc>
        <w:tc>
          <w:tcPr>
            <w:tcW w:w="3417" w:type="pct"/>
          </w:tcPr>
          <w:p w:rsidR="001B36E7" w:rsidRPr="00A53775" w:rsidRDefault="001B36E7" w:rsidP="007C6BE1">
            <w:pPr>
              <w:spacing w:before="0" w:after="0"/>
              <w:rPr>
                <w:rStyle w:val="TableText"/>
                <w:szCs w:val="18"/>
              </w:rPr>
            </w:pPr>
            <w:r w:rsidRPr="00A53775">
              <w:rPr>
                <w:rStyle w:val="TableText"/>
                <w:szCs w:val="18"/>
              </w:rPr>
              <w:t>Attendees other than Modifications Panel in attendance at Meeting</w:t>
            </w:r>
          </w:p>
        </w:tc>
      </w:tr>
      <w:tr w:rsidR="001B36E7" w:rsidRPr="00A53775" w:rsidTr="00104CFF">
        <w:trPr>
          <w:trHeight w:val="70"/>
        </w:trPr>
        <w:tc>
          <w:tcPr>
            <w:tcW w:w="1583" w:type="pct"/>
          </w:tcPr>
          <w:p w:rsidR="001B36E7" w:rsidRPr="00A53775" w:rsidRDefault="001B36E7" w:rsidP="007C6BE1">
            <w:pPr>
              <w:spacing w:before="0" w:after="0"/>
              <w:rPr>
                <w:rStyle w:val="TableText"/>
                <w:szCs w:val="18"/>
              </w:rPr>
            </w:pPr>
            <w:r w:rsidRPr="00A53775">
              <w:rPr>
                <w:rStyle w:val="TableText"/>
                <w:szCs w:val="18"/>
              </w:rPr>
              <w:t>Interested Parties</w:t>
            </w:r>
          </w:p>
        </w:tc>
        <w:tc>
          <w:tcPr>
            <w:tcW w:w="3417" w:type="pct"/>
          </w:tcPr>
          <w:p w:rsidR="001B36E7" w:rsidRPr="00A53775" w:rsidRDefault="001B36E7" w:rsidP="007C6BE1">
            <w:pPr>
              <w:spacing w:before="0" w:after="0"/>
              <w:rPr>
                <w:rStyle w:val="TableText"/>
                <w:szCs w:val="18"/>
              </w:rPr>
            </w:pPr>
            <w:r w:rsidRPr="00A53775">
              <w:rPr>
                <w:rStyle w:val="TableText"/>
                <w:szCs w:val="18"/>
              </w:rPr>
              <w:t>Modifications &amp; Market Rules registered contacts</w:t>
            </w:r>
          </w:p>
        </w:tc>
      </w:tr>
    </w:tbl>
    <w:p w:rsidR="00052885" w:rsidRDefault="00052885" w:rsidP="004706A4">
      <w:pPr>
        <w:pStyle w:val="UntitledHeading"/>
        <w:rPr>
          <w:b w:val="0"/>
          <w:highlight w:val="yellow"/>
        </w:rPr>
      </w:pPr>
    </w:p>
    <w:p w:rsidR="00052885" w:rsidRPr="0072614B" w:rsidRDefault="00052885" w:rsidP="00052885">
      <w:pPr>
        <w:pStyle w:val="UntitledHeading"/>
      </w:pPr>
      <w:r w:rsidRPr="0072614B">
        <w:t>Reference Documents</w:t>
      </w:r>
    </w:p>
    <w:p w:rsidR="00052885" w:rsidRPr="0072614B" w:rsidRDefault="00052885" w:rsidP="00052885"/>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72614B" w:rsidTr="00D65D4E">
        <w:tc>
          <w:tcPr>
            <w:tcW w:w="5000" w:type="pct"/>
            <w:shd w:val="clear" w:color="auto" w:fill="548DD4"/>
          </w:tcPr>
          <w:p w:rsidR="00052885" w:rsidRPr="0072614B" w:rsidRDefault="00052885" w:rsidP="00D65D4E">
            <w:pPr>
              <w:spacing w:before="0" w:after="0"/>
              <w:jc w:val="center"/>
              <w:rPr>
                <w:rStyle w:val="TableText"/>
                <w:b/>
                <w:bCs/>
                <w:color w:val="FFFFFF"/>
                <w:szCs w:val="18"/>
              </w:rPr>
            </w:pPr>
            <w:r w:rsidRPr="0072614B">
              <w:rPr>
                <w:rStyle w:val="TableText"/>
                <w:b/>
                <w:bCs/>
                <w:color w:val="FFFFFF"/>
                <w:szCs w:val="18"/>
              </w:rPr>
              <w:t>Document Name</w:t>
            </w:r>
          </w:p>
        </w:tc>
      </w:tr>
      <w:tr w:rsidR="00052885" w:rsidRPr="00176816" w:rsidTr="00D65D4E">
        <w:tc>
          <w:tcPr>
            <w:tcW w:w="5000" w:type="pct"/>
          </w:tcPr>
          <w:p w:rsidR="00052885" w:rsidRPr="0072614B" w:rsidRDefault="000B5F90" w:rsidP="00D65D4E">
            <w:pPr>
              <w:spacing w:before="0" w:after="0"/>
              <w:rPr>
                <w:rStyle w:val="TableText"/>
                <w:sz w:val="20"/>
              </w:rPr>
            </w:pPr>
            <w:hyperlink r:id="rId12" w:history="1">
              <w:r w:rsidR="00052885" w:rsidRPr="0072614B">
                <w:rPr>
                  <w:rStyle w:val="Hyperlink"/>
                </w:rPr>
                <w:t>Trading and Settlement Code</w:t>
              </w:r>
            </w:hyperlink>
            <w:r w:rsidR="00052885" w:rsidRPr="0072614B">
              <w:rPr>
                <w:rStyle w:val="TableText"/>
                <w:sz w:val="20"/>
              </w:rPr>
              <w:t xml:space="preserve"> and Agreed Procedures: Version 16.0</w:t>
            </w:r>
          </w:p>
        </w:tc>
      </w:tr>
      <w:tr w:rsidR="00052885" w:rsidRPr="00176816" w:rsidTr="00D65D4E">
        <w:tc>
          <w:tcPr>
            <w:tcW w:w="5000" w:type="pct"/>
          </w:tcPr>
          <w:p w:rsidR="00052885" w:rsidRPr="0072614B" w:rsidRDefault="000B5F90" w:rsidP="00D65D4E">
            <w:pPr>
              <w:spacing w:before="0" w:after="0"/>
            </w:pPr>
            <w:hyperlink r:id="rId13" w:history="1">
              <w:r w:rsidR="00052885" w:rsidRPr="0072614B">
                <w:rPr>
                  <w:rStyle w:val="Hyperlink"/>
                </w:rPr>
                <w:t>Mod_11_12 Proposal to extend the definition of Special Units to include Compressed Air Energy Storage</w:t>
              </w:r>
            </w:hyperlink>
            <w:r w:rsidR="00052885" w:rsidRPr="0072614B">
              <w:t xml:space="preserve"> </w:t>
            </w:r>
          </w:p>
        </w:tc>
      </w:tr>
      <w:tr w:rsidR="00052885" w:rsidRPr="00176816" w:rsidTr="00D65D4E">
        <w:tc>
          <w:tcPr>
            <w:tcW w:w="5000" w:type="pct"/>
          </w:tcPr>
          <w:p w:rsidR="00052885" w:rsidRPr="0072614B" w:rsidRDefault="000B5F90" w:rsidP="00D65D4E">
            <w:pPr>
              <w:pStyle w:val="ColorfulList-Accent12"/>
              <w:spacing w:before="0" w:after="0" w:line="240" w:lineRule="auto"/>
              <w:ind w:left="0"/>
              <w:contextualSpacing w:val="0"/>
            </w:pPr>
            <w:hyperlink r:id="rId14" w:history="1">
              <w:r w:rsidR="00052885" w:rsidRPr="0072614B">
                <w:rPr>
                  <w:rStyle w:val="Hyperlink"/>
                </w:rPr>
                <w:t>Mod_02_13 Registration of Charges_v2</w:t>
              </w:r>
            </w:hyperlink>
          </w:p>
        </w:tc>
      </w:tr>
      <w:tr w:rsidR="00052885" w:rsidRPr="00176816" w:rsidTr="00D65D4E">
        <w:tc>
          <w:tcPr>
            <w:tcW w:w="5000" w:type="pct"/>
          </w:tcPr>
          <w:p w:rsidR="00052885" w:rsidRPr="0072614B" w:rsidRDefault="000B5F90" w:rsidP="00D65D4E">
            <w:pPr>
              <w:spacing w:before="0" w:after="0"/>
            </w:pPr>
            <w:hyperlink r:id="rId15" w:history="1">
              <w:r w:rsidR="00052885" w:rsidRPr="0072614B">
                <w:rPr>
                  <w:rStyle w:val="Hyperlink"/>
                </w:rPr>
                <w:t>Mod_08_14 Collateral Reserve Accounts</w:t>
              </w:r>
            </w:hyperlink>
          </w:p>
        </w:tc>
      </w:tr>
      <w:tr w:rsidR="00052885" w:rsidRPr="00176816" w:rsidTr="00D65D4E">
        <w:tc>
          <w:tcPr>
            <w:tcW w:w="5000" w:type="pct"/>
          </w:tcPr>
          <w:p w:rsidR="00052885" w:rsidRPr="0072614B" w:rsidRDefault="000B5F90" w:rsidP="00D65D4E">
            <w:pPr>
              <w:spacing w:before="0" w:after="0"/>
              <w:rPr>
                <w:highlight w:val="yellow"/>
              </w:rPr>
            </w:pPr>
            <w:hyperlink r:id="rId16" w:history="1">
              <w:r w:rsidR="00052885" w:rsidRPr="0072614B">
                <w:rPr>
                  <w:color w:val="0000FF"/>
                  <w:u w:val="single"/>
                </w:rPr>
                <w:t>Mod_09_14 Amendment to Make Whole Payments for Interconnector Units</w:t>
              </w:r>
            </w:hyperlink>
            <w:r w:rsidR="00052885">
              <w:t xml:space="preserve"> &amp; </w:t>
            </w:r>
            <w:hyperlink r:id="rId17" w:history="1">
              <w:r w:rsidR="00052885" w:rsidRPr="0090635C">
                <w:rPr>
                  <w:rStyle w:val="Hyperlink"/>
                </w:rPr>
                <w:t>RA Slides</w:t>
              </w:r>
            </w:hyperlink>
          </w:p>
        </w:tc>
      </w:tr>
      <w:tr w:rsidR="00052885" w:rsidRPr="00176816" w:rsidTr="00D65D4E">
        <w:tc>
          <w:tcPr>
            <w:tcW w:w="5000" w:type="pct"/>
          </w:tcPr>
          <w:p w:rsidR="00052885" w:rsidRPr="0072614B" w:rsidRDefault="000B5F90" w:rsidP="00D65D4E">
            <w:pPr>
              <w:spacing w:before="0" w:after="0"/>
              <w:rPr>
                <w:highlight w:val="yellow"/>
              </w:rPr>
            </w:pPr>
            <w:hyperlink r:id="rId18" w:history="1">
              <w:r w:rsidR="00052885" w:rsidRPr="0072614B">
                <w:rPr>
                  <w:color w:val="0000FF"/>
                  <w:u w:val="single"/>
                </w:rPr>
                <w:t>Mod_10_14 Make Whole Payments for Interconnector Units</w:t>
              </w:r>
            </w:hyperlink>
          </w:p>
        </w:tc>
      </w:tr>
      <w:tr w:rsidR="00052885" w:rsidRPr="00176816" w:rsidTr="00D65D4E">
        <w:tc>
          <w:tcPr>
            <w:tcW w:w="5000" w:type="pct"/>
            <w:vAlign w:val="center"/>
          </w:tcPr>
          <w:p w:rsidR="00052885" w:rsidRPr="0072614B" w:rsidRDefault="000B5F90" w:rsidP="00D65D4E">
            <w:pPr>
              <w:spacing w:before="0" w:after="0"/>
              <w:rPr>
                <w:rStyle w:val="TableText"/>
                <w:sz w:val="20"/>
              </w:rPr>
            </w:pPr>
            <w:hyperlink r:id="rId19" w:history="1">
              <w:r w:rsidR="00052885" w:rsidRPr="0072614B">
                <w:rPr>
                  <w:rStyle w:val="Hyperlink"/>
                </w:rPr>
                <w:t>Mod_11_14 Pay-As-Bid / Paid-As-Bid for Interconnector Units</w:t>
              </w:r>
            </w:hyperlink>
            <w:r w:rsidR="00052885">
              <w:rPr>
                <w:rStyle w:val="TableText"/>
                <w:sz w:val="20"/>
              </w:rPr>
              <w:t xml:space="preserve"> &amp; </w:t>
            </w:r>
            <w:hyperlink r:id="rId20" w:history="1">
              <w:r w:rsidR="00052885" w:rsidRPr="0090635C">
                <w:rPr>
                  <w:rStyle w:val="Hyperlink"/>
                </w:rPr>
                <w:t>Electroroute slides</w:t>
              </w:r>
            </w:hyperlink>
          </w:p>
        </w:tc>
      </w:tr>
      <w:tr w:rsidR="00052885" w:rsidRPr="00176816" w:rsidTr="00D65D4E">
        <w:tc>
          <w:tcPr>
            <w:tcW w:w="5000" w:type="pct"/>
            <w:vAlign w:val="center"/>
          </w:tcPr>
          <w:p w:rsidR="00052885" w:rsidRPr="0072614B" w:rsidRDefault="000B5F90" w:rsidP="00D65D4E">
            <w:pPr>
              <w:spacing w:before="0" w:after="0"/>
              <w:rPr>
                <w:rStyle w:val="TableText"/>
                <w:sz w:val="20"/>
              </w:rPr>
            </w:pPr>
            <w:hyperlink r:id="rId21" w:history="1">
              <w:r w:rsidR="00052885" w:rsidRPr="0072614B">
                <w:rPr>
                  <w:rStyle w:val="Hyperlink"/>
                </w:rPr>
                <w:t>Mod_12_14 Amendment to Make Whole Mechanism to remove Settlement Periods of simultaneous import and export flows</w:t>
              </w:r>
            </w:hyperlink>
          </w:p>
        </w:tc>
      </w:tr>
      <w:tr w:rsidR="00052885" w:rsidRPr="00176816" w:rsidTr="00D65D4E">
        <w:tc>
          <w:tcPr>
            <w:tcW w:w="5000" w:type="pct"/>
            <w:vAlign w:val="center"/>
          </w:tcPr>
          <w:p w:rsidR="00052885" w:rsidRPr="0072614B" w:rsidRDefault="000B5F90" w:rsidP="00D65D4E">
            <w:pPr>
              <w:spacing w:before="0" w:after="0"/>
              <w:rPr>
                <w:rStyle w:val="TableText"/>
                <w:sz w:val="20"/>
                <w:highlight w:val="yellow"/>
              </w:rPr>
            </w:pPr>
            <w:hyperlink r:id="rId22" w:history="1">
              <w:r w:rsidR="00052885" w:rsidRPr="0072614B">
                <w:rPr>
                  <w:rStyle w:val="Hyperlink"/>
                </w:rPr>
                <w:t>Mod_13_14 DSUs as Predictable Price Takers</w:t>
              </w:r>
            </w:hyperlink>
            <w:r w:rsidR="00052885" w:rsidRPr="0072614B">
              <w:rPr>
                <w:rStyle w:val="TableText"/>
                <w:sz w:val="20"/>
              </w:rPr>
              <w:t xml:space="preserve"> &amp; </w:t>
            </w:r>
            <w:r w:rsidR="00052885">
              <w:rPr>
                <w:rStyle w:val="TableText"/>
                <w:sz w:val="20"/>
              </w:rPr>
              <w:t>Activation Energy</w:t>
            </w:r>
            <w:r w:rsidR="00052885" w:rsidRPr="0072614B">
              <w:rPr>
                <w:rStyle w:val="TableText"/>
                <w:sz w:val="20"/>
              </w:rPr>
              <w:t xml:space="preserve"> </w:t>
            </w:r>
            <w:hyperlink r:id="rId23" w:history="1">
              <w:r w:rsidR="00052885" w:rsidRPr="0072614B">
                <w:rPr>
                  <w:rStyle w:val="Hyperlink"/>
                </w:rPr>
                <w:t>Slides</w:t>
              </w:r>
            </w:hyperlink>
          </w:p>
        </w:tc>
      </w:tr>
      <w:tr w:rsidR="00052885" w:rsidRPr="00176816" w:rsidTr="00D65D4E">
        <w:trPr>
          <w:trHeight w:val="70"/>
        </w:trPr>
        <w:tc>
          <w:tcPr>
            <w:tcW w:w="5000" w:type="pct"/>
          </w:tcPr>
          <w:p w:rsidR="00052885" w:rsidRPr="0072614B" w:rsidRDefault="000B5F90" w:rsidP="00D65D4E">
            <w:pPr>
              <w:pStyle w:val="ColorfulList-Accent12"/>
              <w:spacing w:before="0" w:after="0" w:line="240" w:lineRule="auto"/>
              <w:ind w:left="0"/>
              <w:contextualSpacing w:val="0"/>
              <w:rPr>
                <w:highlight w:val="yellow"/>
              </w:rPr>
            </w:pPr>
            <w:hyperlink r:id="rId24" w:history="1">
              <w:r w:rsidR="00052885" w:rsidRPr="00757A30">
                <w:rPr>
                  <w:rStyle w:val="Hyperlink"/>
                </w:rPr>
                <w:t>CMS Slides</w:t>
              </w:r>
            </w:hyperlink>
            <w:r w:rsidR="00052885">
              <w:rPr>
                <w:highlight w:val="yellow"/>
              </w:rPr>
              <w:t xml:space="preserve"> </w:t>
            </w:r>
          </w:p>
        </w:tc>
      </w:tr>
    </w:tbl>
    <w:p w:rsidR="001B36E7" w:rsidRPr="00176816" w:rsidRDefault="001B36E7" w:rsidP="004706A4">
      <w:pPr>
        <w:pStyle w:val="UntitledHeading"/>
        <w:rPr>
          <w:highlight w:val="yellow"/>
        </w:rPr>
      </w:pPr>
      <w:r w:rsidRPr="00176816">
        <w:rPr>
          <w:b w:val="0"/>
          <w:highlight w:val="yellow"/>
        </w:rPr>
        <w:br w:type="page"/>
      </w:r>
      <w:r w:rsidRPr="00A53775">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052885" w:rsidRPr="00176816" w:rsidTr="00D65D4E">
        <w:trPr>
          <w:trHeight w:val="132"/>
        </w:trPr>
        <w:tc>
          <w:tcPr>
            <w:tcW w:w="2700" w:type="dxa"/>
            <w:shd w:val="clear" w:color="auto" w:fill="548DD4"/>
            <w:noWrap/>
            <w:vAlign w:val="bottom"/>
          </w:tcPr>
          <w:p w:rsidR="00052885" w:rsidRPr="00D60045" w:rsidRDefault="00052885" w:rsidP="00D65D4E">
            <w:pPr>
              <w:rPr>
                <w:rFonts w:cs="Arial"/>
                <w:bCs/>
                <w:color w:val="000000"/>
                <w:lang w:eastAsia="en-GB"/>
              </w:rPr>
            </w:pPr>
            <w:r w:rsidRPr="00D60045">
              <w:rPr>
                <w:rFonts w:cs="Arial"/>
                <w:bCs/>
                <w:color w:val="000000"/>
                <w:lang w:eastAsia="en-GB"/>
              </w:rPr>
              <w:t>Name</w:t>
            </w:r>
          </w:p>
        </w:tc>
        <w:tc>
          <w:tcPr>
            <w:tcW w:w="2251" w:type="dxa"/>
            <w:shd w:val="clear" w:color="auto" w:fill="548DD4"/>
            <w:noWrap/>
            <w:vAlign w:val="bottom"/>
          </w:tcPr>
          <w:p w:rsidR="00052885" w:rsidRPr="00D60045" w:rsidRDefault="00052885" w:rsidP="00D65D4E">
            <w:pPr>
              <w:rPr>
                <w:rFonts w:cs="Arial"/>
                <w:bCs/>
                <w:color w:val="000000"/>
                <w:lang w:eastAsia="en-GB"/>
              </w:rPr>
            </w:pPr>
            <w:r w:rsidRPr="00D60045">
              <w:rPr>
                <w:rFonts w:cs="Arial"/>
                <w:bCs/>
                <w:color w:val="000000"/>
                <w:lang w:eastAsia="en-GB"/>
              </w:rPr>
              <w:t>Company</w:t>
            </w:r>
          </w:p>
        </w:tc>
        <w:tc>
          <w:tcPr>
            <w:tcW w:w="2126" w:type="dxa"/>
            <w:shd w:val="clear" w:color="auto" w:fill="548DD4"/>
            <w:noWrap/>
            <w:vAlign w:val="bottom"/>
          </w:tcPr>
          <w:p w:rsidR="00052885" w:rsidRPr="00D60045" w:rsidRDefault="00052885" w:rsidP="00D65D4E">
            <w:pPr>
              <w:rPr>
                <w:rFonts w:cs="Arial"/>
                <w:bCs/>
                <w:color w:val="000000"/>
                <w:lang w:eastAsia="en-GB"/>
              </w:rPr>
            </w:pPr>
            <w:r w:rsidRPr="00D60045">
              <w:rPr>
                <w:rFonts w:cs="Arial"/>
                <w:bCs/>
                <w:color w:val="000000"/>
                <w:lang w:eastAsia="en-GB"/>
              </w:rPr>
              <w:t>Position</w:t>
            </w:r>
          </w:p>
        </w:tc>
      </w:tr>
      <w:tr w:rsidR="00052885" w:rsidRPr="00176816" w:rsidTr="00D65D4E">
        <w:trPr>
          <w:trHeight w:val="132"/>
        </w:trPr>
        <w:tc>
          <w:tcPr>
            <w:tcW w:w="7077" w:type="dxa"/>
            <w:gridSpan w:val="3"/>
            <w:noWrap/>
            <w:vAlign w:val="bottom"/>
          </w:tcPr>
          <w:p w:rsidR="00052885" w:rsidRPr="00D60045" w:rsidRDefault="00052885" w:rsidP="00D65D4E">
            <w:pPr>
              <w:rPr>
                <w:rFonts w:cs="Arial"/>
                <w:b/>
                <w:bCs/>
                <w:color w:val="000000"/>
                <w:lang w:eastAsia="en-GB"/>
              </w:rPr>
            </w:pPr>
            <w:r w:rsidRPr="00D60045">
              <w:rPr>
                <w:rFonts w:cs="Arial"/>
                <w:b/>
                <w:bCs/>
                <w:color w:val="000080"/>
              </w:rPr>
              <w:t>Modifications Committee</w:t>
            </w:r>
          </w:p>
        </w:tc>
      </w:tr>
      <w:tr w:rsidR="00052885" w:rsidRPr="00176816" w:rsidTr="00D65D4E">
        <w:trPr>
          <w:trHeight w:val="106"/>
        </w:trPr>
        <w:tc>
          <w:tcPr>
            <w:tcW w:w="2700" w:type="dxa"/>
            <w:noWrap/>
            <w:vAlign w:val="bottom"/>
          </w:tcPr>
          <w:p w:rsidR="00052885" w:rsidRPr="00605D37" w:rsidRDefault="00052885" w:rsidP="00D65D4E">
            <w:pPr>
              <w:rPr>
                <w:rFonts w:cs="Arial"/>
              </w:rPr>
            </w:pPr>
            <w:r w:rsidRPr="00605D37">
              <w:rPr>
                <w:rFonts w:cs="Arial"/>
              </w:rPr>
              <w:t>Adelle Watson</w:t>
            </w:r>
          </w:p>
        </w:tc>
        <w:tc>
          <w:tcPr>
            <w:tcW w:w="2251" w:type="dxa"/>
            <w:noWrap/>
            <w:vAlign w:val="bottom"/>
          </w:tcPr>
          <w:p w:rsidR="00052885" w:rsidRPr="00605D37" w:rsidRDefault="00052885" w:rsidP="00D65D4E">
            <w:pPr>
              <w:rPr>
                <w:rFonts w:cs="Arial"/>
              </w:rPr>
            </w:pPr>
            <w:r w:rsidRPr="00605D37">
              <w:rPr>
                <w:rFonts w:cs="Arial"/>
              </w:rPr>
              <w:t>NIE T&amp;D</w:t>
            </w:r>
          </w:p>
        </w:tc>
        <w:tc>
          <w:tcPr>
            <w:tcW w:w="2126" w:type="dxa"/>
            <w:noWrap/>
            <w:vAlign w:val="bottom"/>
          </w:tcPr>
          <w:p w:rsidR="00052885" w:rsidRPr="00605D37" w:rsidRDefault="00052885" w:rsidP="00D65D4E">
            <w:pPr>
              <w:rPr>
                <w:rFonts w:cs="Arial"/>
              </w:rPr>
            </w:pPr>
            <w:r w:rsidRPr="00605D37">
              <w:rPr>
                <w:rFonts w:cs="Arial"/>
              </w:rPr>
              <w:t>MDP Member</w:t>
            </w:r>
          </w:p>
        </w:tc>
      </w:tr>
      <w:tr w:rsidR="00052885" w:rsidRPr="00176816" w:rsidTr="00D65D4E">
        <w:trPr>
          <w:trHeight w:val="106"/>
        </w:trPr>
        <w:tc>
          <w:tcPr>
            <w:tcW w:w="2700" w:type="dxa"/>
            <w:noWrap/>
            <w:vAlign w:val="bottom"/>
          </w:tcPr>
          <w:p w:rsidR="00052885" w:rsidRPr="00605D37" w:rsidRDefault="00052885" w:rsidP="00D65D4E">
            <w:pPr>
              <w:rPr>
                <w:rFonts w:cs="Arial"/>
              </w:rPr>
            </w:pPr>
            <w:r w:rsidRPr="00605D37">
              <w:rPr>
                <w:rFonts w:cs="Arial"/>
              </w:rPr>
              <w:t>Aine Dorran</w:t>
            </w:r>
          </w:p>
        </w:tc>
        <w:tc>
          <w:tcPr>
            <w:tcW w:w="2251" w:type="dxa"/>
            <w:noWrap/>
            <w:vAlign w:val="bottom"/>
          </w:tcPr>
          <w:p w:rsidR="00052885" w:rsidRPr="00605D37" w:rsidRDefault="00052885" w:rsidP="00D65D4E">
            <w:pPr>
              <w:rPr>
                <w:rFonts w:cs="Arial"/>
              </w:rPr>
            </w:pPr>
            <w:r w:rsidRPr="00605D37">
              <w:rPr>
                <w:rFonts w:cs="Arial"/>
              </w:rPr>
              <w:t>ESBI</w:t>
            </w:r>
          </w:p>
        </w:tc>
        <w:tc>
          <w:tcPr>
            <w:tcW w:w="2126" w:type="dxa"/>
            <w:noWrap/>
            <w:vAlign w:val="bottom"/>
          </w:tcPr>
          <w:p w:rsidR="00052885" w:rsidRPr="00605D37" w:rsidRDefault="00052885" w:rsidP="00D65D4E">
            <w:pPr>
              <w:rPr>
                <w:rFonts w:cs="Arial"/>
              </w:rPr>
            </w:pPr>
            <w:r w:rsidRPr="00605D37">
              <w:rPr>
                <w:rFonts w:cs="Arial"/>
              </w:rPr>
              <w:t>ESBI Member</w:t>
            </w:r>
          </w:p>
        </w:tc>
      </w:tr>
      <w:tr w:rsidR="00052885" w:rsidRPr="00176816" w:rsidTr="00D65D4E">
        <w:trPr>
          <w:trHeight w:val="106"/>
        </w:trPr>
        <w:tc>
          <w:tcPr>
            <w:tcW w:w="2700" w:type="dxa"/>
            <w:noWrap/>
            <w:vAlign w:val="bottom"/>
          </w:tcPr>
          <w:p w:rsidR="00052885" w:rsidRPr="00605D37" w:rsidRDefault="00052885" w:rsidP="00D65D4E">
            <w:pPr>
              <w:rPr>
                <w:rFonts w:cs="Arial"/>
              </w:rPr>
            </w:pPr>
            <w:r w:rsidRPr="00605D37">
              <w:rPr>
                <w:rFonts w:cs="Arial"/>
              </w:rPr>
              <w:t xml:space="preserve">Brian Mongan </w:t>
            </w:r>
          </w:p>
        </w:tc>
        <w:tc>
          <w:tcPr>
            <w:tcW w:w="2251" w:type="dxa"/>
            <w:noWrap/>
            <w:vAlign w:val="bottom"/>
          </w:tcPr>
          <w:p w:rsidR="00052885" w:rsidRPr="00605D37" w:rsidRDefault="00052885" w:rsidP="00D65D4E">
            <w:pPr>
              <w:rPr>
                <w:rFonts w:cs="Arial"/>
              </w:rPr>
            </w:pPr>
            <w:r w:rsidRPr="00605D37">
              <w:rPr>
                <w:rFonts w:cs="Arial"/>
              </w:rPr>
              <w:t>AES</w:t>
            </w:r>
          </w:p>
        </w:tc>
        <w:tc>
          <w:tcPr>
            <w:tcW w:w="2126" w:type="dxa"/>
            <w:noWrap/>
            <w:vAlign w:val="bottom"/>
          </w:tcPr>
          <w:p w:rsidR="00052885" w:rsidRPr="00605D37" w:rsidRDefault="00052885" w:rsidP="00D65D4E">
            <w:pPr>
              <w:rPr>
                <w:rFonts w:cs="Arial"/>
              </w:rPr>
            </w:pPr>
            <w:r w:rsidRPr="00605D37">
              <w:rPr>
                <w:rFonts w:cs="Arial"/>
              </w:rPr>
              <w:t>Generator Member</w:t>
            </w:r>
          </w:p>
        </w:tc>
      </w:tr>
      <w:tr w:rsidR="00052885" w:rsidRPr="00176816" w:rsidTr="00D65D4E">
        <w:trPr>
          <w:trHeight w:val="106"/>
        </w:trPr>
        <w:tc>
          <w:tcPr>
            <w:tcW w:w="2700" w:type="dxa"/>
            <w:noWrap/>
            <w:vAlign w:val="bottom"/>
          </w:tcPr>
          <w:p w:rsidR="00052885" w:rsidRPr="00605D37" w:rsidRDefault="00052885" w:rsidP="00D65D4E">
            <w:pPr>
              <w:rPr>
                <w:rFonts w:cs="Arial"/>
              </w:rPr>
            </w:pPr>
            <w:r w:rsidRPr="00605D37">
              <w:rPr>
                <w:rFonts w:cs="Arial"/>
              </w:rPr>
              <w:t>Connor Powell</w:t>
            </w:r>
          </w:p>
        </w:tc>
        <w:tc>
          <w:tcPr>
            <w:tcW w:w="2251" w:type="dxa"/>
            <w:noWrap/>
            <w:vAlign w:val="bottom"/>
          </w:tcPr>
          <w:p w:rsidR="00052885" w:rsidRPr="00605D37" w:rsidRDefault="00052885" w:rsidP="00D65D4E">
            <w:pPr>
              <w:rPr>
                <w:rFonts w:cs="Arial"/>
              </w:rPr>
            </w:pPr>
            <w:r w:rsidRPr="00605D37">
              <w:rPr>
                <w:rFonts w:cs="Arial"/>
              </w:rPr>
              <w:t>Airtricity</w:t>
            </w:r>
          </w:p>
        </w:tc>
        <w:tc>
          <w:tcPr>
            <w:tcW w:w="2126" w:type="dxa"/>
            <w:noWrap/>
            <w:vAlign w:val="bottom"/>
          </w:tcPr>
          <w:p w:rsidR="00052885" w:rsidRPr="00605D37" w:rsidRDefault="00052885" w:rsidP="00D65D4E">
            <w:pPr>
              <w:rPr>
                <w:rFonts w:cs="Arial"/>
              </w:rPr>
            </w:pPr>
            <w:r w:rsidRPr="00605D37">
              <w:rPr>
                <w:rFonts w:cs="Arial"/>
              </w:rPr>
              <w:t xml:space="preserve">Supplier Member </w:t>
            </w:r>
          </w:p>
        </w:tc>
      </w:tr>
      <w:tr w:rsidR="00052885" w:rsidRPr="00176816" w:rsidTr="00D65D4E">
        <w:trPr>
          <w:trHeight w:val="106"/>
        </w:trPr>
        <w:tc>
          <w:tcPr>
            <w:tcW w:w="2700" w:type="dxa"/>
            <w:noWrap/>
            <w:vAlign w:val="bottom"/>
          </w:tcPr>
          <w:p w:rsidR="00052885" w:rsidRPr="00605D37" w:rsidRDefault="00052885" w:rsidP="00D65D4E">
            <w:pPr>
              <w:rPr>
                <w:rFonts w:cs="Arial"/>
              </w:rPr>
            </w:pPr>
            <w:r w:rsidRPr="00605D37">
              <w:rPr>
                <w:rFonts w:cs="Arial"/>
              </w:rPr>
              <w:t xml:space="preserve">Clive Bowers </w:t>
            </w:r>
          </w:p>
        </w:tc>
        <w:tc>
          <w:tcPr>
            <w:tcW w:w="2251" w:type="dxa"/>
            <w:noWrap/>
            <w:vAlign w:val="bottom"/>
          </w:tcPr>
          <w:p w:rsidR="00052885" w:rsidRPr="00605D37" w:rsidRDefault="00052885" w:rsidP="00D65D4E">
            <w:pPr>
              <w:rPr>
                <w:rFonts w:cs="Arial"/>
              </w:rPr>
            </w:pPr>
            <w:r w:rsidRPr="00605D37">
              <w:rPr>
                <w:rFonts w:cs="Arial"/>
              </w:rPr>
              <w:t>CER</w:t>
            </w:r>
          </w:p>
        </w:tc>
        <w:tc>
          <w:tcPr>
            <w:tcW w:w="2126" w:type="dxa"/>
            <w:noWrap/>
            <w:vAlign w:val="bottom"/>
          </w:tcPr>
          <w:p w:rsidR="00052885" w:rsidRPr="00605D37" w:rsidRDefault="00052885" w:rsidP="00D65D4E">
            <w:pPr>
              <w:rPr>
                <w:rFonts w:cs="Arial"/>
              </w:rPr>
            </w:pPr>
            <w:r w:rsidRPr="00605D37">
              <w:rPr>
                <w:rFonts w:cs="Arial"/>
              </w:rPr>
              <w:t>RA Member</w:t>
            </w:r>
          </w:p>
        </w:tc>
      </w:tr>
      <w:tr w:rsidR="00052885" w:rsidRPr="00176816" w:rsidTr="00D65D4E">
        <w:trPr>
          <w:trHeight w:val="106"/>
        </w:trPr>
        <w:tc>
          <w:tcPr>
            <w:tcW w:w="2700" w:type="dxa"/>
            <w:noWrap/>
            <w:vAlign w:val="bottom"/>
          </w:tcPr>
          <w:p w:rsidR="00052885" w:rsidRPr="003435F1" w:rsidRDefault="00052885" w:rsidP="00D65D4E">
            <w:pPr>
              <w:rPr>
                <w:rFonts w:cs="Arial"/>
              </w:rPr>
            </w:pPr>
            <w:r w:rsidRPr="003435F1">
              <w:rPr>
                <w:rFonts w:cs="Arial"/>
              </w:rPr>
              <w:t>Fiona Hannon</w:t>
            </w:r>
          </w:p>
        </w:tc>
        <w:tc>
          <w:tcPr>
            <w:tcW w:w="2251" w:type="dxa"/>
            <w:noWrap/>
            <w:vAlign w:val="bottom"/>
          </w:tcPr>
          <w:p w:rsidR="00052885" w:rsidRPr="003435F1" w:rsidRDefault="00052885" w:rsidP="00D65D4E">
            <w:pPr>
              <w:rPr>
                <w:rFonts w:cs="Arial"/>
              </w:rPr>
            </w:pPr>
            <w:r w:rsidRPr="003435F1">
              <w:rPr>
                <w:rFonts w:cs="Arial"/>
              </w:rPr>
              <w:t>Airtricity</w:t>
            </w:r>
          </w:p>
        </w:tc>
        <w:tc>
          <w:tcPr>
            <w:tcW w:w="2126" w:type="dxa"/>
            <w:noWrap/>
            <w:vAlign w:val="bottom"/>
          </w:tcPr>
          <w:p w:rsidR="00052885" w:rsidRPr="003435F1" w:rsidRDefault="00052885" w:rsidP="00D65D4E">
            <w:pPr>
              <w:rPr>
                <w:rFonts w:cs="Arial"/>
              </w:rPr>
            </w:pPr>
            <w:r w:rsidRPr="003435F1">
              <w:rPr>
                <w:rFonts w:cs="Arial"/>
              </w:rPr>
              <w:t>Supplier Alternate</w:t>
            </w:r>
          </w:p>
        </w:tc>
      </w:tr>
      <w:tr w:rsidR="00052885" w:rsidRPr="00176816" w:rsidTr="00D65D4E">
        <w:trPr>
          <w:trHeight w:val="268"/>
        </w:trPr>
        <w:tc>
          <w:tcPr>
            <w:tcW w:w="2700" w:type="dxa"/>
            <w:noWrap/>
            <w:vAlign w:val="bottom"/>
          </w:tcPr>
          <w:p w:rsidR="00052885" w:rsidRPr="003435F1" w:rsidRDefault="00052885" w:rsidP="00D65D4E">
            <w:pPr>
              <w:rPr>
                <w:rFonts w:cs="Arial"/>
              </w:rPr>
            </w:pPr>
            <w:r w:rsidRPr="003435F1">
              <w:rPr>
                <w:rFonts w:cs="Arial"/>
              </w:rPr>
              <w:t>Gerry Halligan</w:t>
            </w:r>
          </w:p>
        </w:tc>
        <w:tc>
          <w:tcPr>
            <w:tcW w:w="2251" w:type="dxa"/>
            <w:noWrap/>
            <w:vAlign w:val="bottom"/>
          </w:tcPr>
          <w:p w:rsidR="00052885" w:rsidRPr="003435F1" w:rsidRDefault="00052885" w:rsidP="00D65D4E">
            <w:pPr>
              <w:rPr>
                <w:rFonts w:cs="Arial"/>
              </w:rPr>
            </w:pPr>
            <w:r w:rsidRPr="003435F1">
              <w:rPr>
                <w:rFonts w:cs="Arial"/>
              </w:rPr>
              <w:t>ESB Networks</w:t>
            </w:r>
          </w:p>
        </w:tc>
        <w:tc>
          <w:tcPr>
            <w:tcW w:w="2126" w:type="dxa"/>
            <w:noWrap/>
            <w:vAlign w:val="bottom"/>
          </w:tcPr>
          <w:p w:rsidR="00052885" w:rsidRPr="003435F1" w:rsidRDefault="00052885" w:rsidP="00D65D4E">
            <w:pPr>
              <w:rPr>
                <w:rFonts w:cs="Arial"/>
              </w:rPr>
            </w:pPr>
            <w:r w:rsidRPr="003435F1">
              <w:rPr>
                <w:rFonts w:cs="Arial"/>
              </w:rPr>
              <w:t>MDP Alternate</w:t>
            </w:r>
          </w:p>
        </w:tc>
      </w:tr>
      <w:tr w:rsidR="00052885" w:rsidRPr="00176816" w:rsidTr="00D65D4E">
        <w:trPr>
          <w:trHeight w:val="268"/>
        </w:trPr>
        <w:tc>
          <w:tcPr>
            <w:tcW w:w="2700" w:type="dxa"/>
            <w:noWrap/>
            <w:vAlign w:val="bottom"/>
          </w:tcPr>
          <w:p w:rsidR="00052885" w:rsidRPr="003435F1" w:rsidRDefault="00052885" w:rsidP="00D65D4E">
            <w:pPr>
              <w:rPr>
                <w:rFonts w:cs="Arial"/>
              </w:rPr>
            </w:pPr>
            <w:r w:rsidRPr="003435F1">
              <w:rPr>
                <w:rFonts w:cs="Arial"/>
              </w:rPr>
              <w:t>Julie-Anne Hannon</w:t>
            </w:r>
          </w:p>
        </w:tc>
        <w:tc>
          <w:tcPr>
            <w:tcW w:w="2251" w:type="dxa"/>
            <w:noWrap/>
            <w:vAlign w:val="bottom"/>
          </w:tcPr>
          <w:p w:rsidR="00052885" w:rsidRPr="003435F1" w:rsidRDefault="00052885" w:rsidP="00D65D4E">
            <w:pPr>
              <w:rPr>
                <w:rFonts w:cs="Arial"/>
              </w:rPr>
            </w:pPr>
            <w:r w:rsidRPr="003435F1">
              <w:rPr>
                <w:rFonts w:cs="Arial"/>
              </w:rPr>
              <w:t>Bord Gais</w:t>
            </w:r>
          </w:p>
        </w:tc>
        <w:tc>
          <w:tcPr>
            <w:tcW w:w="2126" w:type="dxa"/>
            <w:noWrap/>
            <w:vAlign w:val="bottom"/>
          </w:tcPr>
          <w:p w:rsidR="00052885" w:rsidRPr="003435F1" w:rsidRDefault="00052885" w:rsidP="00D65D4E">
            <w:pPr>
              <w:rPr>
                <w:rFonts w:cs="Arial"/>
              </w:rPr>
            </w:pPr>
            <w:r w:rsidRPr="003435F1">
              <w:rPr>
                <w:rFonts w:cs="Arial"/>
              </w:rPr>
              <w:t>Supplier Alternate</w:t>
            </w:r>
          </w:p>
        </w:tc>
      </w:tr>
      <w:tr w:rsidR="00052885" w:rsidRPr="00176816" w:rsidTr="00D65D4E">
        <w:trPr>
          <w:trHeight w:val="268"/>
        </w:trPr>
        <w:tc>
          <w:tcPr>
            <w:tcW w:w="2700" w:type="dxa"/>
            <w:noWrap/>
            <w:vAlign w:val="bottom"/>
          </w:tcPr>
          <w:p w:rsidR="00052885" w:rsidRPr="003435F1" w:rsidRDefault="00052885" w:rsidP="00D65D4E">
            <w:pPr>
              <w:rPr>
                <w:rFonts w:cs="Arial"/>
              </w:rPr>
            </w:pPr>
            <w:r w:rsidRPr="003435F1">
              <w:rPr>
                <w:rFonts w:cs="Arial"/>
              </w:rPr>
              <w:t>Katia Compagnoni</w:t>
            </w:r>
          </w:p>
        </w:tc>
        <w:tc>
          <w:tcPr>
            <w:tcW w:w="2251" w:type="dxa"/>
            <w:noWrap/>
            <w:vAlign w:val="bottom"/>
          </w:tcPr>
          <w:p w:rsidR="00052885" w:rsidRPr="003435F1" w:rsidRDefault="00052885" w:rsidP="00D65D4E">
            <w:pPr>
              <w:rPr>
                <w:rFonts w:cs="Arial"/>
              </w:rPr>
            </w:pPr>
            <w:r w:rsidRPr="003435F1">
              <w:rPr>
                <w:rFonts w:cs="Arial"/>
              </w:rPr>
              <w:t>MO Alternate</w:t>
            </w:r>
          </w:p>
        </w:tc>
        <w:tc>
          <w:tcPr>
            <w:tcW w:w="2126" w:type="dxa"/>
            <w:noWrap/>
            <w:vAlign w:val="bottom"/>
          </w:tcPr>
          <w:p w:rsidR="00052885" w:rsidRPr="003435F1" w:rsidRDefault="00052885" w:rsidP="00D65D4E">
            <w:pPr>
              <w:rPr>
                <w:rFonts w:cs="Arial"/>
              </w:rPr>
            </w:pPr>
            <w:r w:rsidRPr="003435F1">
              <w:rPr>
                <w:rFonts w:cs="Arial"/>
              </w:rPr>
              <w:t>SEMO</w:t>
            </w:r>
          </w:p>
        </w:tc>
      </w:tr>
      <w:tr w:rsidR="00052885" w:rsidRPr="00176816" w:rsidTr="00D65D4E">
        <w:trPr>
          <w:trHeight w:val="268"/>
        </w:trPr>
        <w:tc>
          <w:tcPr>
            <w:tcW w:w="2700" w:type="dxa"/>
            <w:noWrap/>
            <w:vAlign w:val="bottom"/>
          </w:tcPr>
          <w:p w:rsidR="00052885" w:rsidRPr="003435F1" w:rsidRDefault="00052885" w:rsidP="00D65D4E">
            <w:pPr>
              <w:rPr>
                <w:rFonts w:cs="Arial"/>
              </w:rPr>
            </w:pPr>
            <w:r w:rsidRPr="003435F1">
              <w:rPr>
                <w:rFonts w:cs="Arial"/>
              </w:rPr>
              <w:t>Kevin Hannafin-Chair</w:t>
            </w:r>
          </w:p>
        </w:tc>
        <w:tc>
          <w:tcPr>
            <w:tcW w:w="2251" w:type="dxa"/>
            <w:noWrap/>
            <w:vAlign w:val="bottom"/>
          </w:tcPr>
          <w:p w:rsidR="00052885" w:rsidRPr="003435F1" w:rsidRDefault="00052885" w:rsidP="00D65D4E">
            <w:pPr>
              <w:rPr>
                <w:rFonts w:cs="Arial"/>
              </w:rPr>
            </w:pPr>
            <w:r w:rsidRPr="003435F1">
              <w:rPr>
                <w:rFonts w:cs="Arial"/>
              </w:rPr>
              <w:t>Energia</w:t>
            </w:r>
          </w:p>
        </w:tc>
        <w:tc>
          <w:tcPr>
            <w:tcW w:w="2126" w:type="dxa"/>
            <w:noWrap/>
            <w:vAlign w:val="bottom"/>
          </w:tcPr>
          <w:p w:rsidR="00052885" w:rsidRPr="003435F1" w:rsidRDefault="00052885" w:rsidP="00D65D4E">
            <w:pPr>
              <w:rPr>
                <w:rFonts w:cs="Arial"/>
              </w:rPr>
            </w:pPr>
            <w:r w:rsidRPr="003435F1">
              <w:rPr>
                <w:rFonts w:cs="Arial"/>
              </w:rPr>
              <w:t>Generator Member</w:t>
            </w:r>
          </w:p>
        </w:tc>
      </w:tr>
      <w:tr w:rsidR="00052885" w:rsidRPr="00176816" w:rsidTr="00D65D4E">
        <w:trPr>
          <w:trHeight w:val="268"/>
        </w:trPr>
        <w:tc>
          <w:tcPr>
            <w:tcW w:w="2700" w:type="dxa"/>
            <w:noWrap/>
            <w:vAlign w:val="bottom"/>
          </w:tcPr>
          <w:p w:rsidR="00052885" w:rsidRPr="003435F1" w:rsidRDefault="00052885" w:rsidP="00D65D4E">
            <w:pPr>
              <w:rPr>
                <w:rFonts w:cs="Arial"/>
              </w:rPr>
            </w:pPr>
            <w:r>
              <w:rPr>
                <w:rFonts w:cs="Arial"/>
              </w:rPr>
              <w:t>Kris Kennedy</w:t>
            </w:r>
          </w:p>
        </w:tc>
        <w:tc>
          <w:tcPr>
            <w:tcW w:w="2251" w:type="dxa"/>
            <w:noWrap/>
            <w:vAlign w:val="bottom"/>
          </w:tcPr>
          <w:p w:rsidR="00052885" w:rsidRPr="003435F1" w:rsidRDefault="00052885" w:rsidP="00D65D4E">
            <w:pPr>
              <w:rPr>
                <w:rFonts w:cs="Arial"/>
              </w:rPr>
            </w:pPr>
            <w:r>
              <w:rPr>
                <w:rFonts w:cs="Arial"/>
              </w:rPr>
              <w:t xml:space="preserve">SONI </w:t>
            </w:r>
          </w:p>
        </w:tc>
        <w:tc>
          <w:tcPr>
            <w:tcW w:w="2126" w:type="dxa"/>
            <w:noWrap/>
            <w:vAlign w:val="bottom"/>
          </w:tcPr>
          <w:p w:rsidR="00052885" w:rsidRPr="003435F1" w:rsidRDefault="00052885" w:rsidP="00D65D4E">
            <w:pPr>
              <w:rPr>
                <w:rFonts w:cs="Arial"/>
              </w:rPr>
            </w:pPr>
            <w:r>
              <w:rPr>
                <w:rFonts w:cs="Arial"/>
              </w:rPr>
              <w:t>SO Member</w:t>
            </w:r>
          </w:p>
        </w:tc>
      </w:tr>
      <w:tr w:rsidR="00052885" w:rsidRPr="00176816" w:rsidTr="00D65D4E">
        <w:trPr>
          <w:trHeight w:val="268"/>
        </w:trPr>
        <w:tc>
          <w:tcPr>
            <w:tcW w:w="2700" w:type="dxa"/>
            <w:noWrap/>
            <w:vAlign w:val="bottom"/>
          </w:tcPr>
          <w:p w:rsidR="00052885" w:rsidRPr="003435F1" w:rsidRDefault="00052885" w:rsidP="00D65D4E">
            <w:pPr>
              <w:rPr>
                <w:rFonts w:cs="Arial"/>
              </w:rPr>
            </w:pPr>
            <w:r w:rsidRPr="003435F1">
              <w:rPr>
                <w:rFonts w:cs="Arial"/>
              </w:rPr>
              <w:t>Mary Doorly</w:t>
            </w:r>
          </w:p>
        </w:tc>
        <w:tc>
          <w:tcPr>
            <w:tcW w:w="2251" w:type="dxa"/>
            <w:noWrap/>
            <w:vAlign w:val="bottom"/>
          </w:tcPr>
          <w:p w:rsidR="00052885" w:rsidRPr="003435F1" w:rsidRDefault="00052885" w:rsidP="00D65D4E">
            <w:pPr>
              <w:rPr>
                <w:rFonts w:cs="Arial"/>
              </w:rPr>
            </w:pPr>
            <w:r w:rsidRPr="003435F1">
              <w:rPr>
                <w:rFonts w:cs="Arial"/>
              </w:rPr>
              <w:t>IWEA</w:t>
            </w:r>
          </w:p>
        </w:tc>
        <w:tc>
          <w:tcPr>
            <w:tcW w:w="2126" w:type="dxa"/>
            <w:noWrap/>
            <w:vAlign w:val="bottom"/>
          </w:tcPr>
          <w:p w:rsidR="00052885" w:rsidRPr="003435F1" w:rsidRDefault="00052885" w:rsidP="00D65D4E">
            <w:pPr>
              <w:rPr>
                <w:rFonts w:cs="Arial"/>
              </w:rPr>
            </w:pPr>
            <w:r w:rsidRPr="003435F1">
              <w:rPr>
                <w:rFonts w:cs="Arial"/>
              </w:rPr>
              <w:t>Generator Member</w:t>
            </w:r>
          </w:p>
        </w:tc>
      </w:tr>
      <w:tr w:rsidR="00052885" w:rsidRPr="00176816" w:rsidTr="00D65D4E">
        <w:trPr>
          <w:trHeight w:val="268"/>
        </w:trPr>
        <w:tc>
          <w:tcPr>
            <w:tcW w:w="2700" w:type="dxa"/>
            <w:noWrap/>
            <w:vAlign w:val="bottom"/>
          </w:tcPr>
          <w:p w:rsidR="00052885" w:rsidRPr="003435F1" w:rsidRDefault="00052885" w:rsidP="00D65D4E">
            <w:pPr>
              <w:rPr>
                <w:rFonts w:cs="Arial"/>
              </w:rPr>
            </w:pPr>
            <w:r>
              <w:rPr>
                <w:rFonts w:cs="Arial"/>
              </w:rPr>
              <w:t>Marc Senouci</w:t>
            </w:r>
          </w:p>
        </w:tc>
        <w:tc>
          <w:tcPr>
            <w:tcW w:w="2251" w:type="dxa"/>
            <w:noWrap/>
            <w:vAlign w:val="bottom"/>
          </w:tcPr>
          <w:p w:rsidR="00052885" w:rsidRPr="003435F1" w:rsidRDefault="00052885" w:rsidP="00D65D4E">
            <w:pPr>
              <w:rPr>
                <w:rFonts w:cs="Arial"/>
              </w:rPr>
            </w:pPr>
            <w:r>
              <w:rPr>
                <w:rFonts w:cs="Arial"/>
              </w:rPr>
              <w:t>EirGrid</w:t>
            </w:r>
          </w:p>
        </w:tc>
        <w:tc>
          <w:tcPr>
            <w:tcW w:w="2126" w:type="dxa"/>
            <w:noWrap/>
            <w:vAlign w:val="bottom"/>
          </w:tcPr>
          <w:p w:rsidR="00052885" w:rsidRPr="003435F1" w:rsidRDefault="00052885" w:rsidP="00D65D4E">
            <w:pPr>
              <w:rPr>
                <w:rFonts w:cs="Arial"/>
              </w:rPr>
            </w:pPr>
            <w:r>
              <w:rPr>
                <w:rFonts w:cs="Arial"/>
              </w:rPr>
              <w:t>SO Alternate</w:t>
            </w:r>
          </w:p>
        </w:tc>
      </w:tr>
      <w:tr w:rsidR="00052885" w:rsidRPr="00176816" w:rsidTr="00D65D4E">
        <w:trPr>
          <w:trHeight w:val="268"/>
        </w:trPr>
        <w:tc>
          <w:tcPr>
            <w:tcW w:w="2700" w:type="dxa"/>
            <w:noWrap/>
            <w:vAlign w:val="bottom"/>
          </w:tcPr>
          <w:p w:rsidR="00052885" w:rsidRDefault="00052885" w:rsidP="00D65D4E">
            <w:pPr>
              <w:rPr>
                <w:rFonts w:cs="Arial"/>
              </w:rPr>
            </w:pPr>
            <w:r>
              <w:rPr>
                <w:rFonts w:cs="Arial"/>
              </w:rPr>
              <w:t>Natalie Dowey</w:t>
            </w:r>
          </w:p>
        </w:tc>
        <w:tc>
          <w:tcPr>
            <w:tcW w:w="2251" w:type="dxa"/>
            <w:noWrap/>
            <w:vAlign w:val="bottom"/>
          </w:tcPr>
          <w:p w:rsidR="00052885" w:rsidRDefault="00052885" w:rsidP="00D65D4E">
            <w:pPr>
              <w:rPr>
                <w:rFonts w:cs="Arial"/>
              </w:rPr>
            </w:pPr>
            <w:r>
              <w:rPr>
                <w:rFonts w:cs="Arial"/>
              </w:rPr>
              <w:t>UR</w:t>
            </w:r>
          </w:p>
        </w:tc>
        <w:tc>
          <w:tcPr>
            <w:tcW w:w="2126" w:type="dxa"/>
            <w:noWrap/>
            <w:vAlign w:val="bottom"/>
          </w:tcPr>
          <w:p w:rsidR="00052885" w:rsidRDefault="00052885" w:rsidP="00D65D4E">
            <w:pPr>
              <w:rPr>
                <w:rFonts w:cs="Arial"/>
              </w:rPr>
            </w:pPr>
            <w:r>
              <w:rPr>
                <w:rFonts w:cs="Arial"/>
              </w:rPr>
              <w:t>RA Alternate</w:t>
            </w:r>
          </w:p>
        </w:tc>
      </w:tr>
      <w:tr w:rsidR="00052885" w:rsidRPr="00176816" w:rsidTr="00D65D4E">
        <w:trPr>
          <w:trHeight w:val="268"/>
        </w:trPr>
        <w:tc>
          <w:tcPr>
            <w:tcW w:w="2700" w:type="dxa"/>
            <w:noWrap/>
            <w:vAlign w:val="bottom"/>
          </w:tcPr>
          <w:p w:rsidR="00052885" w:rsidRPr="003855F8" w:rsidRDefault="00052885" w:rsidP="00D65D4E">
            <w:pPr>
              <w:rPr>
                <w:rFonts w:cs="Arial"/>
              </w:rPr>
            </w:pPr>
            <w:r w:rsidRPr="003855F8">
              <w:rPr>
                <w:rFonts w:cs="Arial"/>
              </w:rPr>
              <w:t>Niamh Delaney</w:t>
            </w:r>
          </w:p>
        </w:tc>
        <w:tc>
          <w:tcPr>
            <w:tcW w:w="2251" w:type="dxa"/>
            <w:noWrap/>
            <w:vAlign w:val="bottom"/>
          </w:tcPr>
          <w:p w:rsidR="00052885" w:rsidRPr="003855F8" w:rsidRDefault="00052885" w:rsidP="00D65D4E">
            <w:pPr>
              <w:rPr>
                <w:rFonts w:cs="Arial"/>
              </w:rPr>
            </w:pPr>
            <w:r w:rsidRPr="003855F8">
              <w:rPr>
                <w:rFonts w:cs="Arial"/>
              </w:rPr>
              <w:t>SEMO</w:t>
            </w:r>
          </w:p>
        </w:tc>
        <w:tc>
          <w:tcPr>
            <w:tcW w:w="2126" w:type="dxa"/>
            <w:noWrap/>
            <w:vAlign w:val="bottom"/>
          </w:tcPr>
          <w:p w:rsidR="00052885" w:rsidRPr="003855F8" w:rsidRDefault="00052885" w:rsidP="00D65D4E">
            <w:pPr>
              <w:rPr>
                <w:rFonts w:cs="Arial"/>
              </w:rPr>
            </w:pPr>
            <w:r w:rsidRPr="003855F8">
              <w:rPr>
                <w:rFonts w:cs="Arial"/>
              </w:rPr>
              <w:t>MO Member</w:t>
            </w:r>
          </w:p>
        </w:tc>
      </w:tr>
      <w:tr w:rsidR="00052885" w:rsidRPr="00176816" w:rsidTr="00D65D4E">
        <w:trPr>
          <w:trHeight w:val="285"/>
        </w:trPr>
        <w:tc>
          <w:tcPr>
            <w:tcW w:w="2700" w:type="dxa"/>
            <w:noWrap/>
            <w:vAlign w:val="bottom"/>
          </w:tcPr>
          <w:p w:rsidR="00052885" w:rsidRPr="003855F8" w:rsidRDefault="00052885" w:rsidP="00D65D4E">
            <w:pPr>
              <w:rPr>
                <w:rFonts w:cs="Arial"/>
              </w:rPr>
            </w:pPr>
            <w:r w:rsidRPr="003855F8">
              <w:rPr>
                <w:rFonts w:cs="Arial"/>
              </w:rPr>
              <w:t>Patrick Liddy</w:t>
            </w:r>
          </w:p>
        </w:tc>
        <w:tc>
          <w:tcPr>
            <w:tcW w:w="2251" w:type="dxa"/>
            <w:noWrap/>
            <w:vAlign w:val="bottom"/>
          </w:tcPr>
          <w:p w:rsidR="00052885" w:rsidRPr="003855F8" w:rsidRDefault="00052885" w:rsidP="00D65D4E">
            <w:pPr>
              <w:rPr>
                <w:rFonts w:cs="Arial"/>
              </w:rPr>
            </w:pPr>
            <w:r w:rsidRPr="003855F8">
              <w:rPr>
                <w:rFonts w:cs="Arial"/>
              </w:rPr>
              <w:t>Activation Energy</w:t>
            </w:r>
          </w:p>
        </w:tc>
        <w:tc>
          <w:tcPr>
            <w:tcW w:w="2126" w:type="dxa"/>
            <w:noWrap/>
            <w:vAlign w:val="bottom"/>
          </w:tcPr>
          <w:p w:rsidR="00052885" w:rsidRPr="003855F8" w:rsidRDefault="00052885" w:rsidP="00D65D4E">
            <w:pPr>
              <w:rPr>
                <w:rFonts w:cs="Arial"/>
              </w:rPr>
            </w:pPr>
            <w:r w:rsidRPr="003855F8">
              <w:rPr>
                <w:rFonts w:cs="Arial"/>
              </w:rPr>
              <w:t>DSU Member</w:t>
            </w:r>
          </w:p>
        </w:tc>
      </w:tr>
      <w:tr w:rsidR="00052885" w:rsidRPr="00176816" w:rsidTr="00D65D4E">
        <w:trPr>
          <w:trHeight w:val="285"/>
        </w:trPr>
        <w:tc>
          <w:tcPr>
            <w:tcW w:w="2700" w:type="dxa"/>
            <w:noWrap/>
            <w:vAlign w:val="bottom"/>
          </w:tcPr>
          <w:p w:rsidR="00052885" w:rsidRPr="003855F8" w:rsidRDefault="00052885" w:rsidP="00D65D4E">
            <w:pPr>
              <w:rPr>
                <w:rFonts w:cs="Arial"/>
              </w:rPr>
            </w:pPr>
            <w:r w:rsidRPr="003855F8">
              <w:rPr>
                <w:rFonts w:cs="Arial"/>
              </w:rPr>
              <w:t>Warren Deacon</w:t>
            </w:r>
          </w:p>
        </w:tc>
        <w:tc>
          <w:tcPr>
            <w:tcW w:w="2251" w:type="dxa"/>
            <w:noWrap/>
            <w:vAlign w:val="bottom"/>
          </w:tcPr>
          <w:p w:rsidR="00052885" w:rsidRPr="003855F8" w:rsidRDefault="00052885" w:rsidP="00D65D4E">
            <w:pPr>
              <w:rPr>
                <w:rFonts w:cs="Arial"/>
              </w:rPr>
            </w:pPr>
            <w:r w:rsidRPr="003855F8">
              <w:rPr>
                <w:rFonts w:cs="Arial"/>
              </w:rPr>
              <w:t>CER</w:t>
            </w:r>
          </w:p>
        </w:tc>
        <w:tc>
          <w:tcPr>
            <w:tcW w:w="2126" w:type="dxa"/>
            <w:noWrap/>
            <w:vAlign w:val="bottom"/>
          </w:tcPr>
          <w:p w:rsidR="00052885" w:rsidRPr="003855F8" w:rsidRDefault="00052885" w:rsidP="00D65D4E">
            <w:pPr>
              <w:rPr>
                <w:rFonts w:cs="Arial"/>
              </w:rPr>
            </w:pPr>
            <w:r w:rsidRPr="003855F8">
              <w:rPr>
                <w:rFonts w:cs="Arial"/>
              </w:rPr>
              <w:t>RA Alternate</w:t>
            </w:r>
          </w:p>
        </w:tc>
      </w:tr>
      <w:tr w:rsidR="00052885" w:rsidRPr="00176816" w:rsidTr="00D65D4E">
        <w:trPr>
          <w:trHeight w:val="285"/>
        </w:trPr>
        <w:tc>
          <w:tcPr>
            <w:tcW w:w="2700" w:type="dxa"/>
            <w:noWrap/>
            <w:vAlign w:val="bottom"/>
          </w:tcPr>
          <w:p w:rsidR="00052885" w:rsidRPr="003855F8" w:rsidRDefault="00052885" w:rsidP="00D65D4E">
            <w:pPr>
              <w:rPr>
                <w:rFonts w:cs="Arial"/>
              </w:rPr>
            </w:pPr>
            <w:r w:rsidRPr="003855F8">
              <w:rPr>
                <w:rFonts w:cs="Arial"/>
              </w:rPr>
              <w:t>William Carr</w:t>
            </w:r>
          </w:p>
        </w:tc>
        <w:tc>
          <w:tcPr>
            <w:tcW w:w="2251" w:type="dxa"/>
            <w:noWrap/>
            <w:vAlign w:val="bottom"/>
          </w:tcPr>
          <w:p w:rsidR="00052885" w:rsidRPr="003855F8" w:rsidRDefault="00052885" w:rsidP="00D65D4E">
            <w:pPr>
              <w:rPr>
                <w:rFonts w:cs="Arial"/>
              </w:rPr>
            </w:pPr>
            <w:r w:rsidRPr="003855F8">
              <w:rPr>
                <w:rFonts w:cs="Arial"/>
              </w:rPr>
              <w:t>Electric Ireland</w:t>
            </w:r>
          </w:p>
        </w:tc>
        <w:tc>
          <w:tcPr>
            <w:tcW w:w="2126" w:type="dxa"/>
            <w:noWrap/>
            <w:vAlign w:val="bottom"/>
          </w:tcPr>
          <w:p w:rsidR="00052885" w:rsidRPr="003855F8" w:rsidRDefault="00052885" w:rsidP="00D65D4E">
            <w:pPr>
              <w:rPr>
                <w:rFonts w:cs="Arial"/>
              </w:rPr>
            </w:pPr>
            <w:r w:rsidRPr="003855F8">
              <w:rPr>
                <w:rFonts w:cs="Arial"/>
              </w:rPr>
              <w:t>Supplier Member</w:t>
            </w:r>
          </w:p>
        </w:tc>
      </w:tr>
      <w:tr w:rsidR="00052885" w:rsidRPr="00176816" w:rsidTr="00D65D4E">
        <w:trPr>
          <w:trHeight w:val="285"/>
        </w:trPr>
        <w:tc>
          <w:tcPr>
            <w:tcW w:w="2700" w:type="dxa"/>
            <w:noWrap/>
            <w:vAlign w:val="bottom"/>
          </w:tcPr>
          <w:p w:rsidR="00052885" w:rsidRPr="003855F8" w:rsidRDefault="00052885" w:rsidP="00D65D4E">
            <w:pPr>
              <w:rPr>
                <w:rFonts w:cs="Arial"/>
              </w:rPr>
            </w:pPr>
            <w:r w:rsidRPr="003855F8">
              <w:rPr>
                <w:rFonts w:cs="Arial"/>
              </w:rPr>
              <w:t xml:space="preserve">William Steele </w:t>
            </w:r>
          </w:p>
        </w:tc>
        <w:tc>
          <w:tcPr>
            <w:tcW w:w="2251" w:type="dxa"/>
            <w:noWrap/>
            <w:vAlign w:val="bottom"/>
          </w:tcPr>
          <w:p w:rsidR="00052885" w:rsidRPr="003855F8" w:rsidRDefault="00052885" w:rsidP="00D65D4E">
            <w:pPr>
              <w:rPr>
                <w:rFonts w:cs="Arial"/>
              </w:rPr>
            </w:pPr>
            <w:r w:rsidRPr="003855F8">
              <w:rPr>
                <w:rFonts w:cs="Arial"/>
              </w:rPr>
              <w:t>Power NI</w:t>
            </w:r>
          </w:p>
        </w:tc>
        <w:tc>
          <w:tcPr>
            <w:tcW w:w="2126" w:type="dxa"/>
            <w:noWrap/>
            <w:vAlign w:val="bottom"/>
          </w:tcPr>
          <w:p w:rsidR="00052885" w:rsidRPr="003855F8" w:rsidRDefault="00052885" w:rsidP="00D65D4E">
            <w:pPr>
              <w:rPr>
                <w:rFonts w:cs="Arial"/>
              </w:rPr>
            </w:pPr>
            <w:r w:rsidRPr="003855F8">
              <w:rPr>
                <w:rFonts w:cs="Arial"/>
              </w:rPr>
              <w:t>Supplier Member</w:t>
            </w:r>
          </w:p>
        </w:tc>
      </w:tr>
      <w:tr w:rsidR="00052885" w:rsidRPr="00176816" w:rsidTr="00D65D4E">
        <w:trPr>
          <w:trHeight w:val="164"/>
        </w:trPr>
        <w:tc>
          <w:tcPr>
            <w:tcW w:w="7077" w:type="dxa"/>
            <w:gridSpan w:val="3"/>
            <w:noWrap/>
            <w:vAlign w:val="bottom"/>
          </w:tcPr>
          <w:p w:rsidR="00052885" w:rsidRPr="003855F8" w:rsidRDefault="00052885" w:rsidP="00D65D4E">
            <w:pPr>
              <w:rPr>
                <w:rFonts w:cs="Arial"/>
                <w:b/>
              </w:rPr>
            </w:pPr>
            <w:r w:rsidRPr="003855F8">
              <w:rPr>
                <w:rFonts w:cs="Arial"/>
                <w:b/>
                <w:bCs/>
                <w:color w:val="000080"/>
              </w:rPr>
              <w:t>Secretariat</w:t>
            </w:r>
          </w:p>
        </w:tc>
      </w:tr>
      <w:tr w:rsidR="00052885" w:rsidRPr="00176816" w:rsidTr="00D65D4E">
        <w:trPr>
          <w:trHeight w:val="132"/>
        </w:trPr>
        <w:tc>
          <w:tcPr>
            <w:tcW w:w="2700" w:type="dxa"/>
            <w:noWrap/>
            <w:vAlign w:val="bottom"/>
          </w:tcPr>
          <w:p w:rsidR="00052885" w:rsidRPr="003855F8" w:rsidRDefault="00052885" w:rsidP="00D65D4E">
            <w:pPr>
              <w:rPr>
                <w:rFonts w:cs="Arial"/>
              </w:rPr>
            </w:pPr>
            <w:r w:rsidRPr="003855F8">
              <w:rPr>
                <w:rFonts w:cs="Arial"/>
              </w:rPr>
              <w:t>Sherine King</w:t>
            </w:r>
          </w:p>
        </w:tc>
        <w:tc>
          <w:tcPr>
            <w:tcW w:w="2251" w:type="dxa"/>
            <w:noWrap/>
            <w:vAlign w:val="bottom"/>
          </w:tcPr>
          <w:p w:rsidR="00052885" w:rsidRPr="003855F8" w:rsidRDefault="00052885" w:rsidP="00D65D4E">
            <w:pPr>
              <w:rPr>
                <w:rFonts w:cs="Arial"/>
              </w:rPr>
            </w:pPr>
            <w:r w:rsidRPr="003855F8">
              <w:rPr>
                <w:rFonts w:cs="Arial"/>
              </w:rPr>
              <w:t>SEMO</w:t>
            </w:r>
          </w:p>
        </w:tc>
        <w:tc>
          <w:tcPr>
            <w:tcW w:w="2126" w:type="dxa"/>
            <w:noWrap/>
            <w:vAlign w:val="bottom"/>
          </w:tcPr>
          <w:p w:rsidR="00052885" w:rsidRPr="003855F8" w:rsidRDefault="00052885" w:rsidP="00D65D4E">
            <w:pPr>
              <w:rPr>
                <w:rFonts w:cs="Arial"/>
              </w:rPr>
            </w:pPr>
            <w:r w:rsidRPr="003855F8">
              <w:rPr>
                <w:rFonts w:cs="Arial"/>
              </w:rPr>
              <w:t>Secretariat</w:t>
            </w:r>
          </w:p>
        </w:tc>
      </w:tr>
      <w:tr w:rsidR="00052885" w:rsidRPr="00176816" w:rsidTr="00D65D4E">
        <w:trPr>
          <w:trHeight w:val="179"/>
        </w:trPr>
        <w:tc>
          <w:tcPr>
            <w:tcW w:w="7077" w:type="dxa"/>
            <w:gridSpan w:val="3"/>
            <w:noWrap/>
            <w:vAlign w:val="bottom"/>
          </w:tcPr>
          <w:p w:rsidR="00052885" w:rsidRPr="003855F8" w:rsidRDefault="00052885" w:rsidP="00D65D4E">
            <w:pPr>
              <w:rPr>
                <w:rFonts w:cs="Arial"/>
                <w:b/>
              </w:rPr>
            </w:pPr>
            <w:r w:rsidRPr="003855F8">
              <w:rPr>
                <w:rFonts w:cs="Arial"/>
                <w:b/>
                <w:bCs/>
                <w:color w:val="000080"/>
              </w:rPr>
              <w:t>Observers</w:t>
            </w:r>
          </w:p>
        </w:tc>
      </w:tr>
      <w:tr w:rsidR="00052885" w:rsidRPr="00176816" w:rsidTr="00D65D4E">
        <w:trPr>
          <w:trHeight w:val="278"/>
        </w:trPr>
        <w:tc>
          <w:tcPr>
            <w:tcW w:w="2700" w:type="dxa"/>
            <w:noWrap/>
            <w:vAlign w:val="bottom"/>
          </w:tcPr>
          <w:p w:rsidR="00052885" w:rsidRPr="003855F8" w:rsidRDefault="00052885" w:rsidP="00D65D4E">
            <w:pPr>
              <w:rPr>
                <w:rFonts w:cs="Arial"/>
              </w:rPr>
            </w:pPr>
            <w:r w:rsidRPr="003855F8">
              <w:rPr>
                <w:rFonts w:cs="Arial"/>
              </w:rPr>
              <w:t>Alison Wilson</w:t>
            </w:r>
          </w:p>
        </w:tc>
        <w:tc>
          <w:tcPr>
            <w:tcW w:w="2251" w:type="dxa"/>
            <w:noWrap/>
            <w:vAlign w:val="bottom"/>
          </w:tcPr>
          <w:p w:rsidR="00052885" w:rsidRPr="003855F8" w:rsidRDefault="00052885" w:rsidP="00D65D4E">
            <w:pPr>
              <w:rPr>
                <w:rFonts w:cs="Arial"/>
              </w:rPr>
            </w:pPr>
            <w:r>
              <w:rPr>
                <w:rFonts w:cs="Arial"/>
              </w:rPr>
              <w:t>Power NI</w:t>
            </w:r>
          </w:p>
        </w:tc>
        <w:tc>
          <w:tcPr>
            <w:tcW w:w="2126" w:type="dxa"/>
            <w:noWrap/>
            <w:vAlign w:val="bottom"/>
          </w:tcPr>
          <w:p w:rsidR="00052885" w:rsidRPr="003855F8" w:rsidRDefault="00052885" w:rsidP="00D65D4E">
            <w:pPr>
              <w:rPr>
                <w:rFonts w:cs="Arial"/>
              </w:rPr>
            </w:pPr>
            <w:r w:rsidRPr="003855F8">
              <w:rPr>
                <w:rFonts w:cs="Arial"/>
              </w:rPr>
              <w:t>Observer</w:t>
            </w:r>
          </w:p>
        </w:tc>
      </w:tr>
      <w:tr w:rsidR="00052885" w:rsidRPr="00176816" w:rsidTr="00D65D4E">
        <w:trPr>
          <w:trHeight w:val="278"/>
        </w:trPr>
        <w:tc>
          <w:tcPr>
            <w:tcW w:w="2700" w:type="dxa"/>
            <w:noWrap/>
            <w:vAlign w:val="bottom"/>
          </w:tcPr>
          <w:p w:rsidR="00052885" w:rsidRPr="003855F8" w:rsidRDefault="00052885" w:rsidP="00D65D4E">
            <w:pPr>
              <w:rPr>
                <w:rFonts w:cs="Arial"/>
              </w:rPr>
            </w:pPr>
            <w:r w:rsidRPr="003855F8">
              <w:rPr>
                <w:rFonts w:cs="Arial"/>
              </w:rPr>
              <w:t>Brian Kennedy</w:t>
            </w:r>
          </w:p>
        </w:tc>
        <w:tc>
          <w:tcPr>
            <w:tcW w:w="2251" w:type="dxa"/>
            <w:noWrap/>
            <w:vAlign w:val="bottom"/>
          </w:tcPr>
          <w:p w:rsidR="00052885" w:rsidRPr="003855F8" w:rsidRDefault="00052885" w:rsidP="00D65D4E">
            <w:pPr>
              <w:rPr>
                <w:rFonts w:cs="Arial"/>
              </w:rPr>
            </w:pPr>
            <w:r w:rsidRPr="003855F8">
              <w:rPr>
                <w:rFonts w:cs="Arial"/>
              </w:rPr>
              <w:t>Gaelectric</w:t>
            </w:r>
          </w:p>
        </w:tc>
        <w:tc>
          <w:tcPr>
            <w:tcW w:w="2126" w:type="dxa"/>
            <w:noWrap/>
            <w:vAlign w:val="bottom"/>
          </w:tcPr>
          <w:p w:rsidR="00052885" w:rsidRPr="003855F8" w:rsidRDefault="00052885" w:rsidP="00D65D4E">
            <w:pPr>
              <w:rPr>
                <w:rFonts w:cs="Arial"/>
              </w:rPr>
            </w:pPr>
            <w:r w:rsidRPr="003855F8">
              <w:rPr>
                <w:rFonts w:cs="Arial"/>
              </w:rPr>
              <w:t>Observer</w:t>
            </w:r>
          </w:p>
        </w:tc>
      </w:tr>
      <w:tr w:rsidR="00052885" w:rsidRPr="00176816" w:rsidTr="00D65D4E">
        <w:trPr>
          <w:trHeight w:val="278"/>
        </w:trPr>
        <w:tc>
          <w:tcPr>
            <w:tcW w:w="2700" w:type="dxa"/>
            <w:noWrap/>
            <w:vAlign w:val="bottom"/>
          </w:tcPr>
          <w:p w:rsidR="00052885" w:rsidRPr="003855F8" w:rsidRDefault="00052885" w:rsidP="00D65D4E">
            <w:pPr>
              <w:rPr>
                <w:rFonts w:cs="Arial"/>
              </w:rPr>
            </w:pPr>
            <w:r>
              <w:rPr>
                <w:rFonts w:cs="Arial"/>
              </w:rPr>
              <w:t>Brian Mulhern</w:t>
            </w:r>
          </w:p>
        </w:tc>
        <w:tc>
          <w:tcPr>
            <w:tcW w:w="2251" w:type="dxa"/>
            <w:noWrap/>
            <w:vAlign w:val="bottom"/>
          </w:tcPr>
          <w:p w:rsidR="00052885" w:rsidRPr="003855F8" w:rsidRDefault="00052885" w:rsidP="00D65D4E">
            <w:pPr>
              <w:rPr>
                <w:rFonts w:cs="Arial"/>
              </w:rPr>
            </w:pPr>
            <w:r>
              <w:rPr>
                <w:rFonts w:cs="Arial"/>
              </w:rPr>
              <w:t>UR</w:t>
            </w:r>
          </w:p>
        </w:tc>
        <w:tc>
          <w:tcPr>
            <w:tcW w:w="2126" w:type="dxa"/>
            <w:noWrap/>
            <w:vAlign w:val="bottom"/>
          </w:tcPr>
          <w:p w:rsidR="00052885" w:rsidRPr="003855F8" w:rsidRDefault="00052885" w:rsidP="00D65D4E">
            <w:pPr>
              <w:rPr>
                <w:rFonts w:cs="Arial"/>
              </w:rPr>
            </w:pPr>
            <w:r>
              <w:rPr>
                <w:rFonts w:cs="Arial"/>
              </w:rPr>
              <w:t>Observer</w:t>
            </w:r>
          </w:p>
        </w:tc>
      </w:tr>
      <w:tr w:rsidR="00052885" w:rsidRPr="00176816" w:rsidTr="00D65D4E">
        <w:trPr>
          <w:trHeight w:val="278"/>
        </w:trPr>
        <w:tc>
          <w:tcPr>
            <w:tcW w:w="2700" w:type="dxa"/>
            <w:noWrap/>
            <w:vAlign w:val="bottom"/>
          </w:tcPr>
          <w:p w:rsidR="00052885" w:rsidRDefault="00052885" w:rsidP="00D65D4E">
            <w:pPr>
              <w:rPr>
                <w:rFonts w:cs="Arial"/>
              </w:rPr>
            </w:pPr>
            <w:r>
              <w:rPr>
                <w:rFonts w:cs="Arial"/>
              </w:rPr>
              <w:t>Chloe Kinsella</w:t>
            </w:r>
          </w:p>
        </w:tc>
        <w:tc>
          <w:tcPr>
            <w:tcW w:w="2251" w:type="dxa"/>
            <w:noWrap/>
            <w:vAlign w:val="bottom"/>
          </w:tcPr>
          <w:p w:rsidR="00052885" w:rsidRDefault="00052885" w:rsidP="00D65D4E">
            <w:pPr>
              <w:rPr>
                <w:rFonts w:cs="Arial"/>
              </w:rPr>
            </w:pPr>
            <w:r>
              <w:rPr>
                <w:rFonts w:cs="Arial"/>
              </w:rPr>
              <w:t>Energise</w:t>
            </w:r>
          </w:p>
        </w:tc>
        <w:tc>
          <w:tcPr>
            <w:tcW w:w="2126" w:type="dxa"/>
            <w:noWrap/>
            <w:vAlign w:val="bottom"/>
          </w:tcPr>
          <w:p w:rsidR="00052885" w:rsidRDefault="00052885" w:rsidP="00D65D4E">
            <w:pPr>
              <w:rPr>
                <w:rFonts w:cs="Arial"/>
              </w:rPr>
            </w:pPr>
            <w:r>
              <w:rPr>
                <w:rFonts w:cs="Arial"/>
              </w:rPr>
              <w:t>Observer</w:t>
            </w:r>
          </w:p>
        </w:tc>
      </w:tr>
      <w:tr w:rsidR="00052885" w:rsidRPr="00176816" w:rsidTr="00D65D4E">
        <w:trPr>
          <w:trHeight w:val="278"/>
        </w:trPr>
        <w:tc>
          <w:tcPr>
            <w:tcW w:w="2700" w:type="dxa"/>
            <w:noWrap/>
            <w:vAlign w:val="bottom"/>
          </w:tcPr>
          <w:p w:rsidR="00052885" w:rsidRDefault="00052885" w:rsidP="00D65D4E">
            <w:pPr>
              <w:rPr>
                <w:rFonts w:cs="Arial"/>
              </w:rPr>
            </w:pPr>
            <w:r>
              <w:rPr>
                <w:rFonts w:cs="Arial"/>
              </w:rPr>
              <w:lastRenderedPageBreak/>
              <w:t>David Dunlop</w:t>
            </w:r>
          </w:p>
        </w:tc>
        <w:tc>
          <w:tcPr>
            <w:tcW w:w="2251" w:type="dxa"/>
            <w:noWrap/>
            <w:vAlign w:val="bottom"/>
          </w:tcPr>
          <w:p w:rsidR="00052885" w:rsidRDefault="00052885" w:rsidP="00D65D4E">
            <w:pPr>
              <w:rPr>
                <w:rFonts w:cs="Arial"/>
              </w:rPr>
            </w:pPr>
            <w:r>
              <w:rPr>
                <w:rFonts w:cs="Arial"/>
              </w:rPr>
              <w:t>Viridian</w:t>
            </w:r>
          </w:p>
        </w:tc>
        <w:tc>
          <w:tcPr>
            <w:tcW w:w="2126" w:type="dxa"/>
            <w:noWrap/>
            <w:vAlign w:val="bottom"/>
          </w:tcPr>
          <w:p w:rsidR="00052885" w:rsidRDefault="00052885" w:rsidP="00D65D4E">
            <w:pPr>
              <w:rPr>
                <w:rFonts w:cs="Arial"/>
              </w:rPr>
            </w:pPr>
            <w:r>
              <w:rPr>
                <w:rFonts w:cs="Arial"/>
              </w:rPr>
              <w:t>Observer</w:t>
            </w:r>
          </w:p>
        </w:tc>
      </w:tr>
      <w:tr w:rsidR="00052885" w:rsidRPr="00176816" w:rsidTr="00D65D4E">
        <w:trPr>
          <w:trHeight w:val="289"/>
        </w:trPr>
        <w:tc>
          <w:tcPr>
            <w:tcW w:w="2700" w:type="dxa"/>
            <w:noWrap/>
            <w:vAlign w:val="bottom"/>
          </w:tcPr>
          <w:p w:rsidR="00052885" w:rsidRPr="003855F8" w:rsidRDefault="00052885" w:rsidP="00D65D4E">
            <w:pPr>
              <w:rPr>
                <w:rFonts w:cs="Arial"/>
              </w:rPr>
            </w:pPr>
            <w:r w:rsidRPr="003855F8">
              <w:rPr>
                <w:rFonts w:cs="Arial"/>
              </w:rPr>
              <w:t>Gary McCullough</w:t>
            </w:r>
          </w:p>
        </w:tc>
        <w:tc>
          <w:tcPr>
            <w:tcW w:w="2251" w:type="dxa"/>
            <w:noWrap/>
            <w:vAlign w:val="bottom"/>
          </w:tcPr>
          <w:p w:rsidR="00052885" w:rsidRPr="003855F8" w:rsidRDefault="00052885" w:rsidP="00D65D4E">
            <w:pPr>
              <w:rPr>
                <w:rFonts w:cs="Arial"/>
              </w:rPr>
            </w:pPr>
            <w:r w:rsidRPr="003855F8">
              <w:rPr>
                <w:rFonts w:cs="Arial"/>
              </w:rPr>
              <w:t>SONI</w:t>
            </w:r>
          </w:p>
        </w:tc>
        <w:tc>
          <w:tcPr>
            <w:tcW w:w="2126" w:type="dxa"/>
            <w:noWrap/>
            <w:vAlign w:val="bottom"/>
          </w:tcPr>
          <w:p w:rsidR="00052885" w:rsidRPr="003855F8" w:rsidRDefault="00052885" w:rsidP="00D65D4E">
            <w:pPr>
              <w:rPr>
                <w:rFonts w:cs="Arial"/>
              </w:rPr>
            </w:pPr>
            <w:r w:rsidRPr="003855F8">
              <w:rPr>
                <w:rFonts w:cs="Arial"/>
              </w:rPr>
              <w:t>Observer</w:t>
            </w:r>
          </w:p>
        </w:tc>
      </w:tr>
      <w:tr w:rsidR="00493B62" w:rsidRPr="00176816" w:rsidTr="00D65D4E">
        <w:trPr>
          <w:trHeight w:val="289"/>
        </w:trPr>
        <w:tc>
          <w:tcPr>
            <w:tcW w:w="2700" w:type="dxa"/>
            <w:noWrap/>
            <w:vAlign w:val="bottom"/>
          </w:tcPr>
          <w:p w:rsidR="00493B62" w:rsidRPr="003855F8" w:rsidRDefault="00493B62" w:rsidP="00D65D4E">
            <w:pPr>
              <w:rPr>
                <w:rFonts w:cs="Arial"/>
              </w:rPr>
            </w:pPr>
            <w:r>
              <w:rPr>
                <w:rFonts w:cs="Arial"/>
              </w:rPr>
              <w:t>Gemma McHale</w:t>
            </w:r>
          </w:p>
        </w:tc>
        <w:tc>
          <w:tcPr>
            <w:tcW w:w="2251" w:type="dxa"/>
            <w:noWrap/>
            <w:vAlign w:val="bottom"/>
          </w:tcPr>
          <w:p w:rsidR="00493B62" w:rsidRPr="003855F8" w:rsidRDefault="00493B62" w:rsidP="00D65D4E">
            <w:pPr>
              <w:rPr>
                <w:rFonts w:cs="Arial"/>
              </w:rPr>
            </w:pPr>
            <w:r>
              <w:rPr>
                <w:rFonts w:cs="Arial"/>
              </w:rPr>
              <w:t>NIE</w:t>
            </w:r>
          </w:p>
        </w:tc>
        <w:tc>
          <w:tcPr>
            <w:tcW w:w="2126" w:type="dxa"/>
            <w:noWrap/>
            <w:vAlign w:val="bottom"/>
          </w:tcPr>
          <w:p w:rsidR="00493B62" w:rsidRPr="003855F8" w:rsidRDefault="00493B62" w:rsidP="00D65D4E">
            <w:pPr>
              <w:rPr>
                <w:rFonts w:cs="Arial"/>
              </w:rPr>
            </w:pPr>
            <w:r>
              <w:rPr>
                <w:rFonts w:cs="Arial"/>
              </w:rPr>
              <w:t>Observer</w:t>
            </w:r>
          </w:p>
        </w:tc>
      </w:tr>
      <w:tr w:rsidR="00052885" w:rsidRPr="00176816" w:rsidTr="00D65D4E">
        <w:trPr>
          <w:trHeight w:val="289"/>
        </w:trPr>
        <w:tc>
          <w:tcPr>
            <w:tcW w:w="2700" w:type="dxa"/>
            <w:noWrap/>
            <w:vAlign w:val="bottom"/>
          </w:tcPr>
          <w:p w:rsidR="00052885" w:rsidRPr="003855F8" w:rsidRDefault="00052885" w:rsidP="00D65D4E">
            <w:pPr>
              <w:rPr>
                <w:rFonts w:cs="Arial"/>
              </w:rPr>
            </w:pPr>
            <w:r>
              <w:rPr>
                <w:rFonts w:cs="Arial"/>
              </w:rPr>
              <w:t>Leigh McCarthy</w:t>
            </w:r>
          </w:p>
        </w:tc>
        <w:tc>
          <w:tcPr>
            <w:tcW w:w="2251" w:type="dxa"/>
            <w:noWrap/>
            <w:vAlign w:val="bottom"/>
          </w:tcPr>
          <w:p w:rsidR="00052885" w:rsidRPr="003855F8" w:rsidRDefault="00052885" w:rsidP="00D65D4E">
            <w:pPr>
              <w:rPr>
                <w:rFonts w:cs="Arial"/>
              </w:rPr>
            </w:pPr>
            <w:r>
              <w:rPr>
                <w:rFonts w:cs="Arial"/>
              </w:rPr>
              <w:t>EirGrid</w:t>
            </w:r>
          </w:p>
        </w:tc>
        <w:tc>
          <w:tcPr>
            <w:tcW w:w="2126" w:type="dxa"/>
            <w:noWrap/>
            <w:vAlign w:val="bottom"/>
          </w:tcPr>
          <w:p w:rsidR="00052885" w:rsidRPr="003855F8" w:rsidRDefault="00052885" w:rsidP="00D65D4E">
            <w:pPr>
              <w:rPr>
                <w:rFonts w:cs="Arial"/>
              </w:rPr>
            </w:pPr>
            <w:r>
              <w:rPr>
                <w:rFonts w:cs="Arial"/>
              </w:rPr>
              <w:t>Observer</w:t>
            </w:r>
          </w:p>
        </w:tc>
      </w:tr>
      <w:tr w:rsidR="00052885" w:rsidRPr="00176816" w:rsidTr="00D65D4E">
        <w:trPr>
          <w:trHeight w:val="289"/>
        </w:trPr>
        <w:tc>
          <w:tcPr>
            <w:tcW w:w="2700" w:type="dxa"/>
            <w:noWrap/>
            <w:vAlign w:val="bottom"/>
          </w:tcPr>
          <w:p w:rsidR="00052885" w:rsidRPr="00176816" w:rsidRDefault="00052885" w:rsidP="00D65D4E">
            <w:pPr>
              <w:rPr>
                <w:rFonts w:cs="Arial"/>
                <w:highlight w:val="yellow"/>
              </w:rPr>
            </w:pPr>
            <w:r w:rsidRPr="003855F8">
              <w:rPr>
                <w:rFonts w:cs="Arial"/>
              </w:rPr>
              <w:t>Michael Brennan</w:t>
            </w:r>
          </w:p>
        </w:tc>
        <w:tc>
          <w:tcPr>
            <w:tcW w:w="2251" w:type="dxa"/>
            <w:noWrap/>
            <w:vAlign w:val="bottom"/>
          </w:tcPr>
          <w:p w:rsidR="00052885" w:rsidRPr="003855F8" w:rsidRDefault="00052885" w:rsidP="00D65D4E">
            <w:pPr>
              <w:rPr>
                <w:rFonts w:cs="Arial"/>
              </w:rPr>
            </w:pPr>
            <w:r w:rsidRPr="003855F8">
              <w:rPr>
                <w:rFonts w:cs="Arial"/>
              </w:rPr>
              <w:t>ESB</w:t>
            </w:r>
          </w:p>
        </w:tc>
        <w:tc>
          <w:tcPr>
            <w:tcW w:w="2126" w:type="dxa"/>
            <w:noWrap/>
            <w:vAlign w:val="bottom"/>
          </w:tcPr>
          <w:p w:rsidR="00052885" w:rsidRPr="003855F8" w:rsidRDefault="00052885" w:rsidP="00D65D4E">
            <w:pPr>
              <w:rPr>
                <w:rFonts w:cs="Arial"/>
              </w:rPr>
            </w:pPr>
            <w:r w:rsidRPr="003855F8">
              <w:rPr>
                <w:rFonts w:cs="Arial"/>
              </w:rPr>
              <w:t>Observer</w:t>
            </w:r>
          </w:p>
        </w:tc>
      </w:tr>
      <w:tr w:rsidR="00052885" w:rsidRPr="00176816" w:rsidTr="00D65D4E">
        <w:trPr>
          <w:trHeight w:val="289"/>
        </w:trPr>
        <w:tc>
          <w:tcPr>
            <w:tcW w:w="2700" w:type="dxa"/>
            <w:noWrap/>
            <w:vAlign w:val="bottom"/>
          </w:tcPr>
          <w:p w:rsidR="00052885" w:rsidRPr="003855F8" w:rsidRDefault="00052885" w:rsidP="00D65D4E">
            <w:pPr>
              <w:rPr>
                <w:rFonts w:cs="Arial"/>
              </w:rPr>
            </w:pPr>
            <w:r>
              <w:rPr>
                <w:rFonts w:cs="Arial"/>
              </w:rPr>
              <w:t>Stan Linehan</w:t>
            </w:r>
          </w:p>
        </w:tc>
        <w:tc>
          <w:tcPr>
            <w:tcW w:w="2251" w:type="dxa"/>
            <w:noWrap/>
            <w:vAlign w:val="bottom"/>
          </w:tcPr>
          <w:p w:rsidR="00052885" w:rsidRPr="003855F8" w:rsidRDefault="00052885" w:rsidP="00D65D4E">
            <w:pPr>
              <w:rPr>
                <w:rFonts w:cs="Arial"/>
              </w:rPr>
            </w:pPr>
            <w:r>
              <w:rPr>
                <w:rFonts w:cs="Arial"/>
              </w:rPr>
              <w:t>Bord Gais</w:t>
            </w:r>
          </w:p>
        </w:tc>
        <w:tc>
          <w:tcPr>
            <w:tcW w:w="2126" w:type="dxa"/>
            <w:noWrap/>
            <w:vAlign w:val="bottom"/>
          </w:tcPr>
          <w:p w:rsidR="00052885" w:rsidRPr="003855F8" w:rsidRDefault="00052885" w:rsidP="00D65D4E">
            <w:pPr>
              <w:rPr>
                <w:rFonts w:cs="Arial"/>
              </w:rPr>
            </w:pPr>
            <w:r>
              <w:rPr>
                <w:rFonts w:cs="Arial"/>
              </w:rPr>
              <w:t>Observer</w:t>
            </w:r>
          </w:p>
        </w:tc>
      </w:tr>
      <w:tr w:rsidR="00052885" w:rsidRPr="00176816" w:rsidTr="00D65D4E">
        <w:trPr>
          <w:trHeight w:val="289"/>
        </w:trPr>
        <w:tc>
          <w:tcPr>
            <w:tcW w:w="2700" w:type="dxa"/>
            <w:noWrap/>
            <w:vAlign w:val="bottom"/>
          </w:tcPr>
          <w:p w:rsidR="00052885" w:rsidRDefault="00052885" w:rsidP="00D65D4E">
            <w:pPr>
              <w:rPr>
                <w:rFonts w:cs="Arial"/>
              </w:rPr>
            </w:pPr>
            <w:r>
              <w:rPr>
                <w:rFonts w:cs="Arial"/>
              </w:rPr>
              <w:t>Tom McIlroy</w:t>
            </w:r>
          </w:p>
        </w:tc>
        <w:tc>
          <w:tcPr>
            <w:tcW w:w="2251" w:type="dxa"/>
            <w:noWrap/>
            <w:vAlign w:val="bottom"/>
          </w:tcPr>
          <w:p w:rsidR="00052885" w:rsidRDefault="00052885" w:rsidP="00D65D4E">
            <w:pPr>
              <w:rPr>
                <w:rFonts w:cs="Arial"/>
              </w:rPr>
            </w:pPr>
            <w:r>
              <w:rPr>
                <w:rFonts w:cs="Arial"/>
              </w:rPr>
              <w:t>Energia</w:t>
            </w:r>
          </w:p>
        </w:tc>
        <w:tc>
          <w:tcPr>
            <w:tcW w:w="2126" w:type="dxa"/>
            <w:noWrap/>
            <w:vAlign w:val="bottom"/>
          </w:tcPr>
          <w:p w:rsidR="00052885" w:rsidRDefault="00052885" w:rsidP="00D65D4E">
            <w:pPr>
              <w:rPr>
                <w:rFonts w:cs="Arial"/>
              </w:rPr>
            </w:pPr>
            <w:r>
              <w:rPr>
                <w:rFonts w:cs="Arial"/>
              </w:rPr>
              <w:t>Observer</w:t>
            </w:r>
          </w:p>
        </w:tc>
      </w:tr>
    </w:tbl>
    <w:p w:rsidR="00052885" w:rsidRPr="00176816" w:rsidRDefault="00052885" w:rsidP="00052885">
      <w:pPr>
        <w:spacing w:before="0" w:after="0" w:line="240" w:lineRule="auto"/>
        <w:rPr>
          <w:highlight w:val="yellow"/>
          <w:lang w:val="en-IE"/>
        </w:rPr>
      </w:pPr>
    </w:p>
    <w:p w:rsidR="001B36E7" w:rsidRPr="00176816" w:rsidRDefault="001B36E7">
      <w:pPr>
        <w:spacing w:before="0" w:after="0" w:line="240" w:lineRule="auto"/>
        <w:rPr>
          <w:highlight w:val="yellow"/>
          <w:lang w:val="en-IE"/>
        </w:rPr>
      </w:pPr>
    </w:p>
    <w:p w:rsidR="00F12A96" w:rsidRPr="00176816" w:rsidRDefault="00F12A96">
      <w:pPr>
        <w:spacing w:before="0" w:after="0" w:line="240" w:lineRule="auto"/>
        <w:rPr>
          <w:highlight w:val="yellow"/>
          <w:lang w:val="en-IE"/>
        </w:rPr>
      </w:pPr>
    </w:p>
    <w:p w:rsidR="00F12A96" w:rsidRPr="00176816" w:rsidRDefault="00F12A96">
      <w:pPr>
        <w:spacing w:before="0" w:after="0" w:line="240" w:lineRule="auto"/>
        <w:rPr>
          <w:highlight w:val="yellow"/>
          <w:lang w:val="en-IE"/>
        </w:rPr>
      </w:pPr>
    </w:p>
    <w:p w:rsidR="00A46306" w:rsidRPr="00176816" w:rsidRDefault="00A46306">
      <w:pPr>
        <w:spacing w:before="0" w:after="0" w:line="240" w:lineRule="auto"/>
        <w:rPr>
          <w:highlight w:val="yellow"/>
          <w:lang w:val="en-IE"/>
        </w:rPr>
      </w:pPr>
    </w:p>
    <w:p w:rsidR="00A46306" w:rsidRPr="00176816" w:rsidRDefault="00A46306">
      <w:pPr>
        <w:spacing w:before="0" w:after="0" w:line="240" w:lineRule="auto"/>
        <w:rPr>
          <w:highlight w:val="yellow"/>
          <w:lang w:val="en-IE"/>
        </w:rPr>
      </w:pPr>
    </w:p>
    <w:p w:rsidR="001B36E7" w:rsidRPr="00812B16" w:rsidRDefault="001B36E7" w:rsidP="00045F70">
      <w:pPr>
        <w:pStyle w:val="Heading1"/>
        <w:pageBreakBefore w:val="0"/>
        <w:numPr>
          <w:ilvl w:val="0"/>
          <w:numId w:val="9"/>
        </w:numPr>
        <w:pBdr>
          <w:top w:val="single" w:sz="24" w:space="1" w:color="4F81BD"/>
        </w:pBdr>
      </w:pPr>
      <w:bookmarkStart w:id="4" w:name="_Toc406084432"/>
      <w:r w:rsidRPr="00812B16">
        <w:t>SEMO Update</w:t>
      </w:r>
      <w:bookmarkEnd w:id="4"/>
    </w:p>
    <w:p w:rsidR="001B36E7" w:rsidRPr="00176816" w:rsidRDefault="001B36E7" w:rsidP="00B83F89">
      <w:pPr>
        <w:spacing w:before="0" w:after="0" w:line="240" w:lineRule="auto"/>
        <w:jc w:val="both"/>
        <w:rPr>
          <w:highlight w:val="yellow"/>
        </w:rPr>
      </w:pPr>
    </w:p>
    <w:p w:rsidR="0029609A" w:rsidRPr="00176816" w:rsidRDefault="001B36E7" w:rsidP="00370237">
      <w:pPr>
        <w:spacing w:before="0" w:after="0" w:line="240" w:lineRule="auto"/>
        <w:jc w:val="both"/>
        <w:rPr>
          <w:highlight w:val="yellow"/>
        </w:rPr>
      </w:pPr>
      <w:r w:rsidRPr="00762042">
        <w:t xml:space="preserve">The Minutes from </w:t>
      </w:r>
      <w:r w:rsidRPr="00DB363A">
        <w:t>Meeting 5</w:t>
      </w:r>
      <w:r w:rsidR="00982B98" w:rsidRPr="00DB363A">
        <w:t>7</w:t>
      </w:r>
      <w:r w:rsidR="0063366D" w:rsidRPr="00DB363A">
        <w:t xml:space="preserve"> were read</w:t>
      </w:r>
      <w:r w:rsidR="00982B98" w:rsidRPr="00DB363A">
        <w:t xml:space="preserve"> and approved</w:t>
      </w:r>
      <w:r w:rsidR="0063366D" w:rsidRPr="00DB363A">
        <w:t>.  Comments were received from the Chair and those changes have been noted</w:t>
      </w:r>
      <w:r w:rsidRPr="00DB363A">
        <w:t xml:space="preserve"> and </w:t>
      </w:r>
      <w:r w:rsidR="00321197" w:rsidRPr="00DB363A">
        <w:t>published online</w:t>
      </w:r>
      <w:r w:rsidRPr="00DB363A">
        <w:t xml:space="preserve">. The final approved version of the Minutes is now published </w:t>
      </w:r>
      <w:r w:rsidR="00E803FA" w:rsidRPr="00DB363A">
        <w:t xml:space="preserve">on </w:t>
      </w:r>
      <w:r w:rsidR="00946131" w:rsidRPr="00DB363A">
        <w:t>the SEMO website.</w:t>
      </w:r>
    </w:p>
    <w:p w:rsidR="001364BA" w:rsidRPr="00176816" w:rsidRDefault="001364BA" w:rsidP="00370237">
      <w:pPr>
        <w:spacing w:before="0" w:after="0" w:line="240" w:lineRule="auto"/>
        <w:jc w:val="both"/>
        <w:rPr>
          <w:highlight w:val="yellow"/>
        </w:rPr>
      </w:pPr>
    </w:p>
    <w:p w:rsidR="0029609A" w:rsidRPr="00982B98" w:rsidRDefault="00BC089E" w:rsidP="00370237">
      <w:pPr>
        <w:spacing w:before="0" w:after="0" w:line="240" w:lineRule="auto"/>
        <w:jc w:val="both"/>
      </w:pPr>
      <w:r w:rsidRPr="00982B98">
        <w:t>Secretariat presented the Programme of Work.</w:t>
      </w:r>
    </w:p>
    <w:p w:rsidR="0063366D" w:rsidRPr="00176816" w:rsidRDefault="0063366D" w:rsidP="00370237">
      <w:pPr>
        <w:spacing w:before="0" w:after="0" w:line="240" w:lineRule="auto"/>
        <w:jc w:val="both"/>
        <w:rPr>
          <w:highlight w:val="yellow"/>
        </w:rPr>
      </w:pPr>
    </w:p>
    <w:p w:rsidR="00946131" w:rsidRPr="00812B16" w:rsidRDefault="00284A13" w:rsidP="00946131">
      <w:pPr>
        <w:spacing w:before="0" w:after="0" w:line="240" w:lineRule="auto"/>
        <w:jc w:val="both"/>
      </w:pPr>
      <w:r w:rsidRPr="00812B16">
        <w:t>In relation to Mod_18_11 Definition of Availability</w:t>
      </w:r>
      <w:r w:rsidR="00F449D3" w:rsidRPr="00812B16">
        <w:t>, RA</w:t>
      </w:r>
      <w:r w:rsidRPr="00812B16">
        <w:t xml:space="preserve"> </w:t>
      </w:r>
      <w:r w:rsidR="00812B16" w:rsidRPr="00812B16">
        <w:t>representative</w:t>
      </w:r>
      <w:r w:rsidRPr="00812B16">
        <w:t xml:space="preserve"> advised that </w:t>
      </w:r>
      <w:r w:rsidR="00812B16" w:rsidRPr="00812B16">
        <w:t>a decision on the proposal that it is expected</w:t>
      </w:r>
      <w:r w:rsidR="00216430" w:rsidRPr="00812B16">
        <w:t> that</w:t>
      </w:r>
      <w:r w:rsidR="00812B16" w:rsidRPr="00812B16">
        <w:t xml:space="preserve"> a decision paper on the proposal may be issued by the end of January 2015</w:t>
      </w:r>
      <w:r w:rsidRPr="00812B16">
        <w:t>. SO Member provided an update on Mod_21_12 Amendment to ATC Definition advising that an alternative version of the proposal may be submitted to address the issue</w:t>
      </w:r>
      <w:r w:rsidR="00812B16">
        <w:t xml:space="preserve"> and that the proposal is being considered in terms of the I-SEM design</w:t>
      </w:r>
      <w:r w:rsidRPr="00812B16">
        <w:t>.</w:t>
      </w:r>
    </w:p>
    <w:p w:rsidR="001364BA" w:rsidRPr="00982B98" w:rsidRDefault="001364BA" w:rsidP="008C382C">
      <w:pPr>
        <w:spacing w:before="0" w:after="0" w:line="240" w:lineRule="auto"/>
        <w:jc w:val="both"/>
      </w:pPr>
    </w:p>
    <w:p w:rsidR="00615555" w:rsidRPr="00982B98" w:rsidRDefault="00615555" w:rsidP="00615555">
      <w:pPr>
        <w:spacing w:before="0" w:after="0" w:line="240" w:lineRule="auto"/>
        <w:jc w:val="both"/>
      </w:pPr>
      <w:r w:rsidRPr="00982B98">
        <w:t xml:space="preserve">MO </w:t>
      </w:r>
      <w:r w:rsidR="000C6789" w:rsidRPr="00982B98">
        <w:t xml:space="preserve">Alternate </w:t>
      </w:r>
      <w:r w:rsidRPr="00982B98">
        <w:t xml:space="preserve">presented the CMS update. </w:t>
      </w:r>
    </w:p>
    <w:p w:rsidR="007803FD" w:rsidRPr="00176816" w:rsidRDefault="007803FD" w:rsidP="008C382C">
      <w:pPr>
        <w:spacing w:before="0" w:after="0" w:line="240" w:lineRule="auto"/>
        <w:jc w:val="both"/>
        <w:rPr>
          <w:highlight w:val="yellow"/>
        </w:rPr>
      </w:pPr>
    </w:p>
    <w:p w:rsidR="007803FD" w:rsidRPr="00216430" w:rsidRDefault="000C6789" w:rsidP="00216430">
      <w:pPr>
        <w:spacing w:before="0"/>
        <w:jc w:val="both"/>
        <w:rPr>
          <w:highlight w:val="yellow"/>
          <w:lang w:val="en-US"/>
        </w:rPr>
      </w:pPr>
      <w:r w:rsidRPr="00216430">
        <w:t xml:space="preserve">MO Alternate advised that </w:t>
      </w:r>
      <w:r w:rsidR="00216430" w:rsidRPr="00216430">
        <w:rPr>
          <w:lang w:val="en-IE"/>
        </w:rPr>
        <w:t>all release m</w:t>
      </w:r>
      <w:r w:rsidR="00216430" w:rsidRPr="00EF77A9">
        <w:rPr>
          <w:lang w:val="en-IE"/>
        </w:rPr>
        <w:t>ilestones were met and the SEM R2.5.0 release was successfully deployed overnight on Friday November 14</w:t>
      </w:r>
      <w:r w:rsidR="00216430" w:rsidRPr="00EF77A9">
        <w:rPr>
          <w:vertAlign w:val="superscript"/>
          <w:lang w:val="en-IE"/>
        </w:rPr>
        <w:t>th</w:t>
      </w:r>
      <w:r w:rsidR="00216430" w:rsidRPr="00EF77A9">
        <w:rPr>
          <w:lang w:val="en-IE"/>
        </w:rPr>
        <w:t xml:space="preserve"> 2014. MO Alternate advised that </w:t>
      </w:r>
      <w:r w:rsidR="00076E6F" w:rsidRPr="00EF77A9">
        <w:rPr>
          <w:lang w:val="en-IE"/>
        </w:rPr>
        <w:t xml:space="preserve">one additional </w:t>
      </w:r>
      <w:r w:rsidR="00216430" w:rsidRPr="00EF77A9">
        <w:rPr>
          <w:lang w:val="en-IE"/>
        </w:rPr>
        <w:t>defect w</w:t>
      </w:r>
      <w:r w:rsidR="00076E6F" w:rsidRPr="00EF77A9">
        <w:rPr>
          <w:lang w:val="en-IE"/>
        </w:rPr>
        <w:t>as</w:t>
      </w:r>
      <w:r w:rsidR="00216430" w:rsidRPr="00EF77A9">
        <w:rPr>
          <w:lang w:val="en-IE"/>
        </w:rPr>
        <w:t xml:space="preserve"> </w:t>
      </w:r>
      <w:r w:rsidR="00076E6F" w:rsidRPr="00EF77A9">
        <w:rPr>
          <w:lang w:val="en-IE"/>
        </w:rPr>
        <w:t xml:space="preserve">introduced and one other </w:t>
      </w:r>
      <w:r w:rsidR="00216430" w:rsidRPr="00EF77A9">
        <w:rPr>
          <w:lang w:val="en-IE"/>
        </w:rPr>
        <w:t>identified</w:t>
      </w:r>
      <w:r w:rsidR="00076E6F" w:rsidRPr="00EF77A9">
        <w:rPr>
          <w:lang w:val="en-IE"/>
        </w:rPr>
        <w:t>;</w:t>
      </w:r>
      <w:r w:rsidR="00216430" w:rsidRPr="00EF77A9">
        <w:rPr>
          <w:lang w:val="en-IE"/>
        </w:rPr>
        <w:t xml:space="preserve"> </w:t>
      </w:r>
      <w:r w:rsidR="00076E6F" w:rsidRPr="00EF77A9">
        <w:rPr>
          <w:lang w:val="en-IE"/>
        </w:rPr>
        <w:t xml:space="preserve">all </w:t>
      </w:r>
      <w:r w:rsidR="00216430" w:rsidRPr="00EF77A9">
        <w:rPr>
          <w:lang w:val="en-IE"/>
        </w:rPr>
        <w:t>will be addressed in a wash-up release</w:t>
      </w:r>
      <w:r w:rsidR="00076E6F" w:rsidRPr="00EF77A9">
        <w:rPr>
          <w:lang w:val="en-IE"/>
        </w:rPr>
        <w:t xml:space="preserve"> scheduled for the 16</w:t>
      </w:r>
      <w:r w:rsidR="00076E6F" w:rsidRPr="00EF77A9">
        <w:rPr>
          <w:vertAlign w:val="superscript"/>
          <w:lang w:val="en-IE"/>
        </w:rPr>
        <w:t>th</w:t>
      </w:r>
      <w:r w:rsidR="00076E6F" w:rsidRPr="00EF77A9">
        <w:rPr>
          <w:lang w:val="en-IE"/>
        </w:rPr>
        <w:t xml:space="preserve"> December 2014</w:t>
      </w:r>
      <w:r w:rsidR="00216430" w:rsidRPr="00EF77A9">
        <w:rPr>
          <w:lang w:val="en-IE"/>
        </w:rPr>
        <w:t>.</w:t>
      </w:r>
    </w:p>
    <w:p w:rsidR="002F1290" w:rsidRPr="00216430" w:rsidRDefault="002F1290" w:rsidP="00866BBF">
      <w:pPr>
        <w:spacing w:before="0" w:after="0" w:line="240" w:lineRule="auto"/>
        <w:jc w:val="both"/>
      </w:pPr>
    </w:p>
    <w:p w:rsidR="004242A9" w:rsidRPr="00216430" w:rsidRDefault="004242A9" w:rsidP="00866BBF">
      <w:pPr>
        <w:spacing w:before="0" w:after="0" w:line="240" w:lineRule="auto"/>
        <w:jc w:val="both"/>
      </w:pPr>
      <w:r w:rsidRPr="00216430">
        <w:t xml:space="preserve">MO Alternate provided </w:t>
      </w:r>
      <w:r w:rsidR="00216430" w:rsidRPr="00216430">
        <w:t xml:space="preserve">an </w:t>
      </w:r>
      <w:r w:rsidRPr="00216430">
        <w:t>update in relation to REMIT</w:t>
      </w:r>
      <w:r w:rsidR="00216430" w:rsidRPr="00216430">
        <w:t xml:space="preserve"> advising that the Implementing Acts</w:t>
      </w:r>
      <w:r w:rsidR="00D80896">
        <w:t xml:space="preserve"> have </w:t>
      </w:r>
      <w:r w:rsidR="00076E6F">
        <w:t xml:space="preserve">been voted on and will be </w:t>
      </w:r>
      <w:r w:rsidR="00D80896">
        <w:t>entered into force</w:t>
      </w:r>
      <w:r w:rsidR="00216430" w:rsidRPr="00216430">
        <w:t xml:space="preserve"> </w:t>
      </w:r>
      <w:r w:rsidR="00076E6F">
        <w:t>shortly.</w:t>
      </w:r>
      <w:r w:rsidR="00216430" w:rsidRPr="00216430">
        <w:t xml:space="preserve"> </w:t>
      </w:r>
      <w:r w:rsidR="00076E6F">
        <w:t>D</w:t>
      </w:r>
      <w:r w:rsidR="00216430" w:rsidRPr="00216430">
        <w:t>ata reporting will commence in Q4 2015</w:t>
      </w:r>
      <w:r w:rsidRPr="00216430">
        <w:t xml:space="preserve">. </w:t>
      </w:r>
    </w:p>
    <w:p w:rsidR="00216430" w:rsidRDefault="00216430" w:rsidP="00866BBF">
      <w:pPr>
        <w:spacing w:before="0" w:after="0" w:line="240" w:lineRule="auto"/>
        <w:jc w:val="both"/>
      </w:pPr>
      <w:r w:rsidRPr="00FB51A6">
        <w:t>Supplier Alternate</w:t>
      </w:r>
      <w:r w:rsidR="007C6849" w:rsidRPr="00FB51A6">
        <w:t xml:space="preserve"> asked if there was a plan to liaise with Market Participants re</w:t>
      </w:r>
      <w:r w:rsidR="00FB51A6">
        <w:t>garding any cost implications to Participants in</w:t>
      </w:r>
      <w:r w:rsidR="007C6849" w:rsidRPr="00FB51A6">
        <w:t xml:space="preserve"> </w:t>
      </w:r>
      <w:r w:rsidR="00FB51A6">
        <w:t>relation</w:t>
      </w:r>
      <w:r w:rsidR="007C6849" w:rsidRPr="00FB51A6">
        <w:t xml:space="preserve"> to the new reports</w:t>
      </w:r>
      <w:r w:rsidRPr="00FB51A6">
        <w:t xml:space="preserve">. </w:t>
      </w:r>
    </w:p>
    <w:p w:rsidR="00173F5D" w:rsidRPr="00FB51A6" w:rsidRDefault="00173F5D" w:rsidP="00866BBF">
      <w:pPr>
        <w:spacing w:before="0" w:after="0" w:line="240" w:lineRule="auto"/>
        <w:jc w:val="both"/>
      </w:pPr>
    </w:p>
    <w:p w:rsidR="002F1290" w:rsidRPr="00D80896" w:rsidRDefault="007C6849" w:rsidP="00866BBF">
      <w:pPr>
        <w:spacing w:before="0" w:after="0" w:line="240" w:lineRule="auto"/>
        <w:jc w:val="both"/>
      </w:pPr>
      <w:r w:rsidRPr="00FB51A6">
        <w:t xml:space="preserve">MO Member </w:t>
      </w:r>
      <w:r w:rsidRPr="00D80896">
        <w:t xml:space="preserve">advised that there </w:t>
      </w:r>
      <w:r w:rsidR="00173F5D" w:rsidRPr="00173F5D">
        <w:t xml:space="preserve">are a number of bilateral meetings ongoing with ACER to determine how the generic data reporting fields apply to SEM. </w:t>
      </w:r>
      <w:r w:rsidR="00173F5D">
        <w:t>O</w:t>
      </w:r>
      <w:r w:rsidR="00173F5D" w:rsidRPr="00173F5D">
        <w:t>nce this is finalised, a change request will be sent for assessment to the vendor.</w:t>
      </w:r>
      <w:r w:rsidR="00173F5D">
        <w:t xml:space="preserve"> </w:t>
      </w:r>
      <w:r w:rsidR="004242A9" w:rsidRPr="00D80896">
        <w:t xml:space="preserve">MO Alternate advised that the fields are to be agreed with ACER shortly and that the REMIT reporting requirements </w:t>
      </w:r>
      <w:r w:rsidR="00D80896" w:rsidRPr="00D80896">
        <w:t xml:space="preserve">and a draft template of the report </w:t>
      </w:r>
      <w:r w:rsidR="004242A9" w:rsidRPr="00D80896">
        <w:t>will be issued for Participant review as soon as they are available.</w:t>
      </w:r>
    </w:p>
    <w:p w:rsidR="002F1290" w:rsidRPr="00176816" w:rsidRDefault="002F1290" w:rsidP="00866BBF">
      <w:pPr>
        <w:spacing w:before="0" w:after="0" w:line="240" w:lineRule="auto"/>
        <w:jc w:val="both"/>
        <w:rPr>
          <w:highlight w:val="yellow"/>
        </w:rPr>
      </w:pPr>
    </w:p>
    <w:p w:rsidR="00044426" w:rsidRPr="00176816" w:rsidRDefault="00044426" w:rsidP="00284A13">
      <w:pPr>
        <w:spacing w:before="0" w:after="0" w:line="240" w:lineRule="auto"/>
        <w:jc w:val="both"/>
        <w:rPr>
          <w:highlight w:val="yellow"/>
        </w:rPr>
      </w:pPr>
    </w:p>
    <w:p w:rsidR="002F1290" w:rsidRDefault="00284A13" w:rsidP="00866BBF">
      <w:pPr>
        <w:spacing w:before="0" w:after="0" w:line="240" w:lineRule="auto"/>
        <w:jc w:val="both"/>
      </w:pPr>
      <w:r w:rsidRPr="00D80896">
        <w:t xml:space="preserve">Secretariat provided an update on the Legal advice re-tender advising that </w:t>
      </w:r>
      <w:r w:rsidR="004242A9" w:rsidRPr="00D80896">
        <w:t>responses to the</w:t>
      </w:r>
      <w:r w:rsidRPr="00D80896">
        <w:t xml:space="preserve"> request for proposal (RFP) </w:t>
      </w:r>
      <w:r w:rsidR="004242A9" w:rsidRPr="00D80896">
        <w:t>have been evaluated and the Committee will be updated accordingly.</w:t>
      </w:r>
    </w:p>
    <w:p w:rsidR="004976CD" w:rsidRDefault="004976CD" w:rsidP="00866BBF">
      <w:pPr>
        <w:spacing w:before="0" w:after="0" w:line="240" w:lineRule="auto"/>
        <w:jc w:val="both"/>
      </w:pPr>
    </w:p>
    <w:p w:rsidR="004976CD" w:rsidRPr="00D80896" w:rsidRDefault="004976CD" w:rsidP="00866BBF">
      <w:pPr>
        <w:spacing w:before="0" w:after="0" w:line="240" w:lineRule="auto"/>
        <w:jc w:val="both"/>
      </w:pPr>
    </w:p>
    <w:p w:rsidR="004242A9" w:rsidRPr="00176816" w:rsidRDefault="004242A9" w:rsidP="00866BBF">
      <w:pPr>
        <w:spacing w:before="0" w:after="0" w:line="240" w:lineRule="auto"/>
        <w:jc w:val="both"/>
        <w:rPr>
          <w:highlight w:val="yellow"/>
        </w:rPr>
      </w:pPr>
    </w:p>
    <w:p w:rsidR="001B36E7" w:rsidRPr="00982B98" w:rsidRDefault="001B36E7" w:rsidP="00045F70">
      <w:pPr>
        <w:pStyle w:val="Heading1"/>
        <w:pageBreakBefore w:val="0"/>
        <w:numPr>
          <w:ilvl w:val="0"/>
          <w:numId w:val="9"/>
        </w:numPr>
      </w:pPr>
      <w:bookmarkStart w:id="5" w:name="_Toc406084433"/>
      <w:r w:rsidRPr="00982B98">
        <w:t>Review of Actions</w:t>
      </w:r>
      <w:bookmarkEnd w:id="5"/>
    </w:p>
    <w:p w:rsidR="00982B98" w:rsidRDefault="00982B98">
      <w:pPr>
        <w:spacing w:before="0" w:after="0" w:line="240" w:lineRule="auto"/>
        <w:rPr>
          <w:highlight w:val="yellow"/>
        </w:rPr>
      </w:pPr>
    </w:p>
    <w:p w:rsidR="00F71DDC" w:rsidRPr="00176816" w:rsidRDefault="00F71DDC">
      <w:pPr>
        <w:spacing w:before="0" w:after="0" w:line="240" w:lineRule="auto"/>
        <w:rPr>
          <w:highlight w:val="yellow"/>
        </w:rPr>
      </w:pPr>
    </w:p>
    <w:p w:rsidR="00765D06" w:rsidRPr="00176816" w:rsidRDefault="00765D06">
      <w:pPr>
        <w:spacing w:before="0" w:after="0" w:line="240" w:lineRule="auto"/>
        <w:rPr>
          <w:highlight w:val="yellow"/>
        </w:rPr>
      </w:pPr>
    </w:p>
    <w:tbl>
      <w:tblPr>
        <w:tblW w:w="9781" w:type="dxa"/>
        <w:tblInd w:w="108" w:type="dxa"/>
        <w:tblCellMar>
          <w:left w:w="0" w:type="dxa"/>
          <w:right w:w="0" w:type="dxa"/>
        </w:tblCellMar>
        <w:tblLook w:val="04A0"/>
      </w:tblPr>
      <w:tblGrid>
        <w:gridCol w:w="4253"/>
        <w:gridCol w:w="5528"/>
      </w:tblGrid>
      <w:tr w:rsidR="00982B98" w:rsidRPr="0052330A" w:rsidTr="00A64F25">
        <w:trPr>
          <w:cantSplit/>
        </w:trPr>
        <w:tc>
          <w:tcPr>
            <w:tcW w:w="9781"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982B98" w:rsidRPr="0052330A" w:rsidRDefault="00982B98" w:rsidP="00A64F25">
            <w:pPr>
              <w:rPr>
                <w:highlight w:val="yellow"/>
              </w:rPr>
            </w:pPr>
            <w:r w:rsidRPr="0052330A">
              <w:rPr>
                <w:rStyle w:val="IntenseEmphasis1"/>
                <w:caps/>
                <w:color w:val="FFFFFF"/>
              </w:rPr>
              <w:t>Actions Recorded At previous meetings</w:t>
            </w:r>
          </w:p>
        </w:tc>
      </w:tr>
      <w:tr w:rsidR="00982B98" w:rsidRPr="0052330A" w:rsidTr="00A64F25">
        <w:trPr>
          <w:cantSplit/>
        </w:trPr>
        <w:tc>
          <w:tcPr>
            <w:tcW w:w="9781"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982B98" w:rsidRPr="0052330A" w:rsidRDefault="00982B98" w:rsidP="00A64F25">
            <w:pPr>
              <w:rPr>
                <w:rStyle w:val="IntenseEmphasis1"/>
                <w:caps/>
                <w:color w:val="FFFFFF"/>
                <w:highlight w:val="yellow"/>
              </w:rPr>
            </w:pPr>
          </w:p>
        </w:tc>
      </w:tr>
      <w:tr w:rsidR="00982B98" w:rsidRPr="0052330A" w:rsidTr="00A64F25">
        <w:trPr>
          <w:cantSplit/>
          <w:trHeight w:val="636"/>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rPr>
            </w:pPr>
            <w:r w:rsidRPr="0052330A">
              <w:rPr>
                <w:rFonts w:cs="Arial"/>
              </w:rPr>
              <w:t>Legal Support</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Pr="0052330A" w:rsidRDefault="00982B98" w:rsidP="00982B98">
            <w:pPr>
              <w:pStyle w:val="ListParagraph"/>
              <w:numPr>
                <w:ilvl w:val="0"/>
                <w:numId w:val="8"/>
              </w:numPr>
              <w:spacing w:before="0" w:after="0" w:line="240" w:lineRule="auto"/>
              <w:contextualSpacing/>
            </w:pPr>
            <w:r w:rsidRPr="0052330A">
              <w:t>Re-tender for the provision of independent legal support  to be procured-</w:t>
            </w:r>
            <w:r w:rsidRPr="0052330A">
              <w:rPr>
                <w:b/>
              </w:rPr>
              <w:t>Open-in progress</w:t>
            </w:r>
          </w:p>
        </w:tc>
      </w:tr>
      <w:tr w:rsidR="00982B98" w:rsidRPr="0052330A" w:rsidTr="00A64F25">
        <w:trPr>
          <w:cantSplit/>
          <w:trHeight w:val="636"/>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rPr>
            </w:pPr>
            <w:r w:rsidRPr="0052330A">
              <w:rPr>
                <w:rFonts w:cs="Arial"/>
              </w:rPr>
              <w:t>REMIT</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Pr="0052330A" w:rsidRDefault="00982B98" w:rsidP="00982B98">
            <w:pPr>
              <w:pStyle w:val="ListParagraph"/>
              <w:numPr>
                <w:ilvl w:val="0"/>
                <w:numId w:val="8"/>
              </w:numPr>
              <w:spacing w:before="0" w:after="0" w:line="240" w:lineRule="auto"/>
              <w:contextualSpacing/>
            </w:pPr>
            <w:r w:rsidRPr="0052330A">
              <w:t xml:space="preserve">SEMO to circulate the scope for REMIT reporting requirements for Participant review- </w:t>
            </w:r>
            <w:r w:rsidRPr="0052330A">
              <w:rPr>
                <w:b/>
              </w:rPr>
              <w:t>Open-in progress</w:t>
            </w:r>
          </w:p>
        </w:tc>
      </w:tr>
      <w:tr w:rsidR="00982B98" w:rsidRPr="0052330A" w:rsidTr="00A64F25">
        <w:trPr>
          <w:cantSplit/>
          <w:trHeight w:val="636"/>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rPr>
            </w:pPr>
            <w:r w:rsidRPr="0052330A">
              <w:rPr>
                <w:rFonts w:cs="Arial"/>
              </w:rPr>
              <w:t>SEMO Update</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Pr="0052330A" w:rsidRDefault="00982B98" w:rsidP="00982B98">
            <w:pPr>
              <w:pStyle w:val="ListParagraph"/>
              <w:numPr>
                <w:ilvl w:val="0"/>
                <w:numId w:val="8"/>
              </w:numPr>
              <w:spacing w:before="0" w:after="0" w:line="240" w:lineRule="auto"/>
              <w:contextualSpacing/>
            </w:pPr>
            <w:r w:rsidRPr="0052330A">
              <w:t>SEMO to circulate detail of the scope for Release 2.6.0 (May 2015)-</w:t>
            </w:r>
            <w:r w:rsidR="00351B5C" w:rsidRPr="00351B5C">
              <w:rPr>
                <w:b/>
              </w:rPr>
              <w:t>Open;</w:t>
            </w:r>
            <w:r w:rsidRPr="00351B5C">
              <w:rPr>
                <w:b/>
              </w:rPr>
              <w:t xml:space="preserve"> </w:t>
            </w:r>
            <w:r w:rsidRPr="0052330A">
              <w:rPr>
                <w:b/>
              </w:rPr>
              <w:t>Scope has been circulated to RAs, will be published once approved</w:t>
            </w:r>
          </w:p>
        </w:tc>
      </w:tr>
      <w:tr w:rsidR="00982B98" w:rsidRPr="0052330A" w:rsidTr="00A64F25">
        <w:trPr>
          <w:cantSplit/>
          <w:trHeight w:val="630"/>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rPr>
            </w:pPr>
            <w:r w:rsidRPr="0052330A">
              <w:rPr>
                <w:rFonts w:cs="Arial"/>
              </w:rPr>
              <w:t>Mod_11_12: Definition of Special Units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Pr="0052330A" w:rsidRDefault="00982B98" w:rsidP="00982B98">
            <w:pPr>
              <w:pStyle w:val="ListParagraph"/>
              <w:numPr>
                <w:ilvl w:val="0"/>
                <w:numId w:val="8"/>
              </w:numPr>
              <w:spacing w:before="0" w:after="0" w:line="240" w:lineRule="auto"/>
              <w:contextualSpacing/>
            </w:pPr>
            <w:r w:rsidRPr="0052330A">
              <w:t>TSO to procure Impact Assessment -</w:t>
            </w:r>
            <w:r w:rsidRPr="0052330A">
              <w:rPr>
                <w:b/>
              </w:rPr>
              <w:t>In progress</w:t>
            </w:r>
          </w:p>
          <w:p w:rsidR="00982B98" w:rsidRPr="0052330A" w:rsidRDefault="00982B98" w:rsidP="00982B98">
            <w:pPr>
              <w:pStyle w:val="ListParagraph"/>
              <w:numPr>
                <w:ilvl w:val="0"/>
                <w:numId w:val="8"/>
              </w:numPr>
              <w:spacing w:before="0" w:after="0" w:line="240" w:lineRule="auto"/>
              <w:contextualSpacing/>
            </w:pPr>
            <w:r w:rsidRPr="0052330A">
              <w:t xml:space="preserve">Secretariat to arrange for discussion of Mod_11_12 at the Grid Code Panel – </w:t>
            </w:r>
            <w:r w:rsidR="00750A5A">
              <w:rPr>
                <w:b/>
                <w:bCs/>
              </w:rPr>
              <w:t>Open</w:t>
            </w:r>
            <w:r w:rsidRPr="0052330A">
              <w:rPr>
                <w:b/>
                <w:bCs/>
              </w:rPr>
              <w:t>-may be discussed at Feb Grid Code meeting</w:t>
            </w:r>
          </w:p>
          <w:p w:rsidR="00982B98" w:rsidRPr="0052330A" w:rsidRDefault="00982B98" w:rsidP="00A64F25">
            <w:pPr>
              <w:rPr>
                <w:rFonts w:cs="Arial"/>
              </w:rPr>
            </w:pPr>
          </w:p>
        </w:tc>
      </w:tr>
      <w:tr w:rsidR="00982B98" w:rsidRPr="0052330A" w:rsidTr="00A64F25">
        <w:trPr>
          <w:cantSplit/>
          <w:trHeight w:val="630"/>
        </w:trPr>
        <w:tc>
          <w:tcPr>
            <w:tcW w:w="425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rPr>
            </w:pPr>
            <w:r w:rsidRPr="0052330A">
              <w:rPr>
                <w:rFonts w:cs="Arial"/>
              </w:rPr>
              <w:t>Mod_02_13: Registration of Charges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Pr="0052330A" w:rsidRDefault="00982B98" w:rsidP="00982B98">
            <w:pPr>
              <w:pStyle w:val="ListParagraph"/>
              <w:numPr>
                <w:ilvl w:val="0"/>
                <w:numId w:val="8"/>
              </w:numPr>
              <w:spacing w:before="0" w:after="0" w:line="240" w:lineRule="auto"/>
              <w:contextualSpacing/>
            </w:pPr>
            <w:r w:rsidRPr="0052330A">
              <w:t>Proposer to draft updated Deed of Charge reflective of the trust arrangements, to be circulated to the Committee &amp; WG Members as soon as possible (for a review period of 3 weeks)-</w:t>
            </w:r>
            <w:r w:rsidRPr="0052330A">
              <w:rPr>
                <w:b/>
              </w:rPr>
              <w:t>Closed-circulated for 3 week review period on 24 Sept</w:t>
            </w:r>
          </w:p>
        </w:tc>
      </w:tr>
      <w:tr w:rsidR="00982B98" w:rsidRPr="0052330A" w:rsidTr="00A64F25">
        <w:trPr>
          <w:cantSplit/>
          <w:trHeight w:val="630"/>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Pr="0052330A" w:rsidRDefault="00982B98" w:rsidP="00982B98">
            <w:pPr>
              <w:pStyle w:val="ListParagraph"/>
              <w:numPr>
                <w:ilvl w:val="0"/>
                <w:numId w:val="8"/>
              </w:numPr>
              <w:spacing w:before="0" w:after="0" w:line="240" w:lineRule="auto"/>
              <w:contextualSpacing/>
            </w:pPr>
            <w:r w:rsidRPr="0052330A">
              <w:t>Secretariat to organise conference call to discuss Deed of Charge (for no sooner than 3 weeks from date of circulation of updated draft)-</w:t>
            </w:r>
            <w:r w:rsidRPr="0052330A">
              <w:rPr>
                <w:b/>
              </w:rPr>
              <w:t>Closed-held on 1</w:t>
            </w:r>
            <w:r w:rsidRPr="0052330A">
              <w:rPr>
                <w:b/>
                <w:vertAlign w:val="superscript"/>
              </w:rPr>
              <w:t>st</w:t>
            </w:r>
            <w:r w:rsidRPr="0052330A">
              <w:rPr>
                <w:b/>
              </w:rPr>
              <w:t xml:space="preserve"> Dec</w:t>
            </w:r>
          </w:p>
          <w:p w:rsidR="00982B98" w:rsidRPr="0052330A" w:rsidRDefault="00982B98" w:rsidP="00A64F25">
            <w:pPr>
              <w:rPr>
                <w:rFonts w:cs="Arial"/>
              </w:rPr>
            </w:pPr>
          </w:p>
        </w:tc>
      </w:tr>
      <w:tr w:rsidR="00982B98" w:rsidRPr="0052330A" w:rsidTr="00A64F25">
        <w:trPr>
          <w:cantSplit/>
          <w:trHeight w:val="630"/>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Pr="0052330A" w:rsidRDefault="00982B98" w:rsidP="00982B98">
            <w:pPr>
              <w:pStyle w:val="ListParagraph"/>
              <w:numPr>
                <w:ilvl w:val="0"/>
                <w:numId w:val="8"/>
              </w:numPr>
              <w:spacing w:before="0" w:after="0" w:line="240" w:lineRule="auto"/>
              <w:contextualSpacing/>
            </w:pPr>
            <w:r w:rsidRPr="0052330A">
              <w:t>Participants to ensure adequate legal representation from their respective companies, is present for the call-</w:t>
            </w:r>
            <w:r w:rsidRPr="0052330A">
              <w:rPr>
                <w:b/>
              </w:rPr>
              <w:t>Closed</w:t>
            </w:r>
          </w:p>
        </w:tc>
      </w:tr>
      <w:tr w:rsidR="00982B98" w:rsidRPr="0052330A" w:rsidTr="00A64F25">
        <w:trPr>
          <w:cantSplit/>
          <w:trHeight w:val="630"/>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Pr="0052330A" w:rsidRDefault="00982B98" w:rsidP="00982B98">
            <w:pPr>
              <w:pStyle w:val="ListParagraph"/>
              <w:numPr>
                <w:ilvl w:val="0"/>
                <w:numId w:val="8"/>
              </w:numPr>
              <w:spacing w:before="0" w:after="0" w:line="240" w:lineRule="auto"/>
              <w:contextualSpacing/>
            </w:pPr>
            <w:r>
              <w:t>Following circulation of all feedback received, Committee to advise via email whether external counsel should be directed to provide a response to comments-</w:t>
            </w:r>
            <w:r w:rsidRPr="0052330A">
              <w:rPr>
                <w:b/>
              </w:rPr>
              <w:t>Closed, Committee directed PM to provide comments</w:t>
            </w:r>
          </w:p>
        </w:tc>
      </w:tr>
      <w:tr w:rsidR="00982B98" w:rsidTr="00A64F25">
        <w:trPr>
          <w:cantSplit/>
          <w:trHeight w:val="630"/>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Default="00982B98" w:rsidP="00982B98">
            <w:pPr>
              <w:pStyle w:val="ListParagraph"/>
              <w:numPr>
                <w:ilvl w:val="0"/>
                <w:numId w:val="8"/>
              </w:numPr>
              <w:spacing w:before="0" w:after="0" w:line="240" w:lineRule="auto"/>
              <w:contextualSpacing/>
            </w:pPr>
            <w:r>
              <w:t xml:space="preserve">Committee to encourage internal legal review of the updated Deed of Charge that has been circulated- </w:t>
            </w:r>
            <w:r w:rsidRPr="0052330A">
              <w:rPr>
                <w:b/>
              </w:rPr>
              <w:t xml:space="preserve">Closed </w:t>
            </w:r>
          </w:p>
        </w:tc>
      </w:tr>
      <w:tr w:rsidR="00982B98" w:rsidRPr="0052330A" w:rsidTr="00F71DDC">
        <w:trPr>
          <w:cantSplit/>
          <w:trHeight w:val="630"/>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982B98" w:rsidRPr="0052330A" w:rsidRDefault="00982B98" w:rsidP="00A64F25">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82B98" w:rsidRPr="0052330A" w:rsidRDefault="00982B98" w:rsidP="00982B98">
            <w:pPr>
              <w:pStyle w:val="ListParagraph"/>
              <w:numPr>
                <w:ilvl w:val="0"/>
                <w:numId w:val="8"/>
              </w:numPr>
              <w:spacing w:before="0" w:after="0" w:line="240" w:lineRule="auto"/>
              <w:contextualSpacing/>
            </w:pPr>
            <w:r w:rsidRPr="0052330A">
              <w:t xml:space="preserve">SEMO to continue to pursue Participants in relation to signing the Deeds of Charge- </w:t>
            </w:r>
            <w:r w:rsidRPr="0052330A">
              <w:rPr>
                <w:b/>
              </w:rPr>
              <w:t>Open</w:t>
            </w:r>
          </w:p>
        </w:tc>
      </w:tr>
      <w:tr w:rsidR="00F71DDC" w:rsidRPr="0052330A" w:rsidTr="00EC084F">
        <w:trPr>
          <w:cantSplit/>
          <w:trHeight w:val="630"/>
        </w:trPr>
        <w:tc>
          <w:tcPr>
            <w:tcW w:w="4253" w:type="dxa"/>
            <w:tcBorders>
              <w:left w:val="single" w:sz="8" w:space="0" w:color="auto"/>
              <w:right w:val="single" w:sz="8" w:space="0" w:color="auto"/>
            </w:tcBorders>
            <w:tcMar>
              <w:top w:w="0" w:type="dxa"/>
              <w:left w:w="108" w:type="dxa"/>
              <w:bottom w:w="0" w:type="dxa"/>
              <w:right w:w="108" w:type="dxa"/>
            </w:tcMar>
            <w:vAlign w:val="center"/>
            <w:hideMark/>
          </w:tcPr>
          <w:p w:rsidR="00F71DDC" w:rsidRPr="0052330A" w:rsidRDefault="00F71DDC" w:rsidP="00A64F25">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71DDC" w:rsidRPr="00295293" w:rsidRDefault="00F71DDC" w:rsidP="00F71DDC">
            <w:pPr>
              <w:pStyle w:val="ListParagraph"/>
              <w:numPr>
                <w:ilvl w:val="0"/>
                <w:numId w:val="8"/>
              </w:numPr>
              <w:spacing w:before="0" w:after="0" w:line="240" w:lineRule="auto"/>
              <w:contextualSpacing/>
            </w:pPr>
            <w:r w:rsidRPr="00295293">
              <w:t>SEMO to consider any possible risks around currency cost issue in relation to Clause 10.1 Cu</w:t>
            </w:r>
            <w:r>
              <w:t>rrency conversion and indemnity</w:t>
            </w:r>
            <w:r w:rsidR="00E47768" w:rsidRPr="0052330A">
              <w:t xml:space="preserve">- </w:t>
            </w:r>
            <w:r w:rsidR="00E47768" w:rsidRPr="0052330A">
              <w:rPr>
                <w:b/>
              </w:rPr>
              <w:t>Open</w:t>
            </w:r>
          </w:p>
        </w:tc>
      </w:tr>
      <w:tr w:rsidR="002B7161" w:rsidRPr="0052330A" w:rsidTr="00D6247F">
        <w:trPr>
          <w:cantSplit/>
          <w:trHeight w:val="900"/>
        </w:trPr>
        <w:tc>
          <w:tcPr>
            <w:tcW w:w="4253"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B7161" w:rsidRPr="0052330A" w:rsidRDefault="002B7161" w:rsidP="00A64F25">
            <w:pPr>
              <w:rPr>
                <w:rFonts w:cs="Arial"/>
                <w:highlight w:val="yellow"/>
              </w:rPr>
            </w:pPr>
          </w:p>
        </w:tc>
        <w:tc>
          <w:tcPr>
            <w:tcW w:w="5528" w:type="dxa"/>
            <w:vMerge w:val="restart"/>
            <w:tcBorders>
              <w:top w:val="single" w:sz="4" w:space="0" w:color="auto"/>
              <w:left w:val="nil"/>
              <w:right w:val="single" w:sz="8" w:space="0" w:color="auto"/>
            </w:tcBorders>
            <w:tcMar>
              <w:top w:w="0" w:type="dxa"/>
              <w:left w:w="108" w:type="dxa"/>
              <w:bottom w:w="0" w:type="dxa"/>
              <w:right w:w="108" w:type="dxa"/>
            </w:tcMar>
            <w:hideMark/>
          </w:tcPr>
          <w:p w:rsidR="002B7161" w:rsidRPr="00295293" w:rsidRDefault="002B7161" w:rsidP="00F71DDC">
            <w:pPr>
              <w:pStyle w:val="ListParagraph"/>
              <w:numPr>
                <w:ilvl w:val="0"/>
                <w:numId w:val="8"/>
              </w:numPr>
              <w:spacing w:before="0" w:after="0" w:line="240" w:lineRule="auto"/>
              <w:contextualSpacing/>
            </w:pPr>
            <w:r w:rsidRPr="00295293">
              <w:t>SEMO to consider potential removal of clause 7.4 Application of proceeds and how the expenses are recovered and whether there are any implic</w:t>
            </w:r>
            <w:r>
              <w:t xml:space="preserve">ations with removal of section </w:t>
            </w:r>
            <w:r w:rsidRPr="0052330A">
              <w:t xml:space="preserve">- </w:t>
            </w:r>
            <w:r w:rsidRPr="0052330A">
              <w:rPr>
                <w:b/>
              </w:rPr>
              <w:t>Open</w:t>
            </w:r>
          </w:p>
        </w:tc>
      </w:tr>
      <w:tr w:rsidR="002B7161" w:rsidRPr="0052330A" w:rsidTr="00D6247F">
        <w:trPr>
          <w:cantSplit/>
          <w:trHeight w:val="30"/>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2B7161" w:rsidRPr="0052330A" w:rsidRDefault="002B7161" w:rsidP="00A64F25">
            <w:pPr>
              <w:rPr>
                <w:rFonts w:cs="Arial"/>
                <w:highlight w:val="yellow"/>
              </w:rPr>
            </w:pPr>
          </w:p>
        </w:tc>
        <w:tc>
          <w:tcPr>
            <w:tcW w:w="5528" w:type="dxa"/>
            <w:vMerge/>
            <w:tcBorders>
              <w:left w:val="nil"/>
              <w:bottom w:val="single" w:sz="4" w:space="0" w:color="auto"/>
              <w:right w:val="single" w:sz="8" w:space="0" w:color="auto"/>
            </w:tcBorders>
            <w:tcMar>
              <w:top w:w="0" w:type="dxa"/>
              <w:left w:w="108" w:type="dxa"/>
              <w:bottom w:w="0" w:type="dxa"/>
              <w:right w:w="108" w:type="dxa"/>
            </w:tcMar>
            <w:hideMark/>
          </w:tcPr>
          <w:p w:rsidR="002B7161" w:rsidRPr="00295293" w:rsidRDefault="002B7161" w:rsidP="00F71DDC">
            <w:pPr>
              <w:pStyle w:val="ListParagraph"/>
              <w:numPr>
                <w:ilvl w:val="0"/>
                <w:numId w:val="8"/>
              </w:numPr>
              <w:spacing w:before="0" w:after="0" w:line="240" w:lineRule="auto"/>
              <w:contextualSpacing/>
            </w:pPr>
          </w:p>
        </w:tc>
      </w:tr>
      <w:tr w:rsidR="00F71DDC" w:rsidRPr="0052330A" w:rsidTr="002B7161">
        <w:trPr>
          <w:cantSplit/>
          <w:trHeight w:val="630"/>
        </w:trPr>
        <w:tc>
          <w:tcPr>
            <w:tcW w:w="42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71DDC" w:rsidRPr="0052330A" w:rsidRDefault="00F71DDC" w:rsidP="00A64F25">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71DDC" w:rsidRPr="00295293" w:rsidRDefault="00F71DDC" w:rsidP="00E47768">
            <w:pPr>
              <w:pStyle w:val="ListParagraph"/>
              <w:numPr>
                <w:ilvl w:val="0"/>
                <w:numId w:val="8"/>
              </w:numPr>
              <w:spacing w:before="0" w:after="0" w:line="240" w:lineRule="auto"/>
              <w:contextualSpacing/>
            </w:pPr>
            <w:r w:rsidRPr="00295293">
              <w:t>SEMO to consider modification of definition from Secured obligations to Payment obligations to avoid confusion re. performance</w:t>
            </w:r>
            <w:r>
              <w:t xml:space="preserve"> obligations being charges also</w:t>
            </w:r>
            <w:r w:rsidR="00E47768" w:rsidRPr="0052330A">
              <w:t xml:space="preserve">- </w:t>
            </w:r>
            <w:r w:rsidR="00E47768" w:rsidRPr="0052330A">
              <w:rPr>
                <w:b/>
              </w:rPr>
              <w:t>Open</w:t>
            </w:r>
          </w:p>
        </w:tc>
      </w:tr>
      <w:tr w:rsidR="009E3045" w:rsidRPr="0052330A" w:rsidTr="009E3045">
        <w:trPr>
          <w:cantSplit/>
          <w:trHeight w:val="630"/>
        </w:trPr>
        <w:tc>
          <w:tcPr>
            <w:tcW w:w="4253"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E3045" w:rsidRPr="009E3045" w:rsidRDefault="009E3045" w:rsidP="002324CA">
            <w:pPr>
              <w:rPr>
                <w:rFonts w:cs="Arial"/>
              </w:rPr>
            </w:pPr>
            <w:r w:rsidRPr="009E3045">
              <w:rPr>
                <w:rFonts w:cs="Arial"/>
              </w:rPr>
              <w:t>Mod_08_14 Collateral Reserve Accounts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E3045" w:rsidRPr="0052330A" w:rsidRDefault="009E3045" w:rsidP="009E3045">
            <w:pPr>
              <w:pStyle w:val="ListParagraph"/>
              <w:spacing w:before="0" w:after="0" w:line="240" w:lineRule="auto"/>
              <w:ind w:hanging="360"/>
              <w:contextualSpacing/>
            </w:pPr>
          </w:p>
          <w:p w:rsidR="009E3045" w:rsidRDefault="009E3045" w:rsidP="009E3045">
            <w:pPr>
              <w:pStyle w:val="ListParagraph"/>
              <w:numPr>
                <w:ilvl w:val="0"/>
                <w:numId w:val="8"/>
              </w:numPr>
              <w:spacing w:before="0" w:after="0" w:line="240" w:lineRule="auto"/>
              <w:contextualSpacing/>
            </w:pPr>
            <w:r w:rsidRPr="0052330A">
              <w:t>Participants to consider the proposal in terms of both the related modification Mod_16_11 Credit Worthiness Test for the SEM Bank and Credit Cover Provider Banks and the updated deed of charge in relation to Mod_02_13 Registration of Charges and bring feedback to Meeting 58-</w:t>
            </w:r>
            <w:r w:rsidR="00E47768" w:rsidRPr="00E47768">
              <w:rPr>
                <w:b/>
              </w:rPr>
              <w:t>Closed</w:t>
            </w:r>
          </w:p>
          <w:p w:rsidR="009E3045" w:rsidRPr="0052330A" w:rsidRDefault="009E3045" w:rsidP="009E3045">
            <w:pPr>
              <w:pStyle w:val="ListParagraph"/>
              <w:spacing w:before="0" w:after="0" w:line="240" w:lineRule="auto"/>
              <w:ind w:hanging="360"/>
              <w:contextualSpacing/>
            </w:pPr>
          </w:p>
          <w:p w:rsidR="009E3045" w:rsidRDefault="009E3045" w:rsidP="009E3045">
            <w:pPr>
              <w:pStyle w:val="ListParagraph"/>
              <w:numPr>
                <w:ilvl w:val="0"/>
                <w:numId w:val="8"/>
              </w:numPr>
              <w:spacing w:before="0" w:after="0" w:line="240" w:lineRule="auto"/>
              <w:contextualSpacing/>
            </w:pPr>
            <w:r w:rsidRPr="0052330A">
              <w:t>Participants to encourage internal legal review of the proposal and to encourage their legal representatives to raise any issues or questions on the conference call to be convened regarding Mod_02_13</w:t>
            </w:r>
            <w:r w:rsidRPr="009E3045">
              <w:t>-</w:t>
            </w:r>
            <w:r w:rsidR="00E47768" w:rsidRPr="00E47768">
              <w:rPr>
                <w:b/>
              </w:rPr>
              <w:t>Closed</w:t>
            </w:r>
          </w:p>
          <w:p w:rsidR="009E3045" w:rsidRPr="0052330A" w:rsidRDefault="009E3045" w:rsidP="009E3045">
            <w:pPr>
              <w:pStyle w:val="ListParagraph"/>
              <w:spacing w:before="0" w:after="0" w:line="240" w:lineRule="auto"/>
              <w:ind w:hanging="360"/>
              <w:contextualSpacing/>
            </w:pPr>
          </w:p>
        </w:tc>
      </w:tr>
      <w:tr w:rsidR="009E3045" w:rsidRPr="0052330A" w:rsidTr="008B7B63">
        <w:trPr>
          <w:cantSplit/>
          <w:trHeight w:val="630"/>
        </w:trPr>
        <w:tc>
          <w:tcPr>
            <w:tcW w:w="42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E3045" w:rsidRPr="009E3045" w:rsidRDefault="009E3045" w:rsidP="00E23E29">
            <w:pPr>
              <w:rPr>
                <w:rFonts w:cs="Arial"/>
              </w:rPr>
            </w:pPr>
            <w:r w:rsidRPr="009E3045">
              <w:rPr>
                <w:rFonts w:cs="Arial"/>
              </w:rPr>
              <w:t>Make Whole Payments Issue (Mods_09_14-Mod_</w:t>
            </w:r>
            <w:r w:rsidR="00E23E29">
              <w:rPr>
                <w:rFonts w:cs="Arial"/>
              </w:rPr>
              <w:t>10_</w:t>
            </w:r>
            <w:r w:rsidRPr="009E3045">
              <w:rPr>
                <w:rFonts w:cs="Arial"/>
              </w:rPr>
              <w:t>14)</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E3045" w:rsidRDefault="009E3045" w:rsidP="009E3045">
            <w:pPr>
              <w:pStyle w:val="ListParagraph"/>
              <w:numPr>
                <w:ilvl w:val="0"/>
                <w:numId w:val="8"/>
              </w:numPr>
              <w:spacing w:before="0" w:after="0" w:line="240" w:lineRule="auto"/>
              <w:contextualSpacing/>
            </w:pPr>
            <w:r w:rsidRPr="0052330A">
              <w:t>RAs to submit draft Modification Proposal and further information for 1 week Committee review</w:t>
            </w:r>
            <w:r>
              <w:t>-</w:t>
            </w:r>
            <w:r w:rsidRPr="00E47768">
              <w:rPr>
                <w:b/>
              </w:rPr>
              <w:t>Closed, mods received</w:t>
            </w:r>
          </w:p>
          <w:p w:rsidR="009E3045" w:rsidRPr="0052330A" w:rsidRDefault="009E3045" w:rsidP="009E3045">
            <w:pPr>
              <w:pStyle w:val="ListParagraph"/>
              <w:spacing w:before="0" w:after="0" w:line="240" w:lineRule="auto"/>
              <w:ind w:hanging="360"/>
              <w:contextualSpacing/>
            </w:pPr>
          </w:p>
          <w:p w:rsidR="009E3045" w:rsidRDefault="009E3045" w:rsidP="009E3045">
            <w:pPr>
              <w:pStyle w:val="ListParagraph"/>
              <w:numPr>
                <w:ilvl w:val="0"/>
                <w:numId w:val="8"/>
              </w:numPr>
              <w:spacing w:before="0" w:after="0" w:line="240" w:lineRule="auto"/>
              <w:contextualSpacing/>
            </w:pPr>
            <w:r w:rsidRPr="0052330A">
              <w:t>Committee to consider possibility of Extraordinary Meeting/Call following receipt of the above</w:t>
            </w:r>
            <w:r>
              <w:t>-</w:t>
            </w:r>
            <w:r w:rsidRPr="00E47768">
              <w:rPr>
                <w:b/>
              </w:rPr>
              <w:t>Closed, Committee did not feel this was necessary</w:t>
            </w:r>
          </w:p>
          <w:p w:rsidR="009E3045" w:rsidRDefault="009E3045" w:rsidP="009E3045">
            <w:pPr>
              <w:pStyle w:val="ListParagraph"/>
              <w:spacing w:before="0" w:after="0" w:line="240" w:lineRule="auto"/>
              <w:ind w:hanging="360"/>
              <w:contextualSpacing/>
            </w:pPr>
          </w:p>
          <w:p w:rsidR="009E3045" w:rsidRPr="0052330A" w:rsidRDefault="009E3045" w:rsidP="009E3045">
            <w:pPr>
              <w:pStyle w:val="ListParagraph"/>
              <w:spacing w:before="0" w:after="0" w:line="240" w:lineRule="auto"/>
              <w:ind w:hanging="360"/>
              <w:contextualSpacing/>
            </w:pPr>
          </w:p>
          <w:p w:rsidR="009E3045" w:rsidRPr="0052330A" w:rsidRDefault="009E3045" w:rsidP="009E3045">
            <w:pPr>
              <w:pStyle w:val="ListParagraph"/>
              <w:numPr>
                <w:ilvl w:val="0"/>
                <w:numId w:val="8"/>
              </w:numPr>
              <w:spacing w:before="0" w:after="0" w:line="240" w:lineRule="auto"/>
              <w:contextualSpacing/>
            </w:pPr>
            <w:r w:rsidRPr="0052330A">
              <w:t>SEMO to initiate IA</w:t>
            </w:r>
            <w:r>
              <w:t xml:space="preserve">- </w:t>
            </w:r>
            <w:r w:rsidR="00E23E29">
              <w:rPr>
                <w:b/>
              </w:rPr>
              <w:t>Closed</w:t>
            </w:r>
          </w:p>
          <w:p w:rsidR="009E3045" w:rsidRPr="0052330A" w:rsidRDefault="009E3045" w:rsidP="009E3045">
            <w:pPr>
              <w:pStyle w:val="ListParagraph"/>
              <w:spacing w:before="0" w:after="0" w:line="240" w:lineRule="auto"/>
              <w:ind w:hanging="360"/>
              <w:contextualSpacing/>
            </w:pPr>
          </w:p>
        </w:tc>
      </w:tr>
    </w:tbl>
    <w:p w:rsidR="001B36E7" w:rsidRPr="00982B98" w:rsidRDefault="001B36E7">
      <w:pPr>
        <w:spacing w:before="0" w:after="0" w:line="240" w:lineRule="auto"/>
      </w:pPr>
      <w:r w:rsidRPr="00176816">
        <w:rPr>
          <w:highlight w:val="yellow"/>
        </w:rPr>
        <w:br w:type="page"/>
      </w:r>
    </w:p>
    <w:p w:rsidR="001B36E7" w:rsidRPr="00982B98" w:rsidRDefault="001B36E7" w:rsidP="00045F70">
      <w:pPr>
        <w:pStyle w:val="Heading1"/>
        <w:pageBreakBefore w:val="0"/>
        <w:numPr>
          <w:ilvl w:val="0"/>
          <w:numId w:val="9"/>
        </w:numPr>
      </w:pPr>
      <w:bookmarkStart w:id="6" w:name="_Toc406084434"/>
      <w:r w:rsidRPr="00982B98">
        <w:lastRenderedPageBreak/>
        <w:t>Deferred Modification Proposals</w:t>
      </w:r>
      <w:bookmarkEnd w:id="6"/>
    </w:p>
    <w:p w:rsidR="001B36E7" w:rsidRPr="00176816" w:rsidRDefault="001B36E7" w:rsidP="00413C27">
      <w:pPr>
        <w:jc w:val="both"/>
        <w:rPr>
          <w:b/>
          <w:highlight w:val="yellow"/>
          <w:lang w:eastAsia="en-GB"/>
        </w:rPr>
      </w:pPr>
    </w:p>
    <w:p w:rsidR="001B36E7" w:rsidRPr="00420584" w:rsidRDefault="000B5F90" w:rsidP="00413C27">
      <w:pPr>
        <w:pStyle w:val="Heading2"/>
        <w:numPr>
          <w:ilvl w:val="0"/>
          <w:numId w:val="6"/>
        </w:numPr>
        <w:ind w:left="426" w:hanging="425"/>
        <w:jc w:val="both"/>
        <w:rPr>
          <w:rStyle w:val="IntenseReference1"/>
          <w:color w:val="1F497D"/>
        </w:rPr>
      </w:pPr>
      <w:hyperlink r:id="rId25" w:history="1">
        <w:bookmarkStart w:id="7" w:name="_Toc406084435"/>
        <w:r w:rsidR="001B36E7" w:rsidRPr="00420584">
          <w:rPr>
            <w:rStyle w:val="IntenseReference1"/>
            <w:color w:val="1F497D"/>
          </w:rPr>
          <w:t xml:space="preserve">Mod_11_12 </w:t>
        </w:r>
      </w:hyperlink>
      <w:r w:rsidR="001B36E7" w:rsidRPr="00420584">
        <w:rPr>
          <w:rStyle w:val="IntenseReference1"/>
          <w:color w:val="1F497D"/>
        </w:rPr>
        <w:t>proposal to extend the</w:t>
      </w:r>
      <w:r w:rsidR="001B36E7" w:rsidRPr="00420584">
        <w:rPr>
          <w:u w:val="single"/>
        </w:rPr>
        <w:t xml:space="preserve"> </w:t>
      </w:r>
      <w:r w:rsidR="001B36E7" w:rsidRPr="00420584">
        <w:rPr>
          <w:rStyle w:val="IntenseReference1"/>
          <w:color w:val="1F497D"/>
        </w:rPr>
        <w:t>definition of special units to include caes</w:t>
      </w:r>
      <w:bookmarkEnd w:id="7"/>
    </w:p>
    <w:p w:rsidR="00E25727" w:rsidRPr="00251711" w:rsidRDefault="001B36E7" w:rsidP="00E25727">
      <w:pPr>
        <w:jc w:val="both"/>
        <w:rPr>
          <w:lang w:eastAsia="en-GB"/>
        </w:rPr>
      </w:pPr>
      <w:r w:rsidRPr="00251711">
        <w:rPr>
          <w:lang w:eastAsia="en-GB"/>
        </w:rPr>
        <w:t>Proposer: Gaelectric</w:t>
      </w:r>
    </w:p>
    <w:p w:rsidR="0043541E" w:rsidRPr="00251711" w:rsidRDefault="0043541E" w:rsidP="00341DAC">
      <w:r w:rsidRPr="00251711">
        <w:rPr>
          <w:lang w:eastAsia="en-GB"/>
        </w:rPr>
        <w:t>SO</w:t>
      </w:r>
      <w:r w:rsidR="0084610F" w:rsidRPr="00251711">
        <w:rPr>
          <w:lang w:eastAsia="en-GB"/>
        </w:rPr>
        <w:t xml:space="preserve"> </w:t>
      </w:r>
      <w:r w:rsidR="00251711">
        <w:rPr>
          <w:lang w:eastAsia="en-GB"/>
        </w:rPr>
        <w:t xml:space="preserve">Alternate </w:t>
      </w:r>
      <w:r w:rsidRPr="00251711">
        <w:rPr>
          <w:lang w:eastAsia="en-GB"/>
        </w:rPr>
        <w:t>advised that a scope for internal studies is still being agreed upon</w:t>
      </w:r>
      <w:r w:rsidR="00251711">
        <w:rPr>
          <w:lang w:eastAsia="en-GB"/>
        </w:rPr>
        <w:t xml:space="preserve"> and the proposal is progressing</w:t>
      </w:r>
      <w:r w:rsidRPr="00251711">
        <w:rPr>
          <w:lang w:eastAsia="en-GB"/>
        </w:rPr>
        <w:t xml:space="preserve"> internally.</w:t>
      </w:r>
    </w:p>
    <w:p w:rsidR="00852F13" w:rsidRPr="00251711" w:rsidRDefault="0043541E" w:rsidP="00341DAC">
      <w:r w:rsidRPr="00251711">
        <w:t xml:space="preserve">Secretariat advised that there is a remaining open action in relation to the proposal being discussed at the Grid Code panel upon completion of the SO RCUC IA. </w:t>
      </w:r>
      <w:r w:rsidR="00386BF5" w:rsidRPr="00251711">
        <w:t xml:space="preserve">Secretariat advised that </w:t>
      </w:r>
      <w:r w:rsidR="00251711" w:rsidRPr="00251711">
        <w:t xml:space="preserve">it was decided that the proposal would not be discussed at </w:t>
      </w:r>
      <w:r w:rsidR="00386BF5" w:rsidRPr="00251711">
        <w:t xml:space="preserve">the </w:t>
      </w:r>
      <w:r w:rsidR="00251711" w:rsidRPr="00251711">
        <w:t xml:space="preserve">October </w:t>
      </w:r>
      <w:r w:rsidR="00386BF5" w:rsidRPr="00251711">
        <w:t xml:space="preserve">Grid Code </w:t>
      </w:r>
      <w:r w:rsidR="00251711" w:rsidRPr="00251711">
        <w:t xml:space="preserve">meeting as it was felt it would be more productive to discuss the proposal at a meeting </w:t>
      </w:r>
      <w:r w:rsidR="00CC0A74">
        <w:t>after procurement of</w:t>
      </w:r>
      <w:r w:rsidR="00251711" w:rsidRPr="00251711">
        <w:t xml:space="preserve"> the IA results.</w:t>
      </w:r>
      <w:r w:rsidR="00386BF5" w:rsidRPr="00251711">
        <w:t xml:space="preserve"> </w:t>
      </w:r>
      <w:r w:rsidR="00251711" w:rsidRPr="00251711">
        <w:t>Proposer was supportive of this. The proposal will be discussed again at the next Mod</w:t>
      </w:r>
      <w:r w:rsidR="00CC0A74">
        <w:t>ification</w:t>
      </w:r>
      <w:r w:rsidR="00251711" w:rsidRPr="00251711">
        <w:t>s Committee Meeting in 2015.</w:t>
      </w:r>
    </w:p>
    <w:p w:rsidR="00E25727" w:rsidRPr="00420584" w:rsidRDefault="00E25727" w:rsidP="00E25727">
      <w:pPr>
        <w:pStyle w:val="LightShading-Accent21"/>
        <w:spacing w:line="360" w:lineRule="auto"/>
        <w:jc w:val="both"/>
      </w:pPr>
      <w:r w:rsidRPr="00420584">
        <w:t xml:space="preserve">Actions </w:t>
      </w:r>
    </w:p>
    <w:p w:rsidR="006709A3" w:rsidRPr="00420584" w:rsidRDefault="001A49E5" w:rsidP="00C92A32">
      <w:pPr>
        <w:pStyle w:val="Bullet1"/>
        <w:numPr>
          <w:ilvl w:val="0"/>
          <w:numId w:val="5"/>
        </w:numPr>
        <w:spacing w:line="360" w:lineRule="auto"/>
        <w:jc w:val="both"/>
      </w:pPr>
      <w:r>
        <w:rPr>
          <w:lang w:val="en-IE"/>
        </w:rPr>
        <w:t>N/A</w:t>
      </w:r>
    </w:p>
    <w:p w:rsidR="001B36E7" w:rsidRPr="00420584" w:rsidRDefault="001B36E7" w:rsidP="00AB0F9B">
      <w:pPr>
        <w:pStyle w:val="LightShading-Accent21"/>
        <w:spacing w:line="360" w:lineRule="auto"/>
        <w:jc w:val="both"/>
      </w:pPr>
      <w:r w:rsidRPr="00420584">
        <w:t>Decision</w:t>
      </w:r>
    </w:p>
    <w:p w:rsidR="001B36E7" w:rsidRPr="00420584" w:rsidRDefault="001B36E7" w:rsidP="00A47EF0">
      <w:pPr>
        <w:pStyle w:val="Bullet1"/>
        <w:numPr>
          <w:ilvl w:val="0"/>
          <w:numId w:val="5"/>
        </w:numPr>
        <w:spacing w:line="360" w:lineRule="auto"/>
        <w:jc w:val="both"/>
      </w:pPr>
      <w:r w:rsidRPr="00420584">
        <w:t>The proposal was deferred</w:t>
      </w:r>
    </w:p>
    <w:p w:rsidR="001B36E7" w:rsidRPr="00420584" w:rsidRDefault="001B36E7" w:rsidP="00A47EF0">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B36E7" w:rsidRPr="00420584" w:rsidTr="00936E14">
        <w:trPr>
          <w:jc w:val="center"/>
        </w:trPr>
        <w:tc>
          <w:tcPr>
            <w:tcW w:w="5000" w:type="pct"/>
            <w:shd w:val="clear" w:color="auto" w:fill="548DD4"/>
          </w:tcPr>
          <w:p w:rsidR="001B36E7" w:rsidRPr="00420584" w:rsidRDefault="001B36E7" w:rsidP="00936E14">
            <w:pPr>
              <w:spacing w:before="40" w:after="40"/>
              <w:jc w:val="center"/>
              <w:rPr>
                <w:b/>
                <w:color w:val="FFFFFF"/>
                <w:sz w:val="16"/>
                <w:szCs w:val="16"/>
              </w:rPr>
            </w:pPr>
            <w:r w:rsidRPr="00420584">
              <w:rPr>
                <w:b/>
                <w:color w:val="FFFFFF"/>
              </w:rPr>
              <w:t xml:space="preserve">Deferred </w:t>
            </w:r>
          </w:p>
        </w:tc>
      </w:tr>
    </w:tbl>
    <w:p w:rsidR="001B36E7" w:rsidRPr="00176816" w:rsidRDefault="001B36E7" w:rsidP="00CB2AE1">
      <w:pPr>
        <w:pStyle w:val="Bullet1"/>
        <w:numPr>
          <w:ilvl w:val="0"/>
          <w:numId w:val="0"/>
        </w:numPr>
        <w:ind w:left="1080"/>
        <w:jc w:val="both"/>
        <w:rPr>
          <w:rStyle w:val="IntenseReference1"/>
          <w:rFonts w:cs="Arial"/>
          <w:b w:val="0"/>
          <w:bCs w:val="0"/>
          <w:smallCaps w:val="0"/>
          <w:color w:val="auto"/>
          <w:spacing w:val="0"/>
          <w:highlight w:val="yellow"/>
          <w:u w:val="none"/>
        </w:rPr>
      </w:pPr>
    </w:p>
    <w:p w:rsidR="00493AD2" w:rsidRPr="00176816" w:rsidRDefault="00493AD2" w:rsidP="00493AD2">
      <w:pPr>
        <w:pStyle w:val="Heading2"/>
        <w:numPr>
          <w:ilvl w:val="0"/>
          <w:numId w:val="0"/>
        </w:numPr>
        <w:ind w:left="576" w:hanging="576"/>
        <w:jc w:val="both"/>
        <w:rPr>
          <w:rStyle w:val="IntenseReference1"/>
          <w:smallCaps w:val="0"/>
          <w:color w:val="1F497D"/>
          <w:highlight w:val="yellow"/>
          <w:lang w:val="en-IE"/>
        </w:rPr>
      </w:pPr>
      <w:bookmarkStart w:id="8" w:name="_Toc406084436"/>
      <w:r w:rsidRPr="00E14171">
        <w:rPr>
          <w:rStyle w:val="IntenseReference1"/>
          <w:bCs w:val="0"/>
          <w:color w:val="1F497D"/>
          <w:u w:val="none"/>
        </w:rPr>
        <w:t>I</w:t>
      </w:r>
      <w:r w:rsidR="003B3227" w:rsidRPr="00E14171">
        <w:rPr>
          <w:rStyle w:val="IntenseReference1"/>
          <w:bCs w:val="0"/>
          <w:color w:val="1F497D"/>
          <w:u w:val="none"/>
          <w:lang w:val="en-IE"/>
        </w:rPr>
        <w:t>I</w:t>
      </w:r>
      <w:r w:rsidRPr="00E14171">
        <w:rPr>
          <w:rStyle w:val="IntenseReference1"/>
          <w:bCs w:val="0"/>
          <w:color w:val="1F497D"/>
          <w:u w:val="none"/>
        </w:rPr>
        <w:t>.</w:t>
      </w:r>
      <w:r w:rsidRPr="00E14171">
        <w:rPr>
          <w:rStyle w:val="IntenseReference1"/>
          <w:bCs w:val="0"/>
          <w:color w:val="1F497D"/>
          <w:u w:val="none"/>
        </w:rPr>
        <w:tab/>
        <w:t>Mod_</w:t>
      </w:r>
      <w:r w:rsidR="001741D4" w:rsidRPr="00E14171">
        <w:rPr>
          <w:rStyle w:val="IntenseReference1"/>
          <w:bCs w:val="0"/>
          <w:color w:val="1F497D"/>
          <w:u w:val="none"/>
          <w:lang w:val="en-IE"/>
        </w:rPr>
        <w:t>02_13</w:t>
      </w:r>
      <w:r w:rsidRPr="00E14171">
        <w:rPr>
          <w:rStyle w:val="IntenseReference1"/>
          <w:bCs w:val="0"/>
          <w:color w:val="1F497D"/>
          <w:u w:val="none"/>
          <w:lang w:val="en-IE"/>
        </w:rPr>
        <w:t>_</w:t>
      </w:r>
      <w:r w:rsidR="001741D4" w:rsidRPr="00982B98">
        <w:rPr>
          <w:rStyle w:val="IntenseReference1"/>
          <w:bCs w:val="0"/>
          <w:color w:val="1F497D"/>
          <w:u w:val="none"/>
          <w:lang w:val="en-IE"/>
        </w:rPr>
        <w:t>registration of charges</w:t>
      </w:r>
      <w:bookmarkEnd w:id="8"/>
    </w:p>
    <w:p w:rsidR="00493AD2" w:rsidRPr="00344CF1" w:rsidRDefault="00493AD2" w:rsidP="00493AD2">
      <w:pPr>
        <w:jc w:val="both"/>
        <w:rPr>
          <w:i/>
        </w:rPr>
      </w:pPr>
      <w:r w:rsidRPr="00344CF1">
        <w:rPr>
          <w:i/>
        </w:rPr>
        <w:t xml:space="preserve">Proposer: </w:t>
      </w:r>
      <w:r w:rsidR="001741D4" w:rsidRPr="00344CF1">
        <w:rPr>
          <w:i/>
        </w:rPr>
        <w:t>EirGrid</w:t>
      </w:r>
    </w:p>
    <w:p w:rsidR="00150331" w:rsidRDefault="00ED2383" w:rsidP="00D04483">
      <w:pPr>
        <w:pStyle w:val="Bullet1"/>
        <w:numPr>
          <w:ilvl w:val="0"/>
          <w:numId w:val="0"/>
        </w:numPr>
        <w:jc w:val="both"/>
        <w:rPr>
          <w:highlight w:val="yellow"/>
        </w:rPr>
      </w:pPr>
      <w:r w:rsidRPr="00ED2383">
        <w:t xml:space="preserve">MO Member presented slides outlining the background </w:t>
      </w:r>
      <w:r w:rsidR="00173F5D">
        <w:t xml:space="preserve">and history </w:t>
      </w:r>
      <w:r w:rsidRPr="00ED2383">
        <w:t xml:space="preserve">of the proposal and showing the legal costs that have been incurred to date. </w:t>
      </w:r>
      <w:r w:rsidRPr="00CB5691">
        <w:t xml:space="preserve">MO Member sought the </w:t>
      </w:r>
      <w:r w:rsidR="00CB5691" w:rsidRPr="00CB5691">
        <w:t>Committee’s views</w:t>
      </w:r>
      <w:r w:rsidR="000C2C30">
        <w:t xml:space="preserve"> in relation to </w:t>
      </w:r>
      <w:r w:rsidRPr="00CB5691">
        <w:t>how</w:t>
      </w:r>
      <w:r w:rsidR="000C2C30">
        <w:t xml:space="preserve"> best</w:t>
      </w:r>
      <w:r w:rsidRPr="00CB5691">
        <w:t xml:space="preserve"> to proceed given the extensive legal discussion that has been </w:t>
      </w:r>
      <w:r w:rsidR="00173F5D">
        <w:t xml:space="preserve">ongoing </w:t>
      </w:r>
      <w:r w:rsidR="00D2643B">
        <w:t>since the proposal was raised in January 2012</w:t>
      </w:r>
      <w:r w:rsidR="00173F5D">
        <w:t xml:space="preserve">, highlighting that at Meeting 50 the Committee voted to pursue stricter enforcement and </w:t>
      </w:r>
      <w:r w:rsidR="00173F5D" w:rsidRPr="00945634">
        <w:t>additional</w:t>
      </w:r>
      <w:r w:rsidR="00173F5D">
        <w:t xml:space="preserve"> security around existing and f</w:t>
      </w:r>
      <w:r w:rsidR="00173F5D" w:rsidRPr="00945634">
        <w:t>uture registration of charges</w:t>
      </w:r>
      <w:r w:rsidR="00173F5D">
        <w:t xml:space="preserve"> and at Meeting 54 </w:t>
      </w:r>
      <w:r w:rsidR="00173F5D" w:rsidRPr="00945634">
        <w:t xml:space="preserve">the Committee voted </w:t>
      </w:r>
      <w:r w:rsidR="00173F5D">
        <w:t xml:space="preserve">for an </w:t>
      </w:r>
      <w:r w:rsidR="00173F5D" w:rsidRPr="00945634">
        <w:t>updated Deed of Charge reflective of the trust arrangements</w:t>
      </w:r>
      <w:r w:rsidR="00173F5D">
        <w:t>. However, discussion has continually reverted to two diverging views as to whether a Deed of Charge is necessary and those views are likely to remain divergent, so the Committee needs to decide whether or not to proceed with drafting a new deed.</w:t>
      </w:r>
      <w:r w:rsidR="00CB5691">
        <w:t xml:space="preserve"> Chair reiterated Viridian’s view that a charge is unnecessary. </w:t>
      </w:r>
      <w:r w:rsidR="000C2C30">
        <w:t>Supplier</w:t>
      </w:r>
      <w:r w:rsidR="00CB5691">
        <w:t xml:space="preserve"> Member supported Viridian’s view advising that the Committee have three options in relation to the deed, vot</w:t>
      </w:r>
      <w:r w:rsidR="000C2C30">
        <w:t>e to approve the</w:t>
      </w:r>
      <w:r w:rsidR="00CB5691">
        <w:t xml:space="preserve"> deed, amend the deed to reflect Participant comments that were put forward</w:t>
      </w:r>
      <w:r w:rsidR="00A54E1A">
        <w:t>,</w:t>
      </w:r>
      <w:r w:rsidR="00CB5691">
        <w:t xml:space="preserve"> or reject the </w:t>
      </w:r>
      <w:r w:rsidR="000C2C30">
        <w:t>deed</w:t>
      </w:r>
      <w:r w:rsidR="00CB5691">
        <w:t xml:space="preserve">. External counsel representative advised that it is fundamental that the Committee are comfortable with the deed of charge prior to taking a vote. </w:t>
      </w:r>
      <w:r w:rsidR="00D2643B">
        <w:t xml:space="preserve">External Counsel representative provided an overview of Participant comments that have been addressed in the formal written response. </w:t>
      </w:r>
      <w:r w:rsidR="00CB5691">
        <w:t>Discussion ensued in relation to the actions that were recorded at the conference call (set out below). MO Member advised that t</w:t>
      </w:r>
      <w:r w:rsidR="00B854EF">
        <w:t>he concerns that had been raised by Participants at the conference call are currently being addressed by SEMO.</w:t>
      </w:r>
      <w:r w:rsidR="000C2C30">
        <w:t xml:space="preserve"> </w:t>
      </w:r>
      <w:r w:rsidR="00C21C29">
        <w:t>Generator Member further advised that any monies that are to be recovered should not be absorbed by MO administration costs</w:t>
      </w:r>
      <w:r w:rsidR="00C21C29" w:rsidRPr="00EE39C2">
        <w:t xml:space="preserve">. </w:t>
      </w:r>
      <w:r w:rsidR="00EE39C2" w:rsidRPr="00EE39C2">
        <w:t xml:space="preserve">Generator Member drew attention to whether Irish, NI, or English law (which would include Wales) is to be utilised for the deed due to bank accounts in the UK and drew attention to exclusion </w:t>
      </w:r>
      <w:r w:rsidR="00EE39C2" w:rsidRPr="00EE39C2">
        <w:lastRenderedPageBreak/>
        <w:t xml:space="preserve">of Scotland. </w:t>
      </w:r>
      <w:r w:rsidR="000C2C30" w:rsidRPr="00EE39C2">
        <w:t>Generator</w:t>
      </w:r>
      <w:r w:rsidR="000C2C30">
        <w:t xml:space="preserve"> Member further advised that given the legal costs that have been incurred to date, it is not prudent to continue to re-visit the concept of the deed of charge. All voting members </w:t>
      </w:r>
      <w:r w:rsidR="00C6385B">
        <w:t xml:space="preserve">except </w:t>
      </w:r>
      <w:r w:rsidR="000C2C30">
        <w:t>Viridian and Power NI were in agreement with AES’s above view.</w:t>
      </w:r>
      <w:r w:rsidR="00FA3395">
        <w:t xml:space="preserve"> </w:t>
      </w:r>
      <w:r w:rsidR="00194155">
        <w:t xml:space="preserve">Generator Member expressed the view that it is imperative to have adequate security in place over </w:t>
      </w:r>
      <w:r w:rsidR="00194155" w:rsidRPr="00C6385B">
        <w:t>the monies in the CRAs and that the Modifications Committee have received expert legal advice which has a</w:t>
      </w:r>
      <w:r w:rsidR="00194155" w:rsidRPr="00C6385B">
        <w:rPr>
          <w:rStyle w:val="IntenseReference1"/>
          <w:rFonts w:cs="Arial"/>
          <w:b w:val="0"/>
          <w:bCs w:val="0"/>
          <w:smallCaps w:val="0"/>
          <w:color w:val="auto"/>
          <w:spacing w:val="0"/>
          <w:u w:val="none"/>
          <w:lang w:val="en-IE"/>
        </w:rPr>
        <w:t>dvised that a charge is necessary in order to ensure market security.</w:t>
      </w:r>
    </w:p>
    <w:p w:rsidR="000417DE" w:rsidRDefault="000417DE" w:rsidP="00D04483">
      <w:pPr>
        <w:pStyle w:val="Bullet1"/>
        <w:numPr>
          <w:ilvl w:val="0"/>
          <w:numId w:val="0"/>
        </w:numPr>
        <w:jc w:val="both"/>
        <w:rPr>
          <w:highlight w:val="yellow"/>
        </w:rPr>
      </w:pPr>
    </w:p>
    <w:p w:rsidR="000417DE" w:rsidRPr="00777237" w:rsidRDefault="000417DE" w:rsidP="00D04483">
      <w:pPr>
        <w:pStyle w:val="Bullet1"/>
        <w:numPr>
          <w:ilvl w:val="0"/>
          <w:numId w:val="0"/>
        </w:numPr>
        <w:jc w:val="both"/>
        <w:rPr>
          <w:rStyle w:val="IntenseReference1"/>
          <w:rFonts w:cs="Arial"/>
          <w:b w:val="0"/>
          <w:bCs w:val="0"/>
          <w:smallCaps w:val="0"/>
          <w:color w:val="auto"/>
          <w:spacing w:val="0"/>
          <w:u w:val="none"/>
          <w:lang w:val="en-IE"/>
        </w:rPr>
      </w:pPr>
      <w:r w:rsidRPr="00777237">
        <w:t xml:space="preserve">Generator Member drew attention to a concern that had </w:t>
      </w:r>
      <w:r w:rsidRPr="00E3613C">
        <w:t>previously been raised by ESB in relation to Participants using the CRAs for payment of small invoices. Secretariat advised that this comment was addressed in the formal written response</w:t>
      </w:r>
      <w:r w:rsidR="00E3613C">
        <w:t xml:space="preserve"> (Number (ii), </w:t>
      </w:r>
      <w:r w:rsidR="005C68ED">
        <w:t>Pg</w:t>
      </w:r>
      <w:r w:rsidR="00E3613C">
        <w:t xml:space="preserve"> 4)</w:t>
      </w:r>
      <w:r w:rsidRPr="00E3613C">
        <w:t xml:space="preserve"> issued by External Counsel.</w:t>
      </w:r>
      <w:r w:rsidRPr="00777237">
        <w:t xml:space="preserve"> Generator Member expressed the view that this response was not satisfactory and requested further consideration of the issue</w:t>
      </w:r>
      <w:r w:rsidR="00A54E1A">
        <w:t xml:space="preserve"> when external counsel are drafting the updated version</w:t>
      </w:r>
      <w:r w:rsidRPr="00777237">
        <w:t>.</w:t>
      </w:r>
    </w:p>
    <w:p w:rsidR="00150331" w:rsidRDefault="00664DD1" w:rsidP="00D04483">
      <w:pPr>
        <w:pStyle w:val="Bullet1"/>
        <w:numPr>
          <w:ilvl w:val="0"/>
          <w:numId w:val="0"/>
        </w:numPr>
        <w:jc w:val="both"/>
        <w:rPr>
          <w:rStyle w:val="IntenseReference1"/>
          <w:rFonts w:cs="Arial"/>
          <w:b w:val="0"/>
          <w:bCs w:val="0"/>
          <w:smallCaps w:val="0"/>
          <w:color w:val="auto"/>
          <w:spacing w:val="0"/>
          <w:u w:val="none"/>
          <w:lang w:val="en-IE"/>
        </w:rPr>
      </w:pPr>
      <w:r w:rsidRPr="00664DD1">
        <w:rPr>
          <w:rStyle w:val="IntenseReference1"/>
          <w:rFonts w:cs="Arial"/>
          <w:b w:val="0"/>
          <w:bCs w:val="0"/>
          <w:smallCaps w:val="0"/>
          <w:color w:val="auto"/>
          <w:spacing w:val="0"/>
          <w:u w:val="none"/>
          <w:lang w:val="en-IE"/>
        </w:rPr>
        <w:t xml:space="preserve">Eirgrid </w:t>
      </w:r>
      <w:r w:rsidR="00A159C0">
        <w:rPr>
          <w:rStyle w:val="IntenseReference1"/>
          <w:rFonts w:cs="Arial"/>
          <w:b w:val="0"/>
          <w:bCs w:val="0"/>
          <w:smallCaps w:val="0"/>
          <w:color w:val="auto"/>
          <w:spacing w:val="0"/>
          <w:u w:val="none"/>
          <w:lang w:val="en-IE"/>
        </w:rPr>
        <w:t xml:space="preserve">legal </w:t>
      </w:r>
      <w:r w:rsidRPr="00664DD1">
        <w:rPr>
          <w:rStyle w:val="IntenseReference1"/>
          <w:rFonts w:cs="Arial"/>
          <w:b w:val="0"/>
          <w:bCs w:val="0"/>
          <w:smallCaps w:val="0"/>
          <w:color w:val="auto"/>
          <w:spacing w:val="0"/>
          <w:u w:val="none"/>
          <w:lang w:val="en-IE"/>
        </w:rPr>
        <w:t xml:space="preserve">representative advised that in order to progress the proposal, External Counsel must be directed to finalise the deed of charge taking into account Participants </w:t>
      </w:r>
      <w:r w:rsidR="00173F5D">
        <w:rPr>
          <w:rStyle w:val="IntenseReference1"/>
          <w:rFonts w:cs="Arial"/>
          <w:b w:val="0"/>
          <w:bCs w:val="0"/>
          <w:smallCaps w:val="0"/>
          <w:color w:val="auto"/>
          <w:spacing w:val="0"/>
          <w:u w:val="none"/>
          <w:lang w:val="en-IE"/>
        </w:rPr>
        <w:t>comments</w:t>
      </w:r>
      <w:r w:rsidRPr="00664DD1">
        <w:rPr>
          <w:rStyle w:val="IntenseReference1"/>
          <w:rFonts w:cs="Arial"/>
          <w:b w:val="0"/>
          <w:bCs w:val="0"/>
          <w:smallCaps w:val="0"/>
          <w:color w:val="auto"/>
          <w:spacing w:val="0"/>
          <w:u w:val="none"/>
          <w:lang w:val="en-IE"/>
        </w:rPr>
        <w:t xml:space="preserve"> where possible and then the appropriate modifications to the Code and APs must be </w:t>
      </w:r>
      <w:r w:rsidR="00C64E47">
        <w:rPr>
          <w:rStyle w:val="IntenseReference1"/>
          <w:rFonts w:cs="Arial"/>
          <w:b w:val="0"/>
          <w:bCs w:val="0"/>
          <w:smallCaps w:val="0"/>
          <w:color w:val="auto"/>
          <w:spacing w:val="0"/>
          <w:u w:val="none"/>
          <w:lang w:val="en-IE"/>
        </w:rPr>
        <w:t>drafted</w:t>
      </w:r>
      <w:r w:rsidRPr="00664DD1">
        <w:rPr>
          <w:rStyle w:val="IntenseReference1"/>
          <w:rFonts w:cs="Arial"/>
          <w:b w:val="0"/>
          <w:bCs w:val="0"/>
          <w:smallCaps w:val="0"/>
          <w:color w:val="auto"/>
          <w:spacing w:val="0"/>
          <w:u w:val="none"/>
          <w:lang w:val="en-IE"/>
        </w:rPr>
        <w:t>.</w:t>
      </w:r>
    </w:p>
    <w:p w:rsidR="00060B1F" w:rsidRDefault="00060B1F" w:rsidP="00D04483">
      <w:pPr>
        <w:pStyle w:val="Bullet1"/>
        <w:numPr>
          <w:ilvl w:val="0"/>
          <w:numId w:val="0"/>
        </w:numPr>
        <w:jc w:val="both"/>
        <w:rPr>
          <w:rStyle w:val="IntenseReference1"/>
          <w:rFonts w:cs="Arial"/>
          <w:b w:val="0"/>
          <w:bCs w:val="0"/>
          <w:smallCaps w:val="0"/>
          <w:color w:val="auto"/>
          <w:spacing w:val="0"/>
          <w:u w:val="none"/>
          <w:lang w:val="en-IE"/>
        </w:rPr>
      </w:pPr>
      <w:r>
        <w:rPr>
          <w:rStyle w:val="IntenseReference1"/>
          <w:rFonts w:cs="Arial"/>
          <w:b w:val="0"/>
          <w:bCs w:val="0"/>
          <w:smallCaps w:val="0"/>
          <w:color w:val="auto"/>
          <w:spacing w:val="0"/>
          <w:u w:val="none"/>
          <w:lang w:val="en-IE"/>
        </w:rPr>
        <w:t xml:space="preserve">Generator Member queried as to whether SEMO and Eirgrid will be focusing on getting those Participants who are not compliant to sign the updated deed </w:t>
      </w:r>
      <w:r w:rsidR="00A159C0">
        <w:rPr>
          <w:rStyle w:val="IntenseReference1"/>
          <w:rFonts w:cs="Arial"/>
          <w:b w:val="0"/>
          <w:bCs w:val="0"/>
          <w:smallCaps w:val="0"/>
          <w:color w:val="auto"/>
          <w:spacing w:val="0"/>
          <w:u w:val="none"/>
          <w:lang w:val="en-IE"/>
        </w:rPr>
        <w:t xml:space="preserve">first, </w:t>
      </w:r>
      <w:r>
        <w:rPr>
          <w:rStyle w:val="IntenseReference1"/>
          <w:rFonts w:cs="Arial"/>
          <w:b w:val="0"/>
          <w:bCs w:val="0"/>
          <w:smallCaps w:val="0"/>
          <w:color w:val="auto"/>
          <w:spacing w:val="0"/>
          <w:u w:val="none"/>
          <w:lang w:val="en-IE"/>
        </w:rPr>
        <w:t xml:space="preserve">once it is approved. </w:t>
      </w:r>
      <w:r w:rsidR="00173F5D" w:rsidRPr="00664DD1">
        <w:rPr>
          <w:rStyle w:val="IntenseReference1"/>
          <w:rFonts w:cs="Arial"/>
          <w:b w:val="0"/>
          <w:bCs w:val="0"/>
          <w:smallCaps w:val="0"/>
          <w:color w:val="auto"/>
          <w:spacing w:val="0"/>
          <w:u w:val="none"/>
          <w:lang w:val="en-IE"/>
        </w:rPr>
        <w:t xml:space="preserve">Eirgrid </w:t>
      </w:r>
      <w:r w:rsidR="00173F5D">
        <w:rPr>
          <w:rStyle w:val="IntenseReference1"/>
          <w:rFonts w:cs="Arial"/>
          <w:b w:val="0"/>
          <w:bCs w:val="0"/>
          <w:smallCaps w:val="0"/>
          <w:color w:val="auto"/>
          <w:spacing w:val="0"/>
          <w:u w:val="none"/>
          <w:lang w:val="en-IE"/>
        </w:rPr>
        <w:t xml:space="preserve">legal </w:t>
      </w:r>
      <w:r w:rsidR="00173F5D" w:rsidRPr="00664DD1">
        <w:rPr>
          <w:rStyle w:val="IntenseReference1"/>
          <w:rFonts w:cs="Arial"/>
          <w:b w:val="0"/>
          <w:bCs w:val="0"/>
          <w:smallCaps w:val="0"/>
          <w:color w:val="auto"/>
          <w:spacing w:val="0"/>
          <w:u w:val="none"/>
          <w:lang w:val="en-IE"/>
        </w:rPr>
        <w:t xml:space="preserve">representative </w:t>
      </w:r>
      <w:r>
        <w:rPr>
          <w:rStyle w:val="IntenseReference1"/>
          <w:rFonts w:cs="Arial"/>
          <w:b w:val="0"/>
          <w:bCs w:val="0"/>
          <w:smallCaps w:val="0"/>
          <w:color w:val="auto"/>
          <w:spacing w:val="0"/>
          <w:u w:val="none"/>
          <w:lang w:val="en-IE"/>
        </w:rPr>
        <w:t xml:space="preserve">confirmed that all Participants must sign the updated Deed, not only those Participants who are incompliant. </w:t>
      </w:r>
    </w:p>
    <w:p w:rsidR="00243343" w:rsidRPr="00664DD1" w:rsidRDefault="00243343" w:rsidP="00D04483">
      <w:pPr>
        <w:pStyle w:val="Bullet1"/>
        <w:numPr>
          <w:ilvl w:val="0"/>
          <w:numId w:val="0"/>
        </w:numPr>
        <w:jc w:val="both"/>
        <w:rPr>
          <w:rStyle w:val="IntenseReference1"/>
          <w:rFonts w:cs="Arial"/>
          <w:b w:val="0"/>
          <w:bCs w:val="0"/>
          <w:smallCaps w:val="0"/>
          <w:color w:val="auto"/>
          <w:spacing w:val="0"/>
          <w:u w:val="none"/>
          <w:lang w:val="en-IE"/>
        </w:rPr>
      </w:pPr>
      <w:r>
        <w:t>Energia representatives</w:t>
      </w:r>
      <w:r>
        <w:t xml:space="preserve"> expressed t</w:t>
      </w:r>
      <w:r>
        <w:t xml:space="preserve">he view that </w:t>
      </w:r>
      <w:r>
        <w:t>while they are not in agreement</w:t>
      </w:r>
      <w:r>
        <w:t xml:space="preserve"> with the principle that a deed is necessary</w:t>
      </w:r>
      <w:r>
        <w:t xml:space="preserve"> they </w:t>
      </w:r>
      <w:r>
        <w:t xml:space="preserve">are willing to </w:t>
      </w:r>
      <w:r>
        <w:t>accept the consensus view of the Committee and therefore would continue with the ongoing drafting and not revisit the concept of the deed of charge.</w:t>
      </w:r>
    </w:p>
    <w:p w:rsidR="00EA76BF" w:rsidRPr="00176816" w:rsidRDefault="00EA76BF" w:rsidP="00D277C8">
      <w:pPr>
        <w:jc w:val="both"/>
        <w:rPr>
          <w:highlight w:val="yellow"/>
          <w:lang w:eastAsia="en-GB"/>
        </w:rPr>
      </w:pPr>
    </w:p>
    <w:p w:rsidR="00235C44" w:rsidRPr="001A49E5" w:rsidRDefault="00235C44" w:rsidP="00235C44">
      <w:pPr>
        <w:pStyle w:val="LightShading-Accent21"/>
        <w:spacing w:line="360" w:lineRule="auto"/>
        <w:jc w:val="both"/>
      </w:pPr>
      <w:r w:rsidRPr="001A49E5">
        <w:t xml:space="preserve">Actions </w:t>
      </w:r>
    </w:p>
    <w:p w:rsidR="00C93C25" w:rsidRPr="00C93C25" w:rsidRDefault="00C93C25" w:rsidP="00C93C25">
      <w:pPr>
        <w:pStyle w:val="Bullet1"/>
        <w:numPr>
          <w:ilvl w:val="0"/>
          <w:numId w:val="5"/>
        </w:numPr>
        <w:spacing w:line="360" w:lineRule="auto"/>
        <w:jc w:val="both"/>
      </w:pPr>
      <w:r w:rsidRPr="00C93C25">
        <w:t xml:space="preserve">External Counsel to be directed to update deed of charge taking into account the issues raised by Participants at the conference call, to be circulated for a 2 week review period- </w:t>
      </w:r>
      <w:r w:rsidRPr="00C93C25">
        <w:rPr>
          <w:b/>
        </w:rPr>
        <w:t>Open</w:t>
      </w:r>
    </w:p>
    <w:p w:rsidR="00C93C25" w:rsidRPr="00FA3395" w:rsidRDefault="00C93C25" w:rsidP="00C93C25">
      <w:pPr>
        <w:pStyle w:val="Bullet1"/>
        <w:numPr>
          <w:ilvl w:val="0"/>
          <w:numId w:val="5"/>
        </w:numPr>
        <w:spacing w:line="360" w:lineRule="auto"/>
        <w:jc w:val="both"/>
      </w:pPr>
      <w:r>
        <w:t>Secretariat to convene conference call to discuss updated deed following Committee and WG member review period</w:t>
      </w:r>
      <w:r w:rsidRPr="00C93C25">
        <w:t xml:space="preserve">- </w:t>
      </w:r>
      <w:r w:rsidRPr="00C93C25">
        <w:rPr>
          <w:b/>
        </w:rPr>
        <w:t>Open</w:t>
      </w:r>
    </w:p>
    <w:p w:rsidR="00FA3395" w:rsidRPr="00A54E1A" w:rsidRDefault="00FA3395" w:rsidP="00FA3395">
      <w:pPr>
        <w:pStyle w:val="Bullet1"/>
        <w:numPr>
          <w:ilvl w:val="0"/>
          <w:numId w:val="0"/>
        </w:numPr>
        <w:spacing w:line="360" w:lineRule="auto"/>
        <w:ind w:left="1080"/>
        <w:jc w:val="both"/>
        <w:rPr>
          <w:u w:val="single"/>
        </w:rPr>
      </w:pPr>
      <w:r w:rsidRPr="00A54E1A">
        <w:rPr>
          <w:b/>
          <w:u w:val="single"/>
          <w:lang w:val="en-IE"/>
        </w:rPr>
        <w:t>Reminder of actions recorded at the conference call on 1</w:t>
      </w:r>
      <w:r w:rsidRPr="00A54E1A">
        <w:rPr>
          <w:b/>
          <w:u w:val="single"/>
          <w:vertAlign w:val="superscript"/>
          <w:lang w:val="en-IE"/>
        </w:rPr>
        <w:t>st</w:t>
      </w:r>
      <w:r w:rsidRPr="00A54E1A">
        <w:rPr>
          <w:b/>
          <w:u w:val="single"/>
          <w:lang w:val="en-IE"/>
        </w:rPr>
        <w:t xml:space="preserve"> December:</w:t>
      </w:r>
    </w:p>
    <w:p w:rsidR="00FA3395" w:rsidRPr="00FA3395" w:rsidRDefault="00FA3395" w:rsidP="00FA3395">
      <w:pPr>
        <w:pStyle w:val="Bullet1"/>
        <w:numPr>
          <w:ilvl w:val="0"/>
          <w:numId w:val="5"/>
        </w:numPr>
        <w:spacing w:line="360" w:lineRule="auto"/>
        <w:jc w:val="both"/>
      </w:pPr>
      <w:r w:rsidRPr="00FA3395">
        <w:t>SEMO to consider any possible risks around currency cost issue in relation to Clause 10.1 Currency conversion and indemnity-</w:t>
      </w:r>
      <w:r w:rsidRPr="00FA3395">
        <w:rPr>
          <w:b/>
        </w:rPr>
        <w:t>Open-in progress</w:t>
      </w:r>
    </w:p>
    <w:p w:rsidR="00FA3395" w:rsidRPr="00FA3395" w:rsidRDefault="00FA3395" w:rsidP="00FA3395">
      <w:pPr>
        <w:pStyle w:val="Bullet1"/>
        <w:numPr>
          <w:ilvl w:val="0"/>
          <w:numId w:val="5"/>
        </w:numPr>
        <w:spacing w:line="360" w:lineRule="auto"/>
        <w:jc w:val="both"/>
        <w:rPr>
          <w:b/>
        </w:rPr>
      </w:pPr>
      <w:r w:rsidRPr="00FA3395">
        <w:t xml:space="preserve">SEMO to consider potential removal of clause 7.4 Application of proceeds and how the expenses are recovered and whether there are any implications with removal of section - </w:t>
      </w:r>
      <w:r w:rsidRPr="00FA3395">
        <w:rPr>
          <w:b/>
        </w:rPr>
        <w:t>Open-in progress</w:t>
      </w:r>
    </w:p>
    <w:p w:rsidR="00235C44" w:rsidRPr="00FA3395" w:rsidRDefault="00FA3395" w:rsidP="00FA3395">
      <w:pPr>
        <w:pStyle w:val="Bullet1"/>
        <w:numPr>
          <w:ilvl w:val="0"/>
          <w:numId w:val="5"/>
        </w:numPr>
        <w:spacing w:line="360" w:lineRule="auto"/>
        <w:jc w:val="both"/>
      </w:pPr>
      <w:r w:rsidRPr="00FA3395">
        <w:t xml:space="preserve">SEMO to consider modification of definition from Secured obligations to Payment obligations to avoid confusion </w:t>
      </w:r>
      <w:r w:rsidR="00857F1B">
        <w:rPr>
          <w:lang w:val="en-IE"/>
        </w:rPr>
        <w:t>regarding</w:t>
      </w:r>
      <w:r w:rsidRPr="00FA3395">
        <w:t xml:space="preserve"> performance obligations being charged also- </w:t>
      </w:r>
      <w:r w:rsidRPr="00FA3395">
        <w:rPr>
          <w:b/>
        </w:rPr>
        <w:t>Open-in progress</w:t>
      </w:r>
    </w:p>
    <w:p w:rsidR="00FA3395" w:rsidRPr="00FA3395" w:rsidRDefault="00FA3395" w:rsidP="00FA3395">
      <w:pPr>
        <w:pStyle w:val="Bullet1"/>
        <w:numPr>
          <w:ilvl w:val="0"/>
          <w:numId w:val="0"/>
        </w:numPr>
        <w:spacing w:line="360" w:lineRule="auto"/>
        <w:ind w:left="1080"/>
        <w:jc w:val="both"/>
      </w:pPr>
    </w:p>
    <w:p w:rsidR="00235C44" w:rsidRPr="001A49E5" w:rsidRDefault="00235C44" w:rsidP="00235C44">
      <w:pPr>
        <w:pStyle w:val="LightShading-Accent21"/>
        <w:spacing w:line="360" w:lineRule="auto"/>
        <w:jc w:val="both"/>
      </w:pPr>
      <w:r w:rsidRPr="001A49E5">
        <w:t>Decision</w:t>
      </w:r>
    </w:p>
    <w:p w:rsidR="00235C44" w:rsidRPr="001A49E5" w:rsidRDefault="00235C44" w:rsidP="00235C44">
      <w:pPr>
        <w:pStyle w:val="Bullet1"/>
        <w:numPr>
          <w:ilvl w:val="0"/>
          <w:numId w:val="5"/>
        </w:numPr>
        <w:spacing w:line="360" w:lineRule="auto"/>
        <w:jc w:val="both"/>
      </w:pPr>
      <w:r w:rsidRPr="001A49E5">
        <w:t>The proposal was deferred</w:t>
      </w:r>
    </w:p>
    <w:p w:rsidR="00DE5B81" w:rsidRPr="00420584" w:rsidRDefault="00DE5B81" w:rsidP="00DE5B81">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DE5B81" w:rsidRPr="00420584" w:rsidTr="00045F70">
        <w:trPr>
          <w:jc w:val="center"/>
        </w:trPr>
        <w:tc>
          <w:tcPr>
            <w:tcW w:w="5000" w:type="pct"/>
            <w:shd w:val="clear" w:color="auto" w:fill="548DD4"/>
          </w:tcPr>
          <w:p w:rsidR="00DE5B81" w:rsidRPr="00420584" w:rsidRDefault="00DE5B81" w:rsidP="00045F70">
            <w:pPr>
              <w:spacing w:before="40" w:after="40"/>
              <w:jc w:val="center"/>
              <w:rPr>
                <w:b/>
                <w:color w:val="FFFFFF"/>
                <w:sz w:val="16"/>
                <w:szCs w:val="16"/>
              </w:rPr>
            </w:pPr>
            <w:r w:rsidRPr="00420584">
              <w:rPr>
                <w:b/>
                <w:color w:val="FFFFFF"/>
              </w:rPr>
              <w:lastRenderedPageBreak/>
              <w:t xml:space="preserve">Deferred </w:t>
            </w:r>
          </w:p>
        </w:tc>
      </w:tr>
    </w:tbl>
    <w:p w:rsidR="003B3227" w:rsidRPr="00431720" w:rsidRDefault="003B3227" w:rsidP="003B3227">
      <w:pPr>
        <w:jc w:val="both"/>
        <w:rPr>
          <w:i/>
        </w:rPr>
      </w:pPr>
    </w:p>
    <w:p w:rsidR="003B3227" w:rsidRPr="00431720" w:rsidRDefault="003B3227" w:rsidP="003B3227">
      <w:pPr>
        <w:pStyle w:val="Heading2"/>
        <w:numPr>
          <w:ilvl w:val="0"/>
          <w:numId w:val="0"/>
        </w:numPr>
        <w:ind w:left="576" w:hanging="576"/>
        <w:jc w:val="both"/>
        <w:rPr>
          <w:rStyle w:val="IntenseReference1"/>
          <w:smallCaps w:val="0"/>
          <w:color w:val="1F497D"/>
          <w:lang w:val="en-IE"/>
        </w:rPr>
      </w:pPr>
      <w:bookmarkStart w:id="9" w:name="_Toc406084437"/>
      <w:r w:rsidRPr="00431720">
        <w:rPr>
          <w:rStyle w:val="IntenseReference1"/>
          <w:bCs w:val="0"/>
          <w:color w:val="1F497D"/>
          <w:u w:val="none"/>
        </w:rPr>
        <w:t>I</w:t>
      </w:r>
      <w:r w:rsidR="005A5BFA">
        <w:rPr>
          <w:rStyle w:val="IntenseReference1"/>
          <w:bCs w:val="0"/>
          <w:color w:val="1F497D"/>
          <w:u w:val="none"/>
          <w:lang w:val="en-IE"/>
        </w:rPr>
        <w:t>I</w:t>
      </w:r>
      <w:r w:rsidRPr="00431720">
        <w:rPr>
          <w:rStyle w:val="IntenseReference1"/>
          <w:bCs w:val="0"/>
          <w:color w:val="1F497D"/>
          <w:u w:val="none"/>
        </w:rPr>
        <w:t>I.</w:t>
      </w:r>
      <w:r w:rsidRPr="00431720">
        <w:rPr>
          <w:rStyle w:val="IntenseReference1"/>
          <w:bCs w:val="0"/>
          <w:color w:val="1F497D"/>
          <w:u w:val="none"/>
        </w:rPr>
        <w:tab/>
        <w:t>Mod_</w:t>
      </w:r>
      <w:r w:rsidR="00431720" w:rsidRPr="00431720">
        <w:rPr>
          <w:rStyle w:val="IntenseReference1"/>
          <w:bCs w:val="0"/>
          <w:color w:val="1F497D"/>
          <w:u w:val="none"/>
          <w:lang w:val="en-IE"/>
        </w:rPr>
        <w:t>08_14 Clarification of location of sem collateral reserve accounts</w:t>
      </w:r>
      <w:bookmarkEnd w:id="9"/>
    </w:p>
    <w:p w:rsidR="002F142A" w:rsidRDefault="00431720" w:rsidP="00A54E1A">
      <w:pPr>
        <w:jc w:val="both"/>
        <w:rPr>
          <w:i/>
        </w:rPr>
      </w:pPr>
      <w:r w:rsidRPr="003D515B">
        <w:rPr>
          <w:i/>
        </w:rPr>
        <w:t>Proposer: SEMO</w:t>
      </w:r>
    </w:p>
    <w:p w:rsidR="008D6202" w:rsidRDefault="00500DC0" w:rsidP="00500DC0">
      <w:pPr>
        <w:pStyle w:val="Bullet1"/>
        <w:numPr>
          <w:ilvl w:val="0"/>
          <w:numId w:val="0"/>
        </w:numPr>
        <w:jc w:val="both"/>
        <w:rPr>
          <w:rStyle w:val="IntenseReference1"/>
          <w:rFonts w:cs="Arial"/>
          <w:b w:val="0"/>
          <w:bCs w:val="0"/>
          <w:smallCaps w:val="0"/>
          <w:color w:val="auto"/>
          <w:spacing w:val="0"/>
          <w:u w:val="none"/>
          <w:lang w:val="en-IE"/>
        </w:rPr>
      </w:pPr>
      <w:r w:rsidRPr="00500DC0">
        <w:rPr>
          <w:rStyle w:val="IntenseReference1"/>
          <w:rFonts w:cs="Arial"/>
          <w:b w:val="0"/>
          <w:bCs w:val="0"/>
          <w:smallCaps w:val="0"/>
          <w:color w:val="auto"/>
          <w:spacing w:val="0"/>
          <w:u w:val="none"/>
          <w:lang w:val="en-IE"/>
        </w:rPr>
        <w:t xml:space="preserve">MO Member provided an overview of the proposal </w:t>
      </w:r>
      <w:r>
        <w:rPr>
          <w:rStyle w:val="IntenseReference1"/>
          <w:rFonts w:cs="Arial"/>
          <w:b w:val="0"/>
          <w:bCs w:val="0"/>
          <w:smallCaps w:val="0"/>
          <w:color w:val="auto"/>
          <w:spacing w:val="0"/>
          <w:u w:val="none"/>
          <w:lang w:val="en-IE"/>
        </w:rPr>
        <w:t xml:space="preserve">advising that the proposal seeks to reflect the fact that SEM Collateral Reserve Accounts may be held in either Ireland or the UK as opposed to either in Ireland or NI as currently implied by section 6.19. </w:t>
      </w:r>
    </w:p>
    <w:p w:rsidR="00500DC0" w:rsidRDefault="00500DC0" w:rsidP="00500DC0">
      <w:pPr>
        <w:pStyle w:val="Bullet1"/>
        <w:numPr>
          <w:ilvl w:val="0"/>
          <w:numId w:val="0"/>
        </w:numPr>
        <w:jc w:val="both"/>
        <w:rPr>
          <w:rStyle w:val="IntenseReference1"/>
          <w:rFonts w:cs="Arial"/>
          <w:b w:val="0"/>
          <w:bCs w:val="0"/>
          <w:smallCaps w:val="0"/>
          <w:color w:val="auto"/>
          <w:spacing w:val="0"/>
          <w:u w:val="none"/>
          <w:lang w:val="en-IE"/>
        </w:rPr>
      </w:pPr>
      <w:r>
        <w:rPr>
          <w:rStyle w:val="IntenseReference1"/>
          <w:rFonts w:cs="Arial"/>
          <w:b w:val="0"/>
          <w:bCs w:val="0"/>
          <w:smallCaps w:val="0"/>
          <w:color w:val="auto"/>
          <w:spacing w:val="0"/>
          <w:u w:val="none"/>
          <w:lang w:val="en-IE"/>
        </w:rPr>
        <w:t>MO Member advised that this inconsistency was identified by Viridian when undertaking a legal review of Mod_02_13 Registration of Charges.</w:t>
      </w:r>
      <w:r w:rsidR="0047330F">
        <w:rPr>
          <w:rStyle w:val="IntenseReference1"/>
          <w:rFonts w:cs="Arial"/>
          <w:b w:val="0"/>
          <w:bCs w:val="0"/>
          <w:smallCaps w:val="0"/>
          <w:color w:val="auto"/>
          <w:spacing w:val="0"/>
          <w:u w:val="none"/>
          <w:lang w:val="en-IE"/>
        </w:rPr>
        <w:t xml:space="preserve"> MO Member provided a brief background on the issues advising that as Nothern Bank </w:t>
      </w:r>
      <w:r w:rsidR="00211F06">
        <w:rPr>
          <w:rStyle w:val="IntenseReference1"/>
          <w:rFonts w:cs="Arial"/>
          <w:b w:val="0"/>
          <w:bCs w:val="0"/>
          <w:smallCaps w:val="0"/>
          <w:color w:val="auto"/>
          <w:spacing w:val="0"/>
          <w:u w:val="none"/>
          <w:lang w:val="en-IE"/>
        </w:rPr>
        <w:t>is</w:t>
      </w:r>
      <w:r w:rsidR="0047330F">
        <w:rPr>
          <w:rStyle w:val="IntenseReference1"/>
          <w:rFonts w:cs="Arial"/>
          <w:b w:val="0"/>
          <w:bCs w:val="0"/>
          <w:smallCaps w:val="0"/>
          <w:color w:val="auto"/>
          <w:spacing w:val="0"/>
          <w:u w:val="none"/>
          <w:lang w:val="en-IE"/>
        </w:rPr>
        <w:t xml:space="preserve"> not independently rated</w:t>
      </w:r>
      <w:r w:rsidR="00483462">
        <w:rPr>
          <w:rStyle w:val="IntenseReference1"/>
          <w:rFonts w:cs="Arial"/>
          <w:b w:val="0"/>
          <w:bCs w:val="0"/>
          <w:smallCaps w:val="0"/>
          <w:color w:val="auto"/>
          <w:spacing w:val="0"/>
          <w:u w:val="none"/>
          <w:lang w:val="en-IE"/>
        </w:rPr>
        <w:t>,</w:t>
      </w:r>
      <w:r w:rsidR="0047330F">
        <w:rPr>
          <w:rStyle w:val="IntenseReference1"/>
          <w:rFonts w:cs="Arial"/>
          <w:b w:val="0"/>
          <w:bCs w:val="0"/>
          <w:smallCaps w:val="0"/>
          <w:color w:val="auto"/>
          <w:spacing w:val="0"/>
          <w:u w:val="none"/>
          <w:lang w:val="en-IE"/>
        </w:rPr>
        <w:t xml:space="preserve"> they were not eligible to be awarded the SEM Bank </w:t>
      </w:r>
      <w:r w:rsidR="001554B4">
        <w:rPr>
          <w:rStyle w:val="IntenseReference1"/>
          <w:rFonts w:cs="Arial"/>
          <w:b w:val="0"/>
          <w:bCs w:val="0"/>
          <w:smallCaps w:val="0"/>
          <w:color w:val="auto"/>
          <w:spacing w:val="0"/>
          <w:u w:val="none"/>
          <w:lang w:val="en-IE"/>
        </w:rPr>
        <w:t>tender under the new criteria, f</w:t>
      </w:r>
      <w:r w:rsidR="0047330F">
        <w:rPr>
          <w:rStyle w:val="IntenseReference1"/>
          <w:rFonts w:cs="Arial"/>
          <w:b w:val="0"/>
          <w:bCs w:val="0"/>
          <w:smallCaps w:val="0"/>
          <w:color w:val="auto"/>
          <w:spacing w:val="0"/>
          <w:u w:val="none"/>
          <w:lang w:val="en-IE"/>
        </w:rPr>
        <w:t xml:space="preserve">ollowing implementation of Mod_16_11 V3 Banking Eligibility Requirements. </w:t>
      </w:r>
    </w:p>
    <w:p w:rsidR="001E16DE" w:rsidRPr="00B65754" w:rsidRDefault="0047330F" w:rsidP="001E16DE">
      <w:pPr>
        <w:rPr>
          <w:rFonts w:ascii="Calibri" w:hAnsi="Calibri"/>
        </w:rPr>
      </w:pPr>
      <w:r>
        <w:rPr>
          <w:rStyle w:val="IntenseReference1"/>
          <w:rFonts w:cs="Arial"/>
          <w:b w:val="0"/>
          <w:bCs w:val="0"/>
          <w:smallCaps w:val="0"/>
          <w:color w:val="auto"/>
          <w:spacing w:val="0"/>
          <w:u w:val="none"/>
          <w:lang w:val="en-IE"/>
        </w:rPr>
        <w:t xml:space="preserve">Discussion ensued in relation to Participant concerns over the sterling bank accounts being located in London and whether the accounts could be moved back to NI. </w:t>
      </w:r>
      <w:r w:rsidR="00AF6FDC">
        <w:rPr>
          <w:rStyle w:val="IntenseReference1"/>
          <w:rFonts w:cs="Arial"/>
          <w:b w:val="0"/>
          <w:bCs w:val="0"/>
          <w:smallCaps w:val="0"/>
          <w:color w:val="auto"/>
          <w:spacing w:val="0"/>
          <w:u w:val="none"/>
          <w:lang w:val="en-IE"/>
        </w:rPr>
        <w:t xml:space="preserve">Generator Member sought clarification as to whether the definition in question states that the accounts should be in NI. </w:t>
      </w:r>
      <w:r w:rsidR="00AF6FDC" w:rsidRPr="00A4700C">
        <w:rPr>
          <w:rStyle w:val="IntenseReference1"/>
          <w:rFonts w:cs="Arial"/>
          <w:b w:val="0"/>
          <w:bCs w:val="0"/>
          <w:smallCaps w:val="0"/>
          <w:color w:val="auto"/>
          <w:spacing w:val="0"/>
          <w:u w:val="none"/>
          <w:lang w:val="en-IE"/>
        </w:rPr>
        <w:t xml:space="preserve">MO Member advised that the Currency Zone </w:t>
      </w:r>
      <w:r w:rsidR="00211F06">
        <w:rPr>
          <w:rStyle w:val="IntenseReference1"/>
          <w:rFonts w:cs="Arial"/>
          <w:b w:val="0"/>
          <w:bCs w:val="0"/>
          <w:smallCaps w:val="0"/>
          <w:color w:val="auto"/>
          <w:spacing w:val="0"/>
          <w:u w:val="none"/>
          <w:lang w:val="en-IE"/>
        </w:rPr>
        <w:t xml:space="preserve">Glossary </w:t>
      </w:r>
      <w:r w:rsidR="00AF6FDC" w:rsidRPr="00A4700C">
        <w:rPr>
          <w:rStyle w:val="IntenseReference1"/>
          <w:rFonts w:cs="Arial"/>
          <w:b w:val="0"/>
          <w:bCs w:val="0"/>
          <w:smallCaps w:val="0"/>
          <w:color w:val="auto"/>
          <w:spacing w:val="0"/>
          <w:u w:val="none"/>
          <w:lang w:val="en-IE"/>
        </w:rPr>
        <w:t xml:space="preserve">definition refers to Jurisdiction </w:t>
      </w:r>
      <w:r w:rsidR="001E16DE" w:rsidRPr="00A4700C">
        <w:rPr>
          <w:rStyle w:val="IntenseReference1"/>
          <w:rFonts w:cs="Arial"/>
          <w:b w:val="0"/>
          <w:bCs w:val="0"/>
          <w:smallCaps w:val="0"/>
          <w:color w:val="auto"/>
          <w:spacing w:val="0"/>
          <w:u w:val="none"/>
          <w:lang w:val="en-IE"/>
        </w:rPr>
        <w:t>and as the sterling SEM accounts are now held in</w:t>
      </w:r>
      <w:r w:rsidR="001E16DE">
        <w:rPr>
          <w:rStyle w:val="IntenseReference1"/>
          <w:rFonts w:cs="Arial"/>
          <w:b w:val="0"/>
          <w:bCs w:val="0"/>
          <w:smallCaps w:val="0"/>
          <w:color w:val="auto"/>
          <w:spacing w:val="0"/>
          <w:u w:val="none"/>
          <w:lang w:val="en-IE"/>
        </w:rPr>
        <w:t xml:space="preserve"> London</w:t>
      </w:r>
      <w:r w:rsidR="00A4700C">
        <w:rPr>
          <w:rStyle w:val="IntenseReference1"/>
          <w:rFonts w:cs="Arial"/>
          <w:b w:val="0"/>
          <w:bCs w:val="0"/>
          <w:smallCaps w:val="0"/>
          <w:color w:val="auto"/>
          <w:spacing w:val="0"/>
          <w:u w:val="none"/>
          <w:lang w:val="en-IE"/>
        </w:rPr>
        <w:t xml:space="preserve">, </w:t>
      </w:r>
      <w:r w:rsidR="00A4700C" w:rsidRPr="008539D9">
        <w:rPr>
          <w:lang w:val="en-IE"/>
        </w:rPr>
        <w:t>the reference to Currency Zone in Section 6.19 is now inconsis</w:t>
      </w:r>
      <w:r w:rsidR="00A4700C">
        <w:rPr>
          <w:lang w:val="en-IE"/>
        </w:rPr>
        <w:t>tent with the rest of the Code.</w:t>
      </w:r>
      <w:r w:rsidR="00A4700C">
        <w:rPr>
          <w:rStyle w:val="IntenseReference1"/>
          <w:rFonts w:cs="Arial"/>
          <w:b w:val="0"/>
          <w:bCs w:val="0"/>
          <w:smallCaps w:val="0"/>
          <w:color w:val="auto"/>
          <w:spacing w:val="0"/>
          <w:u w:val="none"/>
          <w:lang w:val="en-IE"/>
        </w:rPr>
        <w:t xml:space="preserve"> </w:t>
      </w:r>
      <w:r w:rsidR="001E16DE">
        <w:rPr>
          <w:rStyle w:val="IntenseReference1"/>
          <w:rFonts w:cs="Arial"/>
          <w:b w:val="0"/>
          <w:bCs w:val="0"/>
          <w:smallCaps w:val="0"/>
          <w:color w:val="auto"/>
          <w:spacing w:val="0"/>
          <w:u w:val="none"/>
          <w:lang w:val="en-IE"/>
        </w:rPr>
        <w:t>MO Member advised that the</w:t>
      </w:r>
      <w:r w:rsidR="001E16DE" w:rsidRPr="001E16DE">
        <w:rPr>
          <w:rStyle w:val="IntenseReference1"/>
          <w:rFonts w:cs="Arial"/>
          <w:b w:val="0"/>
          <w:bCs w:val="0"/>
          <w:smallCaps w:val="0"/>
          <w:color w:val="auto"/>
          <w:spacing w:val="0"/>
          <w:u w:val="none"/>
          <w:lang w:val="en-IE"/>
        </w:rPr>
        <w:t xml:space="preserve"> SEM Collateral Reserve bank accounts are held in London in order to meet the Code criteria requirements of acting as the SEM bank based on the outcome of the SEM Bank tender process</w:t>
      </w:r>
      <w:r w:rsidR="001E16DE">
        <w:rPr>
          <w:rStyle w:val="IntenseReference1"/>
          <w:rFonts w:cs="Arial"/>
          <w:b w:val="0"/>
          <w:bCs w:val="0"/>
          <w:smallCaps w:val="0"/>
          <w:color w:val="auto"/>
          <w:spacing w:val="0"/>
          <w:u w:val="none"/>
          <w:lang w:val="en-IE"/>
        </w:rPr>
        <w:t xml:space="preserve">. </w:t>
      </w:r>
      <w:r w:rsidR="00E84540">
        <w:rPr>
          <w:rStyle w:val="IntenseReference1"/>
          <w:rFonts w:cs="Arial"/>
          <w:b w:val="0"/>
          <w:bCs w:val="0"/>
          <w:smallCaps w:val="0"/>
          <w:color w:val="auto"/>
          <w:spacing w:val="0"/>
          <w:u w:val="none"/>
          <w:lang w:val="en-IE"/>
        </w:rPr>
        <w:t xml:space="preserve">Generator Member expressed the view of being in favour of the accounts moving back to NI. </w:t>
      </w:r>
      <w:r w:rsidR="001E16DE" w:rsidRPr="001E16DE">
        <w:rPr>
          <w:rStyle w:val="IntenseReference1"/>
          <w:rFonts w:cs="Arial"/>
          <w:b w:val="0"/>
          <w:bCs w:val="0"/>
          <w:smallCaps w:val="0"/>
          <w:color w:val="auto"/>
          <w:spacing w:val="0"/>
          <w:u w:val="none"/>
          <w:lang w:val="en-IE"/>
        </w:rPr>
        <w:t>MO Member advised that following Mod_16_11v3, which became effective in April 2013, Northern Bank no longer met the requirements to be the SEM Bank, as it is a subsidiary of Danske Bank but the obligations of the subsidiary are not covered by the parent bank and they are not independently rated. The SEM bank contract is with Danske Bank and not with Northern Bank so</w:t>
      </w:r>
      <w:r w:rsidR="006E47D7">
        <w:rPr>
          <w:rStyle w:val="IntenseReference1"/>
          <w:rFonts w:cs="Arial"/>
          <w:b w:val="0"/>
          <w:bCs w:val="0"/>
          <w:smallCaps w:val="0"/>
          <w:color w:val="auto"/>
          <w:spacing w:val="0"/>
          <w:u w:val="none"/>
          <w:lang w:val="en-IE"/>
        </w:rPr>
        <w:t>,</w:t>
      </w:r>
      <w:r w:rsidR="001E16DE" w:rsidRPr="001E16DE">
        <w:rPr>
          <w:rStyle w:val="IntenseReference1"/>
          <w:rFonts w:cs="Arial"/>
          <w:b w:val="0"/>
          <w:bCs w:val="0"/>
          <w:smallCaps w:val="0"/>
          <w:color w:val="auto"/>
          <w:spacing w:val="0"/>
          <w:u w:val="none"/>
          <w:lang w:val="en-IE"/>
        </w:rPr>
        <w:t xml:space="preserve"> even apart from the criteria, Northern Bank was not appointed as part of the SEM bank tender. Therefore SEMO could not move the accounts to Northern Bank based on the </w:t>
      </w:r>
      <w:r w:rsidR="006E47D7">
        <w:rPr>
          <w:rStyle w:val="IntenseReference1"/>
          <w:rFonts w:cs="Arial"/>
          <w:b w:val="0"/>
          <w:bCs w:val="0"/>
          <w:smallCaps w:val="0"/>
          <w:color w:val="auto"/>
          <w:spacing w:val="0"/>
          <w:u w:val="none"/>
          <w:lang w:val="en-IE"/>
        </w:rPr>
        <w:t xml:space="preserve">current </w:t>
      </w:r>
      <w:r w:rsidR="001E16DE" w:rsidRPr="001E16DE">
        <w:rPr>
          <w:rStyle w:val="IntenseReference1"/>
          <w:rFonts w:cs="Arial"/>
          <w:b w:val="0"/>
          <w:bCs w:val="0"/>
          <w:smallCaps w:val="0"/>
          <w:color w:val="auto"/>
          <w:spacing w:val="0"/>
          <w:u w:val="none"/>
          <w:lang w:val="en-IE"/>
        </w:rPr>
        <w:t>SEM bank contract.</w:t>
      </w:r>
    </w:p>
    <w:p w:rsidR="006E47D7" w:rsidRDefault="00E84540" w:rsidP="001E16DE">
      <w:pPr>
        <w:rPr>
          <w:rStyle w:val="IntenseReference1"/>
          <w:rFonts w:cs="Arial"/>
          <w:b w:val="0"/>
          <w:bCs w:val="0"/>
          <w:smallCaps w:val="0"/>
          <w:color w:val="auto"/>
          <w:spacing w:val="0"/>
          <w:u w:val="none"/>
          <w:lang w:val="en-IE"/>
        </w:rPr>
      </w:pPr>
      <w:r>
        <w:rPr>
          <w:rStyle w:val="IntenseReference1"/>
          <w:rFonts w:cs="Arial"/>
          <w:b w:val="0"/>
          <w:bCs w:val="0"/>
          <w:smallCaps w:val="0"/>
          <w:color w:val="auto"/>
          <w:spacing w:val="0"/>
          <w:u w:val="none"/>
          <w:lang w:val="en-IE"/>
        </w:rPr>
        <w:t>Supplier Member drew attention to the Deed of charge in relation to Mod_02_13 Registration of Charges advising that it would be necessary to execute the deed in English Law for the sterling accounts.</w:t>
      </w:r>
      <w:r w:rsidR="00A4700C">
        <w:rPr>
          <w:rStyle w:val="IntenseReference1"/>
          <w:rFonts w:cs="Arial"/>
          <w:b w:val="0"/>
          <w:bCs w:val="0"/>
          <w:smallCaps w:val="0"/>
          <w:color w:val="auto"/>
          <w:spacing w:val="0"/>
          <w:u w:val="none"/>
          <w:lang w:val="en-IE"/>
        </w:rPr>
        <w:t xml:space="preserve"> </w:t>
      </w:r>
    </w:p>
    <w:p w:rsidR="0047330F" w:rsidRDefault="00A4700C" w:rsidP="001E16DE">
      <w:pPr>
        <w:rPr>
          <w:rStyle w:val="IntenseReference1"/>
          <w:rFonts w:cs="Arial"/>
          <w:b w:val="0"/>
          <w:bCs w:val="0"/>
          <w:smallCaps w:val="0"/>
          <w:color w:val="auto"/>
          <w:spacing w:val="0"/>
          <w:u w:val="none"/>
          <w:lang w:val="en-IE"/>
        </w:rPr>
      </w:pPr>
      <w:r>
        <w:rPr>
          <w:rStyle w:val="IntenseReference1"/>
          <w:rFonts w:cs="Arial"/>
          <w:b w:val="0"/>
          <w:bCs w:val="0"/>
          <w:smallCaps w:val="0"/>
          <w:color w:val="auto"/>
          <w:spacing w:val="0"/>
          <w:u w:val="none"/>
          <w:lang w:val="en-IE"/>
        </w:rPr>
        <w:t xml:space="preserve">MO Member advised that a formal written response will be issued to Participants </w:t>
      </w:r>
      <w:r w:rsidR="00211F06">
        <w:rPr>
          <w:rStyle w:val="IntenseReference1"/>
          <w:rFonts w:cs="Arial"/>
          <w:b w:val="0"/>
          <w:bCs w:val="0"/>
          <w:smallCaps w:val="0"/>
          <w:color w:val="auto"/>
          <w:spacing w:val="0"/>
          <w:u w:val="none"/>
          <w:lang w:val="en-IE"/>
        </w:rPr>
        <w:t>in answer to</w:t>
      </w:r>
      <w:r>
        <w:rPr>
          <w:rStyle w:val="IntenseReference1"/>
          <w:rFonts w:cs="Arial"/>
          <w:b w:val="0"/>
          <w:bCs w:val="0"/>
          <w:smallCaps w:val="0"/>
          <w:color w:val="auto"/>
          <w:spacing w:val="0"/>
          <w:u w:val="none"/>
          <w:lang w:val="en-IE"/>
        </w:rPr>
        <w:t xml:space="preserve"> the comments submitted by Viridian. </w:t>
      </w:r>
    </w:p>
    <w:p w:rsidR="00A4700C" w:rsidRPr="001E16DE" w:rsidRDefault="00A4700C" w:rsidP="001E16DE">
      <w:pPr>
        <w:rPr>
          <w:rStyle w:val="IntenseReference1"/>
          <w:rFonts w:ascii="Calibri" w:hAnsi="Calibri"/>
          <w:b w:val="0"/>
          <w:bCs w:val="0"/>
          <w:smallCaps w:val="0"/>
          <w:color w:val="auto"/>
          <w:spacing w:val="0"/>
          <w:u w:val="none"/>
        </w:rPr>
      </w:pPr>
    </w:p>
    <w:p w:rsidR="00CE6FB0" w:rsidRPr="003D515B" w:rsidRDefault="00CE6FB0" w:rsidP="00CE6FB0">
      <w:pPr>
        <w:pStyle w:val="LightShading-Accent21"/>
        <w:spacing w:line="360" w:lineRule="auto"/>
        <w:jc w:val="both"/>
      </w:pPr>
      <w:r w:rsidRPr="003D515B">
        <w:t xml:space="preserve">Actions </w:t>
      </w:r>
    </w:p>
    <w:p w:rsidR="00CE6FB0" w:rsidRPr="003D515B" w:rsidRDefault="003D515B" w:rsidP="00CE6FB0">
      <w:pPr>
        <w:numPr>
          <w:ilvl w:val="0"/>
          <w:numId w:val="5"/>
        </w:numPr>
        <w:jc w:val="both"/>
      </w:pPr>
      <w:r w:rsidRPr="003D515B">
        <w:t xml:space="preserve">SEMO Finance to revert to Committee with written response to questions regarding the SEM Bank and location of SEM Collateral Reserve Accounts- </w:t>
      </w:r>
      <w:r w:rsidRPr="003D515B">
        <w:rPr>
          <w:b/>
          <w:bCs/>
        </w:rPr>
        <w:t>Open</w:t>
      </w:r>
    </w:p>
    <w:p w:rsidR="003B3227" w:rsidRPr="003D515B" w:rsidRDefault="003B3227" w:rsidP="003B3227">
      <w:pPr>
        <w:pStyle w:val="LightShading-Accent21"/>
        <w:spacing w:line="360" w:lineRule="auto"/>
        <w:jc w:val="both"/>
      </w:pPr>
      <w:r w:rsidRPr="003D515B">
        <w:t>Decision</w:t>
      </w:r>
    </w:p>
    <w:p w:rsidR="001D615F" w:rsidRPr="003D515B" w:rsidRDefault="003B3227" w:rsidP="001D615F">
      <w:pPr>
        <w:pStyle w:val="Bullet1"/>
        <w:numPr>
          <w:ilvl w:val="0"/>
          <w:numId w:val="5"/>
        </w:numPr>
        <w:spacing w:line="360" w:lineRule="auto"/>
        <w:jc w:val="both"/>
      </w:pPr>
      <w:r w:rsidRPr="003D515B">
        <w:t xml:space="preserve">The proposal was </w:t>
      </w:r>
      <w:r w:rsidR="003D515B" w:rsidRPr="003D515B">
        <w:rPr>
          <w:lang w:val="en-IE"/>
        </w:rPr>
        <w:t>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275D5B" w:rsidRPr="00176816" w:rsidTr="00275D5B">
        <w:trPr>
          <w:jc w:val="center"/>
        </w:trPr>
        <w:tc>
          <w:tcPr>
            <w:tcW w:w="5000" w:type="pct"/>
            <w:shd w:val="clear" w:color="auto" w:fill="548DD4"/>
          </w:tcPr>
          <w:p w:rsidR="00275D5B" w:rsidRPr="00176816" w:rsidRDefault="003D515B" w:rsidP="00275D5B">
            <w:pPr>
              <w:spacing w:before="40" w:after="40"/>
              <w:jc w:val="center"/>
              <w:rPr>
                <w:sz w:val="16"/>
                <w:szCs w:val="16"/>
                <w:highlight w:val="yellow"/>
              </w:rPr>
            </w:pPr>
            <w:r>
              <w:rPr>
                <w:b/>
                <w:color w:val="FFFFFF"/>
              </w:rPr>
              <w:t>Deferred</w:t>
            </w:r>
          </w:p>
        </w:tc>
      </w:tr>
    </w:tbl>
    <w:p w:rsidR="00275D5B" w:rsidRPr="00176816" w:rsidRDefault="00275D5B" w:rsidP="00275D5B">
      <w:pPr>
        <w:pStyle w:val="Bullet1"/>
        <w:numPr>
          <w:ilvl w:val="0"/>
          <w:numId w:val="0"/>
        </w:numPr>
        <w:spacing w:line="360" w:lineRule="auto"/>
        <w:ind w:left="1080"/>
        <w:jc w:val="both"/>
        <w:rPr>
          <w:rStyle w:val="IntenseReference1"/>
          <w:b w:val="0"/>
          <w:bCs w:val="0"/>
          <w:smallCaps w:val="0"/>
          <w:color w:val="auto"/>
          <w:spacing w:val="0"/>
          <w:highlight w:val="yellow"/>
          <w:u w:val="none"/>
        </w:rPr>
      </w:pPr>
    </w:p>
    <w:p w:rsidR="001D615F" w:rsidRPr="00431720" w:rsidRDefault="001D615F" w:rsidP="00E62146">
      <w:pPr>
        <w:pStyle w:val="Bullet1"/>
        <w:numPr>
          <w:ilvl w:val="0"/>
          <w:numId w:val="0"/>
        </w:numPr>
        <w:ind w:left="1080"/>
        <w:jc w:val="both"/>
        <w:rPr>
          <w:rStyle w:val="IntenseReference1"/>
          <w:rFonts w:cs="Arial"/>
          <w:b w:val="0"/>
          <w:bCs w:val="0"/>
          <w:smallCaps w:val="0"/>
          <w:color w:val="auto"/>
          <w:spacing w:val="0"/>
          <w:u w:val="none"/>
          <w:lang w:val="en-IE"/>
        </w:rPr>
      </w:pPr>
    </w:p>
    <w:p w:rsidR="00810ABA" w:rsidRPr="00431720" w:rsidRDefault="00810ABA" w:rsidP="00045F70">
      <w:pPr>
        <w:pStyle w:val="Heading1"/>
        <w:pageBreakBefore w:val="0"/>
        <w:numPr>
          <w:ilvl w:val="0"/>
          <w:numId w:val="9"/>
        </w:numPr>
      </w:pPr>
      <w:bookmarkStart w:id="10" w:name="_Toc406084438"/>
      <w:r w:rsidRPr="00431720">
        <w:rPr>
          <w:lang w:val="en-IE"/>
        </w:rPr>
        <w:t>NEW</w:t>
      </w:r>
      <w:r w:rsidRPr="00431720">
        <w:t xml:space="preserve"> Modification Proposals</w:t>
      </w:r>
      <w:bookmarkEnd w:id="10"/>
    </w:p>
    <w:p w:rsidR="0038227F" w:rsidRDefault="0038227F" w:rsidP="00E62146">
      <w:pPr>
        <w:pStyle w:val="Bullet1"/>
        <w:numPr>
          <w:ilvl w:val="0"/>
          <w:numId w:val="0"/>
        </w:numPr>
        <w:ind w:left="1080"/>
        <w:jc w:val="both"/>
        <w:rPr>
          <w:rStyle w:val="IntenseReference1"/>
          <w:rFonts w:cs="Arial"/>
          <w:b w:val="0"/>
          <w:bCs w:val="0"/>
          <w:smallCaps w:val="0"/>
          <w:color w:val="auto"/>
          <w:spacing w:val="0"/>
          <w:highlight w:val="yellow"/>
          <w:u w:val="none"/>
          <w:lang w:val="en-IE"/>
        </w:rPr>
      </w:pPr>
    </w:p>
    <w:p w:rsidR="00431720" w:rsidRPr="00241EDD" w:rsidRDefault="00431720" w:rsidP="00431720">
      <w:pPr>
        <w:pStyle w:val="Heading2"/>
        <w:numPr>
          <w:ilvl w:val="0"/>
          <w:numId w:val="0"/>
        </w:numPr>
        <w:jc w:val="both"/>
        <w:rPr>
          <w:rStyle w:val="IntenseReference1"/>
          <w:color w:val="1F497D"/>
          <w:u w:val="none"/>
          <w:lang w:val="en-IE"/>
        </w:rPr>
      </w:pPr>
      <w:bookmarkStart w:id="11" w:name="_Toc406084439"/>
      <w:r>
        <w:rPr>
          <w:rStyle w:val="IntenseReference1"/>
          <w:color w:val="1F497D"/>
          <w:u w:val="none"/>
          <w:lang w:val="en-IE"/>
        </w:rPr>
        <w:lastRenderedPageBreak/>
        <w:t>I</w:t>
      </w:r>
      <w:r w:rsidR="006C41EA">
        <w:rPr>
          <w:rStyle w:val="IntenseReference1"/>
          <w:color w:val="1F497D"/>
          <w:u w:val="none"/>
          <w:lang w:val="en-IE"/>
        </w:rPr>
        <w:t>.</w:t>
      </w:r>
      <w:r>
        <w:rPr>
          <w:rStyle w:val="IntenseReference1"/>
          <w:color w:val="1F497D"/>
          <w:u w:val="none"/>
          <w:lang w:val="en-IE"/>
        </w:rPr>
        <w:tab/>
      </w:r>
      <w:r w:rsidRPr="00241EDD">
        <w:rPr>
          <w:rStyle w:val="IntenseReference1"/>
          <w:color w:val="1F497D"/>
          <w:u w:val="none"/>
        </w:rPr>
        <w:t>Mod_1</w:t>
      </w:r>
      <w:r w:rsidRPr="00241EDD">
        <w:rPr>
          <w:rStyle w:val="IntenseReference1"/>
          <w:color w:val="1F497D"/>
          <w:u w:val="none"/>
          <w:lang w:val="en-IE"/>
        </w:rPr>
        <w:t>3_14 DSUs as Price Takers</w:t>
      </w:r>
      <w:bookmarkEnd w:id="11"/>
    </w:p>
    <w:p w:rsidR="00431720" w:rsidRPr="00241EDD" w:rsidRDefault="006C41EA" w:rsidP="006C41EA">
      <w:pPr>
        <w:jc w:val="both"/>
        <w:rPr>
          <w:i/>
        </w:rPr>
      </w:pPr>
      <w:r w:rsidRPr="00241EDD">
        <w:rPr>
          <w:i/>
        </w:rPr>
        <w:t>Proposer: Activation Energy</w:t>
      </w:r>
      <w:r w:rsidR="000F72A2">
        <w:rPr>
          <w:i/>
        </w:rPr>
        <w:t xml:space="preserve"> (Enernoc)</w:t>
      </w:r>
    </w:p>
    <w:p w:rsidR="00546B95" w:rsidRDefault="00241EDD" w:rsidP="00546B95">
      <w:pPr>
        <w:rPr>
          <w:lang w:eastAsia="en-GB"/>
        </w:rPr>
      </w:pPr>
      <w:r w:rsidRPr="00241EDD">
        <w:rPr>
          <w:lang w:eastAsia="en-GB"/>
        </w:rPr>
        <w:t>Proposer presented slides on the modification</w:t>
      </w:r>
      <w:r w:rsidR="00D63CF5">
        <w:rPr>
          <w:lang w:eastAsia="en-GB"/>
        </w:rPr>
        <w:t xml:space="preserve"> advising that activation Energy recently joined Enernoc, a global demand response</w:t>
      </w:r>
      <w:r w:rsidR="002D6CF3">
        <w:rPr>
          <w:lang w:eastAsia="en-GB"/>
        </w:rPr>
        <w:t xml:space="preserve"> and software </w:t>
      </w:r>
      <w:r w:rsidR="00D63CF5">
        <w:rPr>
          <w:lang w:eastAsia="en-GB"/>
        </w:rPr>
        <w:t>provider</w:t>
      </w:r>
      <w:r w:rsidRPr="00241EDD">
        <w:rPr>
          <w:lang w:eastAsia="en-GB"/>
        </w:rPr>
        <w:t>.</w:t>
      </w:r>
      <w:r w:rsidR="008223D4">
        <w:rPr>
          <w:lang w:eastAsia="en-GB"/>
        </w:rPr>
        <w:t xml:space="preserve"> Proposer provided background to the modification advising that </w:t>
      </w:r>
      <w:r w:rsidR="008223D4" w:rsidRPr="008223D4">
        <w:rPr>
          <w:lang w:eastAsia="en-GB"/>
        </w:rPr>
        <w:t>Demand Side Units are currently prohibited from being registered as predictable price takers.</w:t>
      </w:r>
      <w:r w:rsidR="00546B95">
        <w:rPr>
          <w:lang w:eastAsia="en-GB"/>
        </w:rPr>
        <w:t xml:space="preserve"> Proposer advised that the business is built on the provision of capacity and capacity payments</w:t>
      </w:r>
      <w:r w:rsidR="006E47D7">
        <w:rPr>
          <w:lang w:eastAsia="en-GB"/>
        </w:rPr>
        <w:t>;</w:t>
      </w:r>
      <w:r w:rsidR="00546B95">
        <w:rPr>
          <w:lang w:eastAsia="en-GB"/>
        </w:rPr>
        <w:t xml:space="preserve"> DSU</w:t>
      </w:r>
      <w:r w:rsidR="006E47D7">
        <w:rPr>
          <w:lang w:eastAsia="en-GB"/>
        </w:rPr>
        <w:t>s,</w:t>
      </w:r>
      <w:r w:rsidR="00546B95">
        <w:rPr>
          <w:lang w:eastAsia="en-GB"/>
        </w:rPr>
        <w:t xml:space="preserve"> which are scheduled by the market, do not </w:t>
      </w:r>
      <w:r w:rsidR="00EC3363">
        <w:rPr>
          <w:lang w:eastAsia="en-GB"/>
        </w:rPr>
        <w:t xml:space="preserve">rely on the energy market </w:t>
      </w:r>
      <w:r w:rsidR="00546B95">
        <w:rPr>
          <w:lang w:eastAsia="en-GB"/>
        </w:rPr>
        <w:t>payments. Proposer advised that autonomous generators run their CHPs 24/7 as they see fit, and don’t enter the market for 2 reasons,</w:t>
      </w:r>
      <w:r w:rsidR="006E47D7">
        <w:rPr>
          <w:lang w:eastAsia="en-GB"/>
        </w:rPr>
        <w:t xml:space="preserve"> first</w:t>
      </w:r>
      <w:r w:rsidR="00211F06">
        <w:rPr>
          <w:lang w:eastAsia="en-GB"/>
        </w:rPr>
        <w:t>ly it is</w:t>
      </w:r>
      <w:r w:rsidR="00546B95">
        <w:rPr>
          <w:lang w:eastAsia="en-GB"/>
        </w:rPr>
        <w:t xml:space="preserve"> not efficient for a unit that size to take part in the market, </w:t>
      </w:r>
      <w:r w:rsidR="006E47D7">
        <w:rPr>
          <w:lang w:eastAsia="en-GB"/>
        </w:rPr>
        <w:t>second</w:t>
      </w:r>
      <w:r w:rsidR="00211F06">
        <w:rPr>
          <w:lang w:eastAsia="en-GB"/>
        </w:rPr>
        <w:t>ly</w:t>
      </w:r>
      <w:r w:rsidR="00546B95">
        <w:rPr>
          <w:lang w:eastAsia="en-GB"/>
        </w:rPr>
        <w:t xml:space="preserve"> the current provisions within the Code, do not allow for the units to register within the market as high efficiency CHPs, even though the units provide greater flexibility to the TSO.</w:t>
      </w:r>
    </w:p>
    <w:p w:rsidR="00546B95" w:rsidRDefault="008223D4" w:rsidP="00241EDD">
      <w:pPr>
        <w:rPr>
          <w:lang w:eastAsia="en-GB"/>
        </w:rPr>
      </w:pPr>
      <w:r w:rsidRPr="008223D4">
        <w:rPr>
          <w:lang w:eastAsia="en-GB"/>
        </w:rPr>
        <w:t xml:space="preserve"> Some </w:t>
      </w:r>
      <w:r w:rsidR="006E47D7">
        <w:rPr>
          <w:lang w:eastAsia="en-GB"/>
        </w:rPr>
        <w:t xml:space="preserve">existing </w:t>
      </w:r>
      <w:r w:rsidRPr="008223D4">
        <w:rPr>
          <w:lang w:eastAsia="en-GB"/>
        </w:rPr>
        <w:t>embedded generators</w:t>
      </w:r>
      <w:r w:rsidR="006E47D7">
        <w:rPr>
          <w:lang w:eastAsia="en-GB"/>
        </w:rPr>
        <w:t>,</w:t>
      </w:r>
      <w:r w:rsidRPr="008223D4">
        <w:rPr>
          <w:lang w:eastAsia="en-GB"/>
        </w:rPr>
        <w:t xml:space="preserve"> which can be classified under priority dispatch</w:t>
      </w:r>
      <w:r w:rsidR="007410A8">
        <w:rPr>
          <w:lang w:eastAsia="en-GB"/>
        </w:rPr>
        <w:t>,</w:t>
      </w:r>
      <w:r w:rsidRPr="008223D4">
        <w:rPr>
          <w:lang w:eastAsia="en-GB"/>
        </w:rPr>
        <w:t xml:space="preserve"> would enter the market if they could be aggregated as a Demand Side Unit. </w:t>
      </w:r>
      <w:r w:rsidR="00305A35">
        <w:rPr>
          <w:lang w:eastAsia="en-GB"/>
        </w:rPr>
        <w:t>DSU Member drew reference to the T&amp;SC clause 5.154 which states that “Each Demand Side Unit shall be classified as a Predictable Price Maker Generator Unit”.</w:t>
      </w:r>
      <w:r w:rsidR="002D6CF3">
        <w:rPr>
          <w:lang w:eastAsia="en-GB"/>
        </w:rPr>
        <w:t xml:space="preserve"> </w:t>
      </w:r>
      <w:r w:rsidR="00066B5B">
        <w:rPr>
          <w:lang w:eastAsia="en-GB"/>
        </w:rPr>
        <w:t xml:space="preserve">Proposer advised that this clause prevents classification of small units being registered as Predictable Price </w:t>
      </w:r>
      <w:r w:rsidR="00EC3363">
        <w:rPr>
          <w:lang w:eastAsia="en-GB"/>
        </w:rPr>
        <w:t>T</w:t>
      </w:r>
      <w:r w:rsidR="00066B5B">
        <w:rPr>
          <w:lang w:eastAsia="en-GB"/>
        </w:rPr>
        <w:t>akers and that Enernoc do not see any reason for this limitation within the T&amp;SC.</w:t>
      </w:r>
      <w:r w:rsidR="00F66ADB">
        <w:rPr>
          <w:lang w:eastAsia="en-GB"/>
        </w:rPr>
        <w:t xml:space="preserve"> </w:t>
      </w:r>
      <w:r w:rsidR="00546B95">
        <w:rPr>
          <w:lang w:eastAsia="en-GB"/>
        </w:rPr>
        <w:t xml:space="preserve">Proposer advised Enernoc would like to see the units considered as high efficiency CHP however are prevented from doing so as the Code stipulates the units must be a </w:t>
      </w:r>
      <w:r w:rsidR="006E47D7">
        <w:rPr>
          <w:lang w:eastAsia="en-GB"/>
        </w:rPr>
        <w:t>P</w:t>
      </w:r>
      <w:r w:rsidR="00546B95">
        <w:rPr>
          <w:lang w:eastAsia="en-GB"/>
        </w:rPr>
        <w:t xml:space="preserve">redictable </w:t>
      </w:r>
      <w:r w:rsidR="006E47D7">
        <w:rPr>
          <w:lang w:eastAsia="en-GB"/>
        </w:rPr>
        <w:t>P</w:t>
      </w:r>
      <w:r w:rsidR="00546B95">
        <w:rPr>
          <w:lang w:eastAsia="en-GB"/>
        </w:rPr>
        <w:t xml:space="preserve">rice </w:t>
      </w:r>
      <w:r w:rsidR="006E47D7">
        <w:rPr>
          <w:lang w:eastAsia="en-GB"/>
        </w:rPr>
        <w:t>M</w:t>
      </w:r>
      <w:r w:rsidR="00546B95">
        <w:rPr>
          <w:lang w:eastAsia="en-GB"/>
        </w:rPr>
        <w:t xml:space="preserve">aker. </w:t>
      </w:r>
    </w:p>
    <w:p w:rsidR="008223D4" w:rsidRDefault="00F66ADB" w:rsidP="00241EDD">
      <w:pPr>
        <w:rPr>
          <w:lang w:eastAsia="en-GB"/>
        </w:rPr>
      </w:pPr>
      <w:r>
        <w:rPr>
          <w:lang w:eastAsia="en-GB"/>
        </w:rPr>
        <w:t xml:space="preserve">Supplier </w:t>
      </w:r>
      <w:r w:rsidRPr="00546B95">
        <w:rPr>
          <w:lang w:eastAsia="en-GB"/>
        </w:rPr>
        <w:t xml:space="preserve">Member queried as to whether DSUs and </w:t>
      </w:r>
      <w:r w:rsidR="00546B95" w:rsidRPr="00546B95">
        <w:rPr>
          <w:lang w:eastAsia="en-GB"/>
        </w:rPr>
        <w:t>A</w:t>
      </w:r>
      <w:r w:rsidRPr="00546B95">
        <w:rPr>
          <w:lang w:eastAsia="en-GB"/>
        </w:rPr>
        <w:t>GUs have different metering arrangements. Proposer advised that</w:t>
      </w:r>
      <w:r w:rsidR="00546B95" w:rsidRPr="00546B95">
        <w:rPr>
          <w:lang w:eastAsia="en-GB"/>
        </w:rPr>
        <w:t xml:space="preserve"> generators </w:t>
      </w:r>
      <w:r w:rsidRPr="00546B95">
        <w:rPr>
          <w:lang w:eastAsia="en-GB"/>
        </w:rPr>
        <w:t xml:space="preserve">in an AGU </w:t>
      </w:r>
      <w:r w:rsidR="00546B95" w:rsidRPr="00546B95">
        <w:rPr>
          <w:lang w:eastAsia="en-GB"/>
        </w:rPr>
        <w:t xml:space="preserve">on customer sites </w:t>
      </w:r>
      <w:r w:rsidRPr="00546B95">
        <w:rPr>
          <w:lang w:eastAsia="en-GB"/>
        </w:rPr>
        <w:t xml:space="preserve">have their own retail meter </w:t>
      </w:r>
      <w:r w:rsidR="00546B95" w:rsidRPr="00546B95">
        <w:rPr>
          <w:lang w:eastAsia="en-GB"/>
        </w:rPr>
        <w:t xml:space="preserve">as they are their own electrical unit </w:t>
      </w:r>
      <w:r w:rsidRPr="00546B95">
        <w:rPr>
          <w:lang w:eastAsia="en-GB"/>
        </w:rPr>
        <w:t xml:space="preserve">and that they must pay wires charges even though they are </w:t>
      </w:r>
      <w:r w:rsidR="00546B95">
        <w:rPr>
          <w:lang w:eastAsia="en-GB"/>
        </w:rPr>
        <w:t xml:space="preserve">only </w:t>
      </w:r>
      <w:r w:rsidRPr="00546B95">
        <w:rPr>
          <w:lang w:eastAsia="en-GB"/>
        </w:rPr>
        <w:t xml:space="preserve">generating </w:t>
      </w:r>
      <w:r w:rsidR="00546B95">
        <w:rPr>
          <w:lang w:eastAsia="en-GB"/>
        </w:rPr>
        <w:t xml:space="preserve">electricity </w:t>
      </w:r>
      <w:r w:rsidRPr="00546B95">
        <w:rPr>
          <w:lang w:eastAsia="en-GB"/>
        </w:rPr>
        <w:t>for co</w:t>
      </w:r>
      <w:r w:rsidR="00546B95">
        <w:rPr>
          <w:lang w:eastAsia="en-GB"/>
        </w:rPr>
        <w:t xml:space="preserve">nsumption within their own site. </w:t>
      </w:r>
    </w:p>
    <w:p w:rsidR="00F625DD" w:rsidRPr="00165257" w:rsidRDefault="00F625DD" w:rsidP="00241EDD">
      <w:pPr>
        <w:rPr>
          <w:lang w:eastAsia="en-GB"/>
        </w:rPr>
      </w:pPr>
      <w:r>
        <w:rPr>
          <w:lang w:eastAsia="en-GB"/>
        </w:rPr>
        <w:t xml:space="preserve">Supplier Alternate queried as to whether the units would be included in the current market in the day ahead </w:t>
      </w:r>
      <w:r w:rsidR="00546B95">
        <w:rPr>
          <w:lang w:eastAsia="en-GB"/>
        </w:rPr>
        <w:t>market schedule in D-1</w:t>
      </w:r>
      <w:r>
        <w:rPr>
          <w:lang w:eastAsia="en-GB"/>
        </w:rPr>
        <w:t xml:space="preserve">, if they are aggregated as </w:t>
      </w:r>
      <w:r w:rsidR="00546B95">
        <w:rPr>
          <w:lang w:eastAsia="en-GB"/>
        </w:rPr>
        <w:t xml:space="preserve">predictable </w:t>
      </w:r>
      <w:r>
        <w:rPr>
          <w:lang w:eastAsia="en-GB"/>
        </w:rPr>
        <w:t>price takers</w:t>
      </w:r>
      <w:r w:rsidR="00546B95">
        <w:rPr>
          <w:lang w:eastAsia="en-GB"/>
        </w:rPr>
        <w:t>, or would it be envisaged for pure real time use by the TSO</w:t>
      </w:r>
      <w:r w:rsidRPr="00546B95">
        <w:rPr>
          <w:lang w:eastAsia="en-GB"/>
        </w:rPr>
        <w:t>.</w:t>
      </w:r>
      <w:r w:rsidR="00C948FA" w:rsidRPr="00546B95">
        <w:rPr>
          <w:lang w:eastAsia="en-GB"/>
        </w:rPr>
        <w:t xml:space="preserve"> Proposer advised that the DSU bids in PQ Pairs the same as GUs</w:t>
      </w:r>
      <w:r w:rsidR="00FA031F" w:rsidRPr="00546B95">
        <w:rPr>
          <w:lang w:eastAsia="en-GB"/>
        </w:rPr>
        <w:t xml:space="preserve">, </w:t>
      </w:r>
      <w:r w:rsidR="00FA031F">
        <w:rPr>
          <w:lang w:eastAsia="en-GB"/>
        </w:rPr>
        <w:t>high</w:t>
      </w:r>
      <w:r w:rsidR="00494A7E">
        <w:rPr>
          <w:lang w:eastAsia="en-GB"/>
        </w:rPr>
        <w:t xml:space="preserve"> e</w:t>
      </w:r>
      <w:r w:rsidR="00546B95" w:rsidRPr="00546B95">
        <w:rPr>
          <w:lang w:eastAsia="en-GB"/>
        </w:rPr>
        <w:t>fficiency CHPs would likely run quite frequently and be available to the TSO to curtail.</w:t>
      </w:r>
      <w:r w:rsidR="00546B95">
        <w:rPr>
          <w:lang w:eastAsia="en-GB"/>
        </w:rPr>
        <w:t xml:space="preserve"> Proposer </w:t>
      </w:r>
      <w:r w:rsidR="00FA031F">
        <w:rPr>
          <w:lang w:eastAsia="en-GB"/>
        </w:rPr>
        <w:t xml:space="preserve">clarified </w:t>
      </w:r>
      <w:r w:rsidR="00FA031F" w:rsidRPr="00165257">
        <w:rPr>
          <w:lang w:eastAsia="en-GB"/>
        </w:rPr>
        <w:t>that</w:t>
      </w:r>
      <w:r w:rsidR="00546B95" w:rsidRPr="00165257">
        <w:rPr>
          <w:lang w:eastAsia="en-GB"/>
        </w:rPr>
        <w:t xml:space="preserve"> the units are already in existence and are </w:t>
      </w:r>
      <w:r w:rsidR="006773B9" w:rsidRPr="00165257">
        <w:rPr>
          <w:lang w:eastAsia="en-GB"/>
        </w:rPr>
        <w:t>would run continuously unless</w:t>
      </w:r>
      <w:r w:rsidR="00546B95" w:rsidRPr="00165257">
        <w:rPr>
          <w:lang w:eastAsia="en-GB"/>
        </w:rPr>
        <w:t xml:space="preserve"> curtailed.</w:t>
      </w:r>
    </w:p>
    <w:p w:rsidR="00C03C3E" w:rsidRDefault="00C948FA" w:rsidP="00241EDD">
      <w:pPr>
        <w:rPr>
          <w:lang w:eastAsia="en-GB"/>
        </w:rPr>
      </w:pPr>
      <w:r w:rsidRPr="00165257">
        <w:rPr>
          <w:lang w:eastAsia="en-GB"/>
        </w:rPr>
        <w:t>Discussion ensued around how the units would be purely high efficiency CHPs.</w:t>
      </w:r>
      <w:r w:rsidR="00B60EA1" w:rsidRPr="00165257">
        <w:rPr>
          <w:lang w:eastAsia="en-GB"/>
        </w:rPr>
        <w:t xml:space="preserve"> </w:t>
      </w:r>
      <w:r w:rsidR="006E47D7">
        <w:rPr>
          <w:lang w:eastAsia="en-GB"/>
        </w:rPr>
        <w:t xml:space="preserve">Proposer advised that high efficiency CHP are subjected to a rigorous testing and they can be individually distinguished by other demand type sites. </w:t>
      </w:r>
      <w:r w:rsidR="00211F06">
        <w:rPr>
          <w:lang w:eastAsia="en-GB"/>
        </w:rPr>
        <w:t xml:space="preserve">Proposer expressed the view that they could be either pure aggregated high-efficiency CHPs or a combination of CHPs with other sites. </w:t>
      </w:r>
      <w:r w:rsidR="006E47D7">
        <w:rPr>
          <w:lang w:eastAsia="en-GB"/>
        </w:rPr>
        <w:t xml:space="preserve">All this is included into the license approved by RAs. </w:t>
      </w:r>
      <w:r w:rsidR="00211F06">
        <w:rPr>
          <w:lang w:eastAsia="en-GB"/>
        </w:rPr>
        <w:t>MO Member questioned how a unit that was not purely an aggregation of high-efficiency CHPs could be awarded priority dispatch.</w:t>
      </w:r>
    </w:p>
    <w:p w:rsidR="009B44F3" w:rsidRDefault="00C948FA" w:rsidP="00C03C3E">
      <w:pPr>
        <w:rPr>
          <w:lang w:eastAsia="en-GB"/>
        </w:rPr>
      </w:pPr>
      <w:r>
        <w:rPr>
          <w:lang w:eastAsia="en-GB"/>
        </w:rPr>
        <w:t xml:space="preserve">Observer queried as to what </w:t>
      </w:r>
      <w:r w:rsidR="009B44F3">
        <w:rPr>
          <w:lang w:eastAsia="en-GB"/>
        </w:rPr>
        <w:t xml:space="preserve">consideration to </w:t>
      </w:r>
      <w:r>
        <w:rPr>
          <w:lang w:eastAsia="en-GB"/>
        </w:rPr>
        <w:t>curtailments implications for scheduled demand</w:t>
      </w:r>
      <w:r w:rsidR="009B44F3">
        <w:rPr>
          <w:lang w:eastAsia="en-GB"/>
        </w:rPr>
        <w:t>,</w:t>
      </w:r>
      <w:r>
        <w:rPr>
          <w:lang w:eastAsia="en-GB"/>
        </w:rPr>
        <w:t xml:space="preserve"> </w:t>
      </w:r>
      <w:r w:rsidR="009B44F3">
        <w:rPr>
          <w:lang w:eastAsia="en-GB"/>
        </w:rPr>
        <w:t xml:space="preserve">have </w:t>
      </w:r>
      <w:r>
        <w:rPr>
          <w:lang w:eastAsia="en-GB"/>
        </w:rPr>
        <w:t xml:space="preserve">been given. </w:t>
      </w:r>
      <w:r w:rsidR="009B44F3">
        <w:rPr>
          <w:lang w:eastAsia="en-GB"/>
        </w:rPr>
        <w:t>Proposer advised that this has not been considered as an issue.</w:t>
      </w:r>
    </w:p>
    <w:p w:rsidR="009B44F3" w:rsidRDefault="00C03C3E" w:rsidP="00241EDD">
      <w:pPr>
        <w:rPr>
          <w:lang w:eastAsia="en-GB"/>
        </w:rPr>
      </w:pPr>
      <w:r w:rsidRPr="00B60EA1">
        <w:rPr>
          <w:lang w:eastAsia="en-GB"/>
        </w:rPr>
        <w:t>Proposer advised that as it stands currently, if the unit is a DSU, it cannot be RA certified as a CHP</w:t>
      </w:r>
      <w:r w:rsidR="009B44F3">
        <w:rPr>
          <w:lang w:eastAsia="en-GB"/>
        </w:rPr>
        <w:t xml:space="preserve">, even if </w:t>
      </w:r>
      <w:r w:rsidR="009B44F3" w:rsidRPr="00165257">
        <w:rPr>
          <w:lang w:eastAsia="en-GB"/>
        </w:rPr>
        <w:t>it is composed solely of CHP units</w:t>
      </w:r>
      <w:r w:rsidRPr="00165257">
        <w:rPr>
          <w:lang w:eastAsia="en-GB"/>
        </w:rPr>
        <w:t>.</w:t>
      </w:r>
      <w:r w:rsidR="00165257">
        <w:rPr>
          <w:lang w:eastAsia="en-GB"/>
        </w:rPr>
        <w:t xml:space="preserve"> </w:t>
      </w:r>
      <w:r w:rsidR="000D6822" w:rsidRPr="00165257">
        <w:rPr>
          <w:lang w:eastAsia="en-GB"/>
        </w:rPr>
        <w:t>Proposer advised that a variable PMG is not being proposed.</w:t>
      </w:r>
      <w:r w:rsidR="000D6822">
        <w:rPr>
          <w:lang w:eastAsia="en-GB"/>
        </w:rPr>
        <w:t xml:space="preserve"> </w:t>
      </w:r>
    </w:p>
    <w:p w:rsidR="00571495" w:rsidRDefault="00571495" w:rsidP="00571495">
      <w:pPr>
        <w:rPr>
          <w:lang w:eastAsia="en-GB"/>
        </w:rPr>
      </w:pPr>
      <w:r>
        <w:rPr>
          <w:lang w:eastAsia="en-GB"/>
        </w:rPr>
        <w:t xml:space="preserve">Proposer queried as to why DSUs are treated differently to all other price takers CHP. </w:t>
      </w:r>
    </w:p>
    <w:p w:rsidR="009B44F3" w:rsidRDefault="000D6822" w:rsidP="00241EDD">
      <w:pPr>
        <w:rPr>
          <w:lang w:eastAsia="en-GB"/>
        </w:rPr>
      </w:pPr>
      <w:r>
        <w:rPr>
          <w:lang w:eastAsia="en-GB"/>
        </w:rPr>
        <w:t xml:space="preserve">Observer drew attention to the dispatch element of the discussion. </w:t>
      </w:r>
      <w:r w:rsidR="00F27716">
        <w:rPr>
          <w:lang w:eastAsia="en-GB"/>
        </w:rPr>
        <w:t>Observer identified a possible unintended consequence being introduced to the market</w:t>
      </w:r>
      <w:r w:rsidR="00976205">
        <w:rPr>
          <w:lang w:eastAsia="en-GB"/>
        </w:rPr>
        <w:t xml:space="preserve"> schedule </w:t>
      </w:r>
      <w:r w:rsidR="00F27716">
        <w:rPr>
          <w:lang w:eastAsia="en-GB"/>
        </w:rPr>
        <w:t xml:space="preserve">if the proposal was to be implemented. </w:t>
      </w:r>
      <w:r w:rsidR="00EC3363">
        <w:rPr>
          <w:lang w:eastAsia="en-GB"/>
        </w:rPr>
        <w:t>In addition further analysis would be required to verify that rules for DSUs registered as PPTGs remain consistent with the intention of the Code.</w:t>
      </w:r>
    </w:p>
    <w:p w:rsidR="006E184A" w:rsidRDefault="000D6822" w:rsidP="00241EDD">
      <w:pPr>
        <w:rPr>
          <w:lang w:eastAsia="en-GB"/>
        </w:rPr>
      </w:pPr>
      <w:r>
        <w:rPr>
          <w:lang w:eastAsia="en-GB"/>
        </w:rPr>
        <w:t xml:space="preserve">MO Member queried as to what size the units are. Proposer advised that they range in size from 1MW to 3MW units. </w:t>
      </w:r>
      <w:r w:rsidR="006E184A">
        <w:rPr>
          <w:lang w:eastAsia="en-GB"/>
        </w:rPr>
        <w:t>Generator Member queried</w:t>
      </w:r>
      <w:r w:rsidR="00976205">
        <w:rPr>
          <w:lang w:eastAsia="en-GB"/>
        </w:rPr>
        <w:t>:</w:t>
      </w:r>
      <w:r w:rsidR="00A134D2">
        <w:rPr>
          <w:lang w:eastAsia="en-GB"/>
        </w:rPr>
        <w:t xml:space="preserve"> </w:t>
      </w:r>
      <w:r w:rsidR="006E184A">
        <w:rPr>
          <w:lang w:eastAsia="en-GB"/>
        </w:rPr>
        <w:t>if the units are registered as PPT, would they always be dispatched as price takers and would that be efficient for DSUs.</w:t>
      </w:r>
    </w:p>
    <w:p w:rsidR="00525A95" w:rsidRDefault="00525A95" w:rsidP="00241EDD">
      <w:pPr>
        <w:rPr>
          <w:lang w:eastAsia="en-GB"/>
        </w:rPr>
      </w:pPr>
      <w:r w:rsidRPr="00D90517">
        <w:rPr>
          <w:lang w:eastAsia="en-GB"/>
        </w:rPr>
        <w:t>Generator Member queried as to whether t</w:t>
      </w:r>
      <w:r w:rsidR="00571495">
        <w:rPr>
          <w:lang w:eastAsia="en-GB"/>
        </w:rPr>
        <w:t>he units could register now as Predictable Price M</w:t>
      </w:r>
      <w:r w:rsidRPr="00D90517">
        <w:rPr>
          <w:lang w:eastAsia="en-GB"/>
        </w:rPr>
        <w:t xml:space="preserve">akers. Proposer advised </w:t>
      </w:r>
      <w:r w:rsidR="00EC3363" w:rsidRPr="00D90517">
        <w:rPr>
          <w:lang w:eastAsia="en-GB"/>
        </w:rPr>
        <w:t xml:space="preserve">that this is to date the only option, but expressed </w:t>
      </w:r>
      <w:r w:rsidR="00165257" w:rsidRPr="00D90517">
        <w:rPr>
          <w:lang w:eastAsia="en-GB"/>
        </w:rPr>
        <w:t>the preference</w:t>
      </w:r>
      <w:r w:rsidRPr="00D90517">
        <w:rPr>
          <w:lang w:eastAsia="en-GB"/>
        </w:rPr>
        <w:t xml:space="preserve"> to register as </w:t>
      </w:r>
      <w:r w:rsidR="00EC3363" w:rsidRPr="00D90517">
        <w:rPr>
          <w:lang w:eastAsia="en-GB"/>
        </w:rPr>
        <w:t xml:space="preserve">PPTG like </w:t>
      </w:r>
      <w:r w:rsidR="00D90517" w:rsidRPr="00D90517">
        <w:rPr>
          <w:lang w:eastAsia="en-GB"/>
        </w:rPr>
        <w:lastRenderedPageBreak/>
        <w:t xml:space="preserve">conventional </w:t>
      </w:r>
      <w:r w:rsidRPr="00D90517">
        <w:rPr>
          <w:lang w:eastAsia="en-GB"/>
        </w:rPr>
        <w:t xml:space="preserve">CHP. Proposer advised that the units will be dispatched </w:t>
      </w:r>
      <w:r w:rsidR="00015730" w:rsidRPr="00D90517">
        <w:rPr>
          <w:lang w:eastAsia="en-GB"/>
        </w:rPr>
        <w:t xml:space="preserve">fully </w:t>
      </w:r>
      <w:r w:rsidRPr="00D90517">
        <w:rPr>
          <w:lang w:eastAsia="en-GB"/>
        </w:rPr>
        <w:t>on the majority of the time and on the occasions that the SOs must curtail, they could curtail these units as opposed to curtailing a wind farm for example.</w:t>
      </w:r>
    </w:p>
    <w:p w:rsidR="00EB4833" w:rsidRPr="00165257" w:rsidRDefault="00EB4833" w:rsidP="00241EDD">
      <w:pPr>
        <w:rPr>
          <w:lang w:eastAsia="en-GB"/>
        </w:rPr>
      </w:pPr>
      <w:r>
        <w:rPr>
          <w:lang w:eastAsia="en-GB"/>
        </w:rPr>
        <w:t xml:space="preserve">SO Alternate advised that the SOs do not have a </w:t>
      </w:r>
      <w:r w:rsidR="00DC0E96">
        <w:rPr>
          <w:lang w:eastAsia="en-GB"/>
        </w:rPr>
        <w:t xml:space="preserve">strong </w:t>
      </w:r>
      <w:r>
        <w:rPr>
          <w:lang w:eastAsia="en-GB"/>
        </w:rPr>
        <w:t xml:space="preserve">view on the proposal and that it would be an RA Decision to </w:t>
      </w:r>
      <w:r w:rsidRPr="00165257">
        <w:rPr>
          <w:lang w:eastAsia="en-GB"/>
        </w:rPr>
        <w:t>grant priority dispatch.</w:t>
      </w:r>
    </w:p>
    <w:p w:rsidR="002A57FA" w:rsidRDefault="002A57FA" w:rsidP="00241EDD">
      <w:pPr>
        <w:rPr>
          <w:lang w:eastAsia="en-GB"/>
        </w:rPr>
      </w:pPr>
      <w:r w:rsidRPr="00165257">
        <w:rPr>
          <w:lang w:eastAsia="en-GB"/>
        </w:rPr>
        <w:t>Proposer queried as to whether SEMO request</w:t>
      </w:r>
      <w:r w:rsidR="00D90517" w:rsidRPr="00165257">
        <w:rPr>
          <w:lang w:eastAsia="en-GB"/>
        </w:rPr>
        <w:t>s</w:t>
      </w:r>
      <w:r w:rsidRPr="00165257">
        <w:rPr>
          <w:lang w:eastAsia="en-GB"/>
        </w:rPr>
        <w:t xml:space="preserve"> certification at registration. MO Alternate advised that this would be confirmed with the RAs through the licensing </w:t>
      </w:r>
      <w:r w:rsidR="00015730" w:rsidRPr="00165257">
        <w:rPr>
          <w:lang w:eastAsia="en-GB"/>
        </w:rPr>
        <w:t xml:space="preserve">and registration </w:t>
      </w:r>
      <w:r w:rsidRPr="00165257">
        <w:rPr>
          <w:lang w:eastAsia="en-GB"/>
        </w:rPr>
        <w:t>obligations.</w:t>
      </w:r>
    </w:p>
    <w:p w:rsidR="00FA76E7" w:rsidRPr="00241EDD" w:rsidRDefault="00887B75" w:rsidP="00241EDD">
      <w:pPr>
        <w:rPr>
          <w:lang w:eastAsia="en-GB"/>
        </w:rPr>
      </w:pPr>
      <w:r>
        <w:rPr>
          <w:lang w:eastAsia="en-GB"/>
        </w:rPr>
        <w:t xml:space="preserve">Proposer queried as to whether the Committee would be happy to vote on the proposal on the grounds that </w:t>
      </w:r>
      <w:r w:rsidR="00A61426">
        <w:rPr>
          <w:lang w:eastAsia="en-GB"/>
        </w:rPr>
        <w:t>any</w:t>
      </w:r>
      <w:r>
        <w:rPr>
          <w:lang w:eastAsia="en-GB"/>
        </w:rPr>
        <w:t xml:space="preserve"> fundamental concerns regarding the proposal would be addressed by the IA. The Committee were not a</w:t>
      </w:r>
      <w:r w:rsidR="00A61426">
        <w:rPr>
          <w:lang w:eastAsia="en-GB"/>
        </w:rPr>
        <w:t>greeable to this as complete</w:t>
      </w:r>
      <w:r>
        <w:rPr>
          <w:lang w:eastAsia="en-GB"/>
        </w:rPr>
        <w:t xml:space="preserve"> information on</w:t>
      </w:r>
      <w:r w:rsidR="00A61426">
        <w:rPr>
          <w:lang w:eastAsia="en-GB"/>
        </w:rPr>
        <w:t xml:space="preserve"> any modification</w:t>
      </w:r>
      <w:r>
        <w:rPr>
          <w:lang w:eastAsia="en-GB"/>
        </w:rPr>
        <w:t xml:space="preserve"> proposal is necessary prior to taking a vote</w:t>
      </w:r>
      <w:r w:rsidR="00A61426">
        <w:rPr>
          <w:lang w:eastAsia="en-GB"/>
        </w:rPr>
        <w:t xml:space="preserve"> and must be included in the FRR</w:t>
      </w:r>
      <w:r>
        <w:rPr>
          <w:lang w:eastAsia="en-GB"/>
        </w:rPr>
        <w:t>.</w:t>
      </w:r>
    </w:p>
    <w:p w:rsidR="008928EF" w:rsidRPr="00C4239D" w:rsidRDefault="008928EF" w:rsidP="008928EF">
      <w:pPr>
        <w:pBdr>
          <w:bottom w:val="single" w:sz="4" w:space="4" w:color="4F81BD"/>
        </w:pBdr>
        <w:spacing w:before="200" w:after="280" w:line="360" w:lineRule="auto"/>
        <w:ind w:left="936" w:right="936"/>
        <w:jc w:val="both"/>
        <w:rPr>
          <w:b/>
          <w:bCs/>
          <w:i/>
          <w:iCs/>
          <w:color w:val="4F81BD"/>
        </w:rPr>
      </w:pPr>
      <w:r w:rsidRPr="00C4239D">
        <w:rPr>
          <w:b/>
          <w:bCs/>
          <w:i/>
          <w:iCs/>
          <w:color w:val="4F81BD"/>
        </w:rPr>
        <w:t xml:space="preserve">Actions </w:t>
      </w:r>
    </w:p>
    <w:p w:rsidR="00C4239D" w:rsidRPr="00C4239D" w:rsidRDefault="00C4239D" w:rsidP="00C4239D">
      <w:pPr>
        <w:numPr>
          <w:ilvl w:val="0"/>
          <w:numId w:val="5"/>
        </w:numPr>
        <w:jc w:val="both"/>
      </w:pPr>
      <w:r w:rsidRPr="00C4239D">
        <w:t>Participants to submit any feedback and/or specific items for clarification in relation to the proposal to Secretariat within 2 weeks (by 19th December)</w:t>
      </w:r>
      <w:r w:rsidRPr="00C4239D">
        <w:rPr>
          <w:b/>
          <w:bCs/>
        </w:rPr>
        <w:t>-Open</w:t>
      </w:r>
    </w:p>
    <w:p w:rsidR="008928EF" w:rsidRPr="00C4239D" w:rsidRDefault="00C4239D" w:rsidP="00C4239D">
      <w:pPr>
        <w:numPr>
          <w:ilvl w:val="0"/>
          <w:numId w:val="5"/>
        </w:numPr>
        <w:jc w:val="both"/>
      </w:pPr>
      <w:r w:rsidRPr="00C4239D">
        <w:t xml:space="preserve">Proposer to provide responses to Participant feedback and a worked example of what is proposed in the modification- </w:t>
      </w:r>
      <w:r w:rsidRPr="00C4239D">
        <w:rPr>
          <w:b/>
        </w:rPr>
        <w:t>Open</w:t>
      </w:r>
    </w:p>
    <w:p w:rsidR="00C4239D" w:rsidRPr="00CA1364" w:rsidRDefault="00C4239D" w:rsidP="00C4239D">
      <w:pPr>
        <w:numPr>
          <w:ilvl w:val="0"/>
          <w:numId w:val="5"/>
        </w:numPr>
        <w:jc w:val="both"/>
      </w:pPr>
      <w:r w:rsidRPr="00CA1364">
        <w:t xml:space="preserve">SEMO to initiate IA- </w:t>
      </w:r>
      <w:r w:rsidRPr="00CA1364">
        <w:rPr>
          <w:b/>
        </w:rPr>
        <w:t>Open</w:t>
      </w:r>
    </w:p>
    <w:p w:rsidR="00CA1364" w:rsidRPr="003D515B" w:rsidRDefault="00CA1364" w:rsidP="00CA1364">
      <w:pPr>
        <w:pStyle w:val="LightShading-Accent21"/>
        <w:spacing w:line="360" w:lineRule="auto"/>
        <w:jc w:val="both"/>
      </w:pPr>
      <w:r w:rsidRPr="003D515B">
        <w:t>Decision</w:t>
      </w:r>
    </w:p>
    <w:p w:rsidR="00CA1364" w:rsidRPr="003D515B" w:rsidRDefault="00CA1364" w:rsidP="00CA1364">
      <w:pPr>
        <w:pStyle w:val="Bullet1"/>
        <w:numPr>
          <w:ilvl w:val="0"/>
          <w:numId w:val="5"/>
        </w:numPr>
        <w:spacing w:line="360" w:lineRule="auto"/>
        <w:jc w:val="both"/>
      </w:pPr>
      <w:r w:rsidRPr="003D515B">
        <w:t xml:space="preserve">The proposal was </w:t>
      </w:r>
      <w:r w:rsidRPr="003D515B">
        <w:rPr>
          <w:lang w:val="en-IE"/>
        </w:rPr>
        <w:t>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CA1364" w:rsidRPr="00176816" w:rsidTr="00C948FA">
        <w:trPr>
          <w:jc w:val="center"/>
        </w:trPr>
        <w:tc>
          <w:tcPr>
            <w:tcW w:w="5000" w:type="pct"/>
            <w:shd w:val="clear" w:color="auto" w:fill="548DD4"/>
          </w:tcPr>
          <w:p w:rsidR="00CA1364" w:rsidRPr="00176816" w:rsidRDefault="00CA1364" w:rsidP="00C948FA">
            <w:pPr>
              <w:spacing w:before="40" w:after="40"/>
              <w:jc w:val="center"/>
              <w:rPr>
                <w:sz w:val="16"/>
                <w:szCs w:val="16"/>
                <w:highlight w:val="yellow"/>
              </w:rPr>
            </w:pPr>
            <w:r>
              <w:rPr>
                <w:b/>
                <w:color w:val="FFFFFF"/>
              </w:rPr>
              <w:t>Deferred</w:t>
            </w:r>
          </w:p>
        </w:tc>
      </w:tr>
    </w:tbl>
    <w:p w:rsidR="008928EF" w:rsidRPr="008928EF" w:rsidRDefault="008928EF" w:rsidP="008928EF">
      <w:pPr>
        <w:spacing w:before="40" w:after="40"/>
        <w:jc w:val="center"/>
        <w:rPr>
          <w:b/>
          <w:color w:val="FFFFFF"/>
        </w:rPr>
      </w:pPr>
    </w:p>
    <w:p w:rsidR="008928EF" w:rsidRDefault="008928EF" w:rsidP="00C8178B">
      <w:pPr>
        <w:pStyle w:val="Bullet1"/>
        <w:numPr>
          <w:ilvl w:val="0"/>
          <w:numId w:val="0"/>
        </w:numPr>
        <w:ind w:left="360" w:hanging="360"/>
        <w:jc w:val="both"/>
        <w:rPr>
          <w:rStyle w:val="IntenseReference1"/>
          <w:rFonts w:cs="Arial"/>
          <w:b w:val="0"/>
          <w:bCs w:val="0"/>
          <w:smallCaps w:val="0"/>
          <w:color w:val="auto"/>
          <w:spacing w:val="0"/>
          <w:highlight w:val="yellow"/>
          <w:u w:val="none"/>
          <w:lang w:val="en-IE"/>
        </w:rPr>
      </w:pPr>
    </w:p>
    <w:p w:rsidR="008928EF" w:rsidRDefault="008928EF" w:rsidP="00A61583">
      <w:pPr>
        <w:pStyle w:val="Bullet1"/>
        <w:numPr>
          <w:ilvl w:val="0"/>
          <w:numId w:val="0"/>
        </w:numPr>
        <w:jc w:val="both"/>
        <w:rPr>
          <w:rStyle w:val="IntenseReference1"/>
          <w:rFonts w:cs="Arial"/>
          <w:b w:val="0"/>
          <w:bCs w:val="0"/>
          <w:smallCaps w:val="0"/>
          <w:color w:val="auto"/>
          <w:spacing w:val="0"/>
          <w:highlight w:val="yellow"/>
          <w:u w:val="none"/>
          <w:lang w:val="en-IE"/>
        </w:rPr>
      </w:pPr>
    </w:p>
    <w:p w:rsidR="008928EF" w:rsidRPr="00176816" w:rsidRDefault="008928EF" w:rsidP="00C8178B">
      <w:pPr>
        <w:pStyle w:val="Bullet1"/>
        <w:numPr>
          <w:ilvl w:val="0"/>
          <w:numId w:val="0"/>
        </w:numPr>
        <w:ind w:left="360" w:hanging="360"/>
        <w:jc w:val="both"/>
        <w:rPr>
          <w:rStyle w:val="IntenseReference1"/>
          <w:rFonts w:cs="Arial"/>
          <w:b w:val="0"/>
          <w:bCs w:val="0"/>
          <w:smallCaps w:val="0"/>
          <w:color w:val="auto"/>
          <w:spacing w:val="0"/>
          <w:highlight w:val="yellow"/>
          <w:u w:val="none"/>
          <w:lang w:val="en-IE"/>
        </w:rPr>
      </w:pPr>
    </w:p>
    <w:p w:rsidR="00FE68BC" w:rsidRPr="00A61583" w:rsidRDefault="00431720" w:rsidP="00162F9F">
      <w:pPr>
        <w:pStyle w:val="Heading2"/>
        <w:numPr>
          <w:ilvl w:val="0"/>
          <w:numId w:val="0"/>
        </w:numPr>
        <w:ind w:left="576" w:hanging="576"/>
        <w:jc w:val="both"/>
        <w:rPr>
          <w:rStyle w:val="IntenseReference1"/>
          <w:smallCaps w:val="0"/>
          <w:color w:val="1F497D"/>
          <w:lang w:val="en-IE"/>
        </w:rPr>
      </w:pPr>
      <w:bookmarkStart w:id="12" w:name="_Toc396223832"/>
      <w:bookmarkStart w:id="13" w:name="_Toc406084440"/>
      <w:r w:rsidRPr="00A61583">
        <w:rPr>
          <w:rStyle w:val="IntenseReference1"/>
          <w:bCs w:val="0"/>
          <w:color w:val="1F497D"/>
          <w:u w:val="none"/>
        </w:rPr>
        <w:t>I</w:t>
      </w:r>
      <w:r w:rsidRPr="00A61583">
        <w:rPr>
          <w:rStyle w:val="IntenseReference1"/>
          <w:bCs w:val="0"/>
          <w:color w:val="1F497D"/>
          <w:u w:val="none"/>
          <w:lang w:val="en-IE"/>
        </w:rPr>
        <w:t>I</w:t>
      </w:r>
      <w:r w:rsidR="00FE68BC" w:rsidRPr="00A61583">
        <w:rPr>
          <w:rStyle w:val="IntenseReference1"/>
          <w:bCs w:val="0"/>
          <w:color w:val="1F497D"/>
          <w:u w:val="none"/>
        </w:rPr>
        <w:t>.</w:t>
      </w:r>
      <w:r w:rsidR="00FE68BC" w:rsidRPr="00A61583">
        <w:rPr>
          <w:rStyle w:val="IntenseReference1"/>
          <w:bCs w:val="0"/>
          <w:color w:val="1F497D"/>
          <w:u w:val="none"/>
        </w:rPr>
        <w:tab/>
        <w:t>Mod_</w:t>
      </w:r>
      <w:r w:rsidRPr="00A61583">
        <w:rPr>
          <w:rStyle w:val="IntenseReference1"/>
          <w:bCs w:val="0"/>
          <w:color w:val="1F497D"/>
          <w:u w:val="none"/>
        </w:rPr>
        <w:t>09</w:t>
      </w:r>
      <w:r w:rsidR="00FE68BC" w:rsidRPr="00A61583">
        <w:rPr>
          <w:rStyle w:val="IntenseReference1"/>
          <w:bCs w:val="0"/>
          <w:color w:val="1F497D"/>
          <w:u w:val="none"/>
        </w:rPr>
        <w:t>_1</w:t>
      </w:r>
      <w:bookmarkEnd w:id="12"/>
      <w:r w:rsidR="00810ABA" w:rsidRPr="00A61583">
        <w:rPr>
          <w:rStyle w:val="IntenseReference1"/>
          <w:bCs w:val="0"/>
          <w:color w:val="1F497D"/>
          <w:u w:val="none"/>
        </w:rPr>
        <w:t xml:space="preserve">4 </w:t>
      </w:r>
      <w:hyperlink r:id="rId26" w:history="1">
        <w:r w:rsidRPr="00A61583">
          <w:rPr>
            <w:rStyle w:val="IntenseReference1"/>
            <w:color w:val="1F497D"/>
            <w:u w:val="none"/>
          </w:rPr>
          <w:t xml:space="preserve"> Amendment to Make Whole Payments for Interconnector Units</w:t>
        </w:r>
        <w:bookmarkEnd w:id="13"/>
      </w:hyperlink>
    </w:p>
    <w:p w:rsidR="008928EF" w:rsidRPr="00A61583" w:rsidRDefault="00431720" w:rsidP="00FE68BC">
      <w:pPr>
        <w:jc w:val="both"/>
        <w:rPr>
          <w:i/>
        </w:rPr>
      </w:pPr>
      <w:r w:rsidRPr="00A61583">
        <w:rPr>
          <w:i/>
        </w:rPr>
        <w:t>Proposer: RAs</w:t>
      </w:r>
    </w:p>
    <w:p w:rsidR="000E7E72" w:rsidRPr="000E7E72" w:rsidRDefault="00A61583" w:rsidP="00FE68BC">
      <w:pPr>
        <w:jc w:val="both"/>
        <w:rPr>
          <w:lang w:eastAsia="en-GB"/>
        </w:rPr>
      </w:pPr>
      <w:r w:rsidRPr="00F52A29">
        <w:rPr>
          <w:lang w:eastAsia="en-GB"/>
        </w:rPr>
        <w:t xml:space="preserve">RA Member </w:t>
      </w:r>
      <w:r w:rsidRPr="00A61583">
        <w:rPr>
          <w:lang w:eastAsia="en-GB"/>
        </w:rPr>
        <w:t>presented slides on the two Modification Proposals</w:t>
      </w:r>
      <w:r w:rsidR="00F52A29">
        <w:rPr>
          <w:lang w:eastAsia="en-GB"/>
        </w:rPr>
        <w:t xml:space="preserve"> advising that there has been a significant increase in the level of Make Whole Payments in the SEM recently and this increase has been predominantly attributable to IC Unit</w:t>
      </w:r>
      <w:r w:rsidR="00015730">
        <w:rPr>
          <w:lang w:eastAsia="en-GB"/>
        </w:rPr>
        <w:t xml:space="preserve"> exporting and importing in different gates</w:t>
      </w:r>
      <w:r w:rsidR="00F52A29">
        <w:rPr>
          <w:lang w:eastAsia="en-GB"/>
        </w:rPr>
        <w:t>.</w:t>
      </w:r>
      <w:r w:rsidR="000E7E72">
        <w:rPr>
          <w:lang w:eastAsia="en-GB"/>
        </w:rPr>
        <w:t xml:space="preserve"> RA Member advised that the purpose of Mod_09_14 Amendment to MWPs for IC Units</w:t>
      </w:r>
      <w:r w:rsidR="00015730">
        <w:rPr>
          <w:lang w:eastAsia="en-GB"/>
        </w:rPr>
        <w:t>,</w:t>
      </w:r>
      <w:r w:rsidR="000E7E72">
        <w:rPr>
          <w:lang w:eastAsia="en-GB"/>
        </w:rPr>
        <w:t xml:space="preserve"> is</w:t>
      </w:r>
      <w:r w:rsidR="000E7E72" w:rsidRPr="000E7E72">
        <w:rPr>
          <w:lang w:eastAsia="en-GB"/>
        </w:rPr>
        <w:t xml:space="preserve"> to amend the Code so that Interconnector Users receive Make Whole Payments based on their aggregate position across all gate windows (EA1, EA2 &amp; WD1) in which they have traded</w:t>
      </w:r>
      <w:r w:rsidR="00015730">
        <w:rPr>
          <w:lang w:eastAsia="en-GB"/>
        </w:rPr>
        <w:t>.</w:t>
      </w:r>
      <w:r w:rsidR="000E7E72" w:rsidRPr="000E7E72">
        <w:rPr>
          <w:lang w:eastAsia="en-GB"/>
        </w:rPr>
        <w:t xml:space="preserve"> </w:t>
      </w:r>
      <w:r w:rsidR="00015730">
        <w:rPr>
          <w:lang w:eastAsia="en-GB"/>
        </w:rPr>
        <w:t>In t</w:t>
      </w:r>
      <w:r w:rsidR="000E7E72" w:rsidRPr="000E7E72">
        <w:rPr>
          <w:lang w:eastAsia="en-GB"/>
        </w:rPr>
        <w:t xml:space="preserve">he current Code </w:t>
      </w:r>
      <w:r w:rsidR="00AD7406" w:rsidRPr="000E7E72">
        <w:rPr>
          <w:lang w:eastAsia="en-GB"/>
        </w:rPr>
        <w:t>wording each</w:t>
      </w:r>
      <w:r w:rsidR="000E7E72" w:rsidRPr="000E7E72">
        <w:rPr>
          <w:lang w:eastAsia="en-GB"/>
        </w:rPr>
        <w:t xml:space="preserve"> gate window is considered separately for the calculation of Make Whole Payments</w:t>
      </w:r>
      <w:r w:rsidR="000E7E72">
        <w:rPr>
          <w:lang w:eastAsia="en-GB"/>
        </w:rPr>
        <w:t xml:space="preserve">. The purpose of Mod_10_14 Make Whole Payments for IC Units </w:t>
      </w:r>
      <w:r w:rsidR="000E7E72" w:rsidRPr="000E7E72">
        <w:rPr>
          <w:lang w:eastAsia="en-GB"/>
        </w:rPr>
        <w:t xml:space="preserve">is to amend the Code so that Interconnector Units no longer receive Make Whole Payments in the market.  </w:t>
      </w:r>
      <w:r w:rsidR="00850989">
        <w:rPr>
          <w:lang w:eastAsia="en-GB"/>
        </w:rPr>
        <w:t>Chair queried as to the</w:t>
      </w:r>
      <w:r w:rsidR="00546D45">
        <w:rPr>
          <w:lang w:eastAsia="en-GB"/>
        </w:rPr>
        <w:t xml:space="preserve"> RAs preferred proposal of the two</w:t>
      </w:r>
      <w:r w:rsidR="00850989">
        <w:rPr>
          <w:lang w:eastAsia="en-GB"/>
        </w:rPr>
        <w:t xml:space="preserve"> that had been submitted. RA Member advised that the RAs are keen for the Committee to discuss the proposals and reach a decision on a preferred proposal.</w:t>
      </w:r>
      <w:r w:rsidR="003F3497">
        <w:rPr>
          <w:lang w:eastAsia="en-GB"/>
        </w:rPr>
        <w:t xml:space="preserve"> </w:t>
      </w:r>
    </w:p>
    <w:p w:rsidR="00FE68BC" w:rsidRPr="00A61583" w:rsidRDefault="00FE68BC" w:rsidP="00FE68BC">
      <w:pPr>
        <w:pBdr>
          <w:bottom w:val="single" w:sz="4" w:space="4" w:color="4F81BD"/>
        </w:pBdr>
        <w:spacing w:before="200" w:after="280" w:line="360" w:lineRule="auto"/>
        <w:ind w:left="936" w:right="936"/>
        <w:jc w:val="both"/>
        <w:rPr>
          <w:b/>
          <w:bCs/>
          <w:i/>
          <w:iCs/>
          <w:color w:val="4F81BD"/>
        </w:rPr>
      </w:pPr>
      <w:r w:rsidRPr="00A61583">
        <w:rPr>
          <w:b/>
          <w:bCs/>
          <w:i/>
          <w:iCs/>
          <w:color w:val="4F81BD"/>
        </w:rPr>
        <w:t xml:space="preserve">Actions </w:t>
      </w:r>
    </w:p>
    <w:p w:rsidR="008928EF" w:rsidRPr="00A61583" w:rsidRDefault="008928EF" w:rsidP="00A61583">
      <w:pPr>
        <w:numPr>
          <w:ilvl w:val="0"/>
          <w:numId w:val="5"/>
        </w:numPr>
        <w:jc w:val="both"/>
      </w:pPr>
      <w:r w:rsidRPr="00A61583">
        <w:lastRenderedPageBreak/>
        <w:t>Participants to submit any feedback and/or specific items for clarification in relation to the RA MWP proposals to Secretariat within 2 weeks (by 19th December)-</w:t>
      </w:r>
      <w:r w:rsidRPr="00A61583">
        <w:rPr>
          <w:b/>
        </w:rPr>
        <w:t>Open</w:t>
      </w:r>
    </w:p>
    <w:p w:rsidR="008928EF" w:rsidRDefault="008928EF" w:rsidP="00A61583">
      <w:pPr>
        <w:numPr>
          <w:ilvl w:val="0"/>
          <w:numId w:val="5"/>
        </w:numPr>
        <w:jc w:val="both"/>
      </w:pPr>
      <w:r w:rsidRPr="00A61583">
        <w:t>RAs to provide further clarification on proposals and responses to feedback submitted by Participants</w:t>
      </w:r>
      <w:r>
        <w:t xml:space="preserve"> </w:t>
      </w:r>
      <w:r w:rsidRPr="00A61583">
        <w:t>–</w:t>
      </w:r>
      <w:r w:rsidRPr="00A61583">
        <w:rPr>
          <w:b/>
        </w:rPr>
        <w:t>Open</w:t>
      </w:r>
    </w:p>
    <w:p w:rsidR="00671C94" w:rsidRPr="003D515B" w:rsidRDefault="00671C94" w:rsidP="00671C94">
      <w:pPr>
        <w:pStyle w:val="LightShading-Accent21"/>
        <w:spacing w:line="360" w:lineRule="auto"/>
        <w:jc w:val="both"/>
      </w:pPr>
      <w:r w:rsidRPr="003D515B">
        <w:t>Decision</w:t>
      </w:r>
    </w:p>
    <w:p w:rsidR="00671C94" w:rsidRPr="003D515B" w:rsidRDefault="00671C94" w:rsidP="00671C94">
      <w:pPr>
        <w:pStyle w:val="Bullet1"/>
        <w:numPr>
          <w:ilvl w:val="0"/>
          <w:numId w:val="5"/>
        </w:numPr>
        <w:spacing w:line="360" w:lineRule="auto"/>
        <w:jc w:val="both"/>
      </w:pPr>
      <w:r w:rsidRPr="003D515B">
        <w:t xml:space="preserve">The proposal was </w:t>
      </w:r>
      <w:r w:rsidRPr="003D515B">
        <w:rPr>
          <w:lang w:val="en-IE"/>
        </w:rPr>
        <w:t>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671C94" w:rsidRPr="00176816" w:rsidTr="00F8631E">
        <w:trPr>
          <w:jc w:val="center"/>
        </w:trPr>
        <w:tc>
          <w:tcPr>
            <w:tcW w:w="5000" w:type="pct"/>
            <w:shd w:val="clear" w:color="auto" w:fill="548DD4"/>
          </w:tcPr>
          <w:p w:rsidR="00671C94" w:rsidRPr="00176816" w:rsidRDefault="00671C94" w:rsidP="00F8631E">
            <w:pPr>
              <w:spacing w:before="40" w:after="40"/>
              <w:jc w:val="center"/>
              <w:rPr>
                <w:sz w:val="16"/>
                <w:szCs w:val="16"/>
                <w:highlight w:val="yellow"/>
              </w:rPr>
            </w:pPr>
            <w:r>
              <w:rPr>
                <w:b/>
                <w:color w:val="FFFFFF"/>
              </w:rPr>
              <w:t>Deferred</w:t>
            </w:r>
          </w:p>
        </w:tc>
      </w:tr>
    </w:tbl>
    <w:p w:rsidR="001D02A5" w:rsidRPr="00671C94" w:rsidRDefault="00431720" w:rsidP="00431720">
      <w:pPr>
        <w:pStyle w:val="Heading2"/>
        <w:numPr>
          <w:ilvl w:val="0"/>
          <w:numId w:val="0"/>
        </w:numPr>
        <w:jc w:val="both"/>
        <w:rPr>
          <w:rStyle w:val="IntenseReference1"/>
          <w:color w:val="1F497D"/>
          <w:u w:val="none"/>
          <w:lang w:val="en-IE"/>
        </w:rPr>
      </w:pPr>
      <w:bookmarkStart w:id="14" w:name="_Toc406084441"/>
      <w:r w:rsidRPr="00671C94">
        <w:rPr>
          <w:rStyle w:val="IntenseReference1"/>
          <w:color w:val="1F497D"/>
          <w:u w:val="none"/>
          <w:lang w:val="en-IE"/>
        </w:rPr>
        <w:t>III.</w:t>
      </w:r>
      <w:r w:rsidRPr="00671C94">
        <w:rPr>
          <w:rStyle w:val="IntenseReference1"/>
          <w:color w:val="1F497D"/>
          <w:u w:val="none"/>
          <w:lang w:val="en-IE"/>
        </w:rPr>
        <w:tab/>
      </w:r>
      <w:r w:rsidRPr="00671C94">
        <w:rPr>
          <w:rStyle w:val="IntenseReference1"/>
          <w:color w:val="1F497D"/>
          <w:u w:val="none"/>
        </w:rPr>
        <w:t>Mod_</w:t>
      </w:r>
      <w:r w:rsidRPr="00671C94">
        <w:rPr>
          <w:rStyle w:val="IntenseReference1"/>
          <w:color w:val="1F497D"/>
          <w:u w:val="none"/>
          <w:lang w:val="en-IE"/>
        </w:rPr>
        <w:t>10</w:t>
      </w:r>
      <w:r w:rsidRPr="00671C94">
        <w:rPr>
          <w:rStyle w:val="IntenseReference1"/>
          <w:color w:val="1F497D"/>
          <w:u w:val="none"/>
        </w:rPr>
        <w:t xml:space="preserve">_14 </w:t>
      </w:r>
      <w:r w:rsidRPr="00671C94">
        <w:rPr>
          <w:rStyle w:val="IntenseReference1"/>
          <w:color w:val="1F497D"/>
          <w:u w:val="none"/>
          <w:lang w:val="en-IE"/>
        </w:rPr>
        <w:t>make whole payments for interconnector units</w:t>
      </w:r>
      <w:bookmarkEnd w:id="14"/>
    </w:p>
    <w:p w:rsidR="00BD6EE8" w:rsidRPr="00671C94" w:rsidRDefault="00431720" w:rsidP="00431720">
      <w:pPr>
        <w:jc w:val="both"/>
        <w:rPr>
          <w:i/>
        </w:rPr>
      </w:pPr>
      <w:r w:rsidRPr="00671C94">
        <w:rPr>
          <w:i/>
        </w:rPr>
        <w:t>Proposer: RAs</w:t>
      </w:r>
    </w:p>
    <w:p w:rsidR="00A06079" w:rsidRPr="00671C94" w:rsidRDefault="00671C94" w:rsidP="00671C94">
      <w:pPr>
        <w:jc w:val="both"/>
        <w:rPr>
          <w:lang w:eastAsia="en-GB"/>
        </w:rPr>
      </w:pPr>
      <w:r w:rsidRPr="00671C94">
        <w:rPr>
          <w:lang w:eastAsia="en-GB"/>
        </w:rPr>
        <w:t>Same as above</w:t>
      </w:r>
      <w:r w:rsidR="00A06079">
        <w:rPr>
          <w:lang w:eastAsia="en-GB"/>
        </w:rPr>
        <w:t>.</w:t>
      </w:r>
    </w:p>
    <w:p w:rsidR="008928EF" w:rsidRPr="00671C94" w:rsidRDefault="008928EF" w:rsidP="008928EF">
      <w:pPr>
        <w:pBdr>
          <w:bottom w:val="single" w:sz="4" w:space="4" w:color="4F81BD"/>
        </w:pBdr>
        <w:spacing w:before="200" w:after="280" w:line="360" w:lineRule="auto"/>
        <w:ind w:left="936" w:right="936"/>
        <w:jc w:val="both"/>
        <w:rPr>
          <w:b/>
          <w:bCs/>
          <w:i/>
          <w:iCs/>
          <w:color w:val="4F81BD"/>
        </w:rPr>
      </w:pPr>
      <w:r w:rsidRPr="00671C94">
        <w:rPr>
          <w:b/>
          <w:bCs/>
          <w:i/>
          <w:iCs/>
          <w:color w:val="4F81BD"/>
        </w:rPr>
        <w:t xml:space="preserve">Actions </w:t>
      </w:r>
    </w:p>
    <w:p w:rsidR="008928EF" w:rsidRPr="00671C94" w:rsidRDefault="008928EF" w:rsidP="008928EF">
      <w:pPr>
        <w:numPr>
          <w:ilvl w:val="0"/>
          <w:numId w:val="5"/>
        </w:numPr>
        <w:spacing w:before="60" w:after="60" w:line="360" w:lineRule="auto"/>
        <w:jc w:val="both"/>
      </w:pPr>
      <w:r w:rsidRPr="00671C94">
        <w:t>Same as above</w:t>
      </w:r>
    </w:p>
    <w:p w:rsidR="00671C94" w:rsidRPr="003D515B" w:rsidRDefault="00671C94" w:rsidP="00671C94">
      <w:pPr>
        <w:pStyle w:val="LightShading-Accent21"/>
        <w:spacing w:line="360" w:lineRule="auto"/>
        <w:jc w:val="both"/>
      </w:pPr>
      <w:r w:rsidRPr="003D515B">
        <w:t>Decision</w:t>
      </w:r>
    </w:p>
    <w:p w:rsidR="00671C94" w:rsidRPr="00EA38B1" w:rsidRDefault="00671C94" w:rsidP="00671C94">
      <w:pPr>
        <w:pStyle w:val="Bullet1"/>
        <w:numPr>
          <w:ilvl w:val="0"/>
          <w:numId w:val="5"/>
        </w:numPr>
        <w:spacing w:line="360" w:lineRule="auto"/>
        <w:jc w:val="both"/>
      </w:pPr>
      <w:r w:rsidRPr="003D515B">
        <w:t xml:space="preserve">The proposal was </w:t>
      </w:r>
      <w:r w:rsidRPr="003D515B">
        <w:rPr>
          <w:lang w:val="en-IE"/>
        </w:rPr>
        <w:t>deferred</w:t>
      </w:r>
    </w:p>
    <w:p w:rsidR="00EA38B1" w:rsidRPr="003D515B" w:rsidRDefault="00EA38B1" w:rsidP="00EA38B1">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671C94" w:rsidRPr="00176816" w:rsidTr="00F8631E">
        <w:trPr>
          <w:jc w:val="center"/>
        </w:trPr>
        <w:tc>
          <w:tcPr>
            <w:tcW w:w="5000" w:type="pct"/>
            <w:shd w:val="clear" w:color="auto" w:fill="548DD4"/>
          </w:tcPr>
          <w:p w:rsidR="00671C94" w:rsidRPr="00176816" w:rsidRDefault="00671C94" w:rsidP="00F8631E">
            <w:pPr>
              <w:spacing w:before="40" w:after="40"/>
              <w:jc w:val="center"/>
              <w:rPr>
                <w:sz w:val="16"/>
                <w:szCs w:val="16"/>
                <w:highlight w:val="yellow"/>
              </w:rPr>
            </w:pPr>
            <w:r>
              <w:rPr>
                <w:b/>
                <w:color w:val="FFFFFF"/>
              </w:rPr>
              <w:t>Deferred</w:t>
            </w:r>
          </w:p>
        </w:tc>
      </w:tr>
    </w:tbl>
    <w:p w:rsidR="008928EF" w:rsidRPr="008928EF" w:rsidRDefault="008928EF" w:rsidP="008928EF">
      <w:pPr>
        <w:spacing w:before="60" w:after="60" w:line="360" w:lineRule="auto"/>
        <w:ind w:left="1080"/>
        <w:jc w:val="both"/>
        <w:rPr>
          <w:bCs/>
          <w:smallCaps/>
          <w:highlight w:val="yellow"/>
        </w:rPr>
      </w:pPr>
    </w:p>
    <w:p w:rsidR="00431720" w:rsidRPr="00431720" w:rsidRDefault="00431720" w:rsidP="00431720">
      <w:pPr>
        <w:pStyle w:val="Heading2"/>
        <w:numPr>
          <w:ilvl w:val="0"/>
          <w:numId w:val="0"/>
        </w:numPr>
        <w:jc w:val="both"/>
        <w:rPr>
          <w:rStyle w:val="IntenseReference1"/>
          <w:color w:val="1F497D"/>
          <w:u w:val="none"/>
          <w:lang w:val="en-IE"/>
        </w:rPr>
      </w:pPr>
      <w:bookmarkStart w:id="15" w:name="_Toc406084442"/>
      <w:r>
        <w:rPr>
          <w:rStyle w:val="IntenseReference1"/>
          <w:color w:val="1F497D"/>
          <w:u w:val="none"/>
          <w:lang w:val="en-IE"/>
        </w:rPr>
        <w:t>IV.</w:t>
      </w:r>
      <w:r>
        <w:rPr>
          <w:rStyle w:val="IntenseReference1"/>
          <w:color w:val="1F497D"/>
          <w:u w:val="none"/>
          <w:lang w:val="en-IE"/>
        </w:rPr>
        <w:tab/>
      </w:r>
      <w:r w:rsidRPr="00431720">
        <w:rPr>
          <w:rStyle w:val="IntenseReference1"/>
          <w:color w:val="1F497D"/>
          <w:u w:val="none"/>
        </w:rPr>
        <w:t>Mod_</w:t>
      </w:r>
      <w:r>
        <w:rPr>
          <w:rStyle w:val="IntenseReference1"/>
          <w:color w:val="1F497D"/>
          <w:u w:val="none"/>
          <w:lang w:val="en-IE"/>
        </w:rPr>
        <w:t>11</w:t>
      </w:r>
      <w:r w:rsidRPr="00431720">
        <w:rPr>
          <w:rStyle w:val="IntenseReference1"/>
          <w:color w:val="1F497D"/>
          <w:u w:val="none"/>
        </w:rPr>
        <w:t xml:space="preserve">_14 </w:t>
      </w:r>
      <w:r>
        <w:rPr>
          <w:rStyle w:val="IntenseReference1"/>
          <w:color w:val="1F497D"/>
          <w:u w:val="none"/>
          <w:lang w:val="en-IE"/>
        </w:rPr>
        <w:t>pay-as-bid/paid-as-bid for Interconnector units</w:t>
      </w:r>
      <w:bookmarkEnd w:id="15"/>
    </w:p>
    <w:p w:rsidR="00BD6EE8" w:rsidRPr="00B8356E" w:rsidRDefault="00431720" w:rsidP="00B8356E">
      <w:pPr>
        <w:jc w:val="both"/>
        <w:rPr>
          <w:i/>
        </w:rPr>
      </w:pPr>
      <w:r w:rsidRPr="00B8356E">
        <w:rPr>
          <w:bCs/>
          <w:i/>
          <w:smallCaps/>
        </w:rPr>
        <w:t>Proposer:Electroroute</w:t>
      </w:r>
    </w:p>
    <w:p w:rsidR="00BD6EE8" w:rsidRDefault="00BD6EE8" w:rsidP="00BD6EE8">
      <w:pPr>
        <w:jc w:val="both"/>
        <w:rPr>
          <w:lang w:eastAsia="en-GB"/>
        </w:rPr>
      </w:pPr>
    </w:p>
    <w:p w:rsidR="00BD6EE8" w:rsidRPr="0056423C" w:rsidRDefault="00BD6EE8" w:rsidP="0056423C">
      <w:pPr>
        <w:rPr>
          <w:rFonts w:ascii="Calibri" w:hAnsi="Calibri" w:cs="Arial"/>
          <w:lang w:val="en-IE" w:eastAsia="en-GB"/>
        </w:rPr>
      </w:pPr>
      <w:r w:rsidRPr="00BD6EE8">
        <w:rPr>
          <w:lang w:eastAsia="en-GB"/>
        </w:rPr>
        <w:t xml:space="preserve">Proposer </w:t>
      </w:r>
      <w:r>
        <w:rPr>
          <w:lang w:eastAsia="en-GB"/>
        </w:rPr>
        <w:t>presented slides on both propos</w:t>
      </w:r>
      <w:r w:rsidR="001E6309">
        <w:rPr>
          <w:lang w:eastAsia="en-GB"/>
        </w:rPr>
        <w:t>als outlining the below options.</w:t>
      </w:r>
      <w:r w:rsidR="00EC160C">
        <w:rPr>
          <w:lang w:eastAsia="en-GB"/>
        </w:rPr>
        <w:t xml:space="preserve"> Proposer advised that </w:t>
      </w:r>
      <w:r w:rsidR="00A31228">
        <w:rPr>
          <w:lang w:eastAsia="en-GB"/>
        </w:rPr>
        <w:t>t</w:t>
      </w:r>
      <w:r w:rsidR="00EC160C">
        <w:rPr>
          <w:lang w:eastAsia="en-GB"/>
        </w:rPr>
        <w:t xml:space="preserve">he purpose of Mod_11_14 </w:t>
      </w:r>
      <w:r w:rsidR="00EC160C" w:rsidRPr="00EC160C">
        <w:rPr>
          <w:lang w:eastAsia="en-GB"/>
        </w:rPr>
        <w:t>Pay-As-Bid / Paid-As-Bid for Interconnector Units is to amend the code to remove disjointed price signals by introducing a Pay-As-Bid/Paid-As-Bid settlement process for all Interconnector Units</w:t>
      </w:r>
      <w:r w:rsidR="00EC160C">
        <w:rPr>
          <w:lang w:eastAsia="en-GB"/>
        </w:rPr>
        <w:t>.</w:t>
      </w:r>
      <w:r w:rsidR="00436293">
        <w:rPr>
          <w:lang w:eastAsia="en-GB"/>
        </w:rPr>
        <w:t xml:space="preserve"> Interconnectors currently ‘bid to flow’.</w:t>
      </w:r>
      <w:r w:rsidR="00EC160C">
        <w:rPr>
          <w:lang w:eastAsia="en-GB"/>
        </w:rPr>
        <w:t xml:space="preserve"> Proposer advised that </w:t>
      </w:r>
      <w:r w:rsidR="00A31228">
        <w:rPr>
          <w:lang w:eastAsia="en-GB"/>
        </w:rPr>
        <w:t>t</w:t>
      </w:r>
      <w:r w:rsidR="00EC160C" w:rsidRPr="00BD6EE8">
        <w:rPr>
          <w:lang w:eastAsia="en-GB"/>
        </w:rPr>
        <w:t xml:space="preserve">his will eliminate the disjointed price signal and ensure that there is only one dominant trade direction in each half hour period. A “pay as bid / paid as bid” mechanism will remove the significant ex-post price risk interconnector units face and will effectively remove them from the Make Whole mechanism entirely. </w:t>
      </w:r>
      <w:r w:rsidR="0056423C">
        <w:rPr>
          <w:lang w:eastAsia="en-GB"/>
        </w:rPr>
        <w:t xml:space="preserve">Proposer provided an overview of Mod_12_14 </w:t>
      </w:r>
      <w:r w:rsidR="0056423C" w:rsidRPr="0056423C">
        <w:rPr>
          <w:lang w:eastAsia="en-GB"/>
        </w:rPr>
        <w:t>Amendment to Make Whole Mechanism to remove Settlement Periods of simultaneous import and export flows</w:t>
      </w:r>
      <w:r w:rsidR="0056423C">
        <w:rPr>
          <w:lang w:eastAsia="en-GB"/>
        </w:rPr>
        <w:t xml:space="preserve"> advising that the</w:t>
      </w:r>
      <w:r w:rsidR="0056423C" w:rsidRPr="0056423C">
        <w:rPr>
          <w:lang w:eastAsia="en-GB"/>
        </w:rPr>
        <w:t xml:space="preserve"> purpose of this modification is to amend the code so that Interconnector Units no longer receive Make Whole Payments for half hour trading periods where both import and export trades have been nominated.  </w:t>
      </w:r>
      <w:r w:rsidRPr="0056423C">
        <w:rPr>
          <w:lang w:eastAsia="en-GB"/>
        </w:rPr>
        <w:t xml:space="preserve">This allows interconnector unit to simply arrange trades by deciding what periods of the day they wish to import and export. The Make Whole Payment mechanism would no longer be exposed to payments where import and export volumes are scheduled simultaneously in the same period. The proposer believes that this represents the most practical fix to the issue. </w:t>
      </w:r>
      <w:r w:rsidR="004235C5">
        <w:rPr>
          <w:lang w:eastAsia="en-GB"/>
        </w:rPr>
        <w:t>(Please refer to Modification Proposal justifications and explanations for more detailed information on the proposals).</w:t>
      </w:r>
    </w:p>
    <w:p w:rsidR="00AD7406" w:rsidRDefault="00AD7406" w:rsidP="00AD7406">
      <w:pPr>
        <w:rPr>
          <w:lang w:eastAsia="en-GB"/>
        </w:rPr>
      </w:pPr>
      <w:r>
        <w:rPr>
          <w:rStyle w:val="IntenseReference1"/>
          <w:color w:val="1F497D"/>
          <w:u w:val="none"/>
          <w:lang w:val="en-IE"/>
        </w:rPr>
        <w:tab/>
      </w:r>
      <w:r>
        <w:rPr>
          <w:lang w:eastAsia="en-GB"/>
        </w:rPr>
        <w:t xml:space="preserve"> </w:t>
      </w:r>
    </w:p>
    <w:p w:rsidR="00AD7406" w:rsidRPr="00AD7406" w:rsidRDefault="00AD7406" w:rsidP="00AD7406">
      <w:pPr>
        <w:pStyle w:val="Heading2"/>
        <w:numPr>
          <w:ilvl w:val="0"/>
          <w:numId w:val="0"/>
        </w:numPr>
        <w:jc w:val="both"/>
        <w:rPr>
          <w:lang w:val="en-IE" w:eastAsia="en-GB"/>
        </w:rPr>
      </w:pPr>
      <w:bookmarkStart w:id="16" w:name="_Toc406084443"/>
      <w:r>
        <w:rPr>
          <w:lang w:val="en-IE" w:eastAsia="en-GB"/>
        </w:rPr>
        <w:lastRenderedPageBreak/>
        <w:t>make whole payments discussion (On all four Modification proposals)</w:t>
      </w:r>
      <w:bookmarkEnd w:id="16"/>
    </w:p>
    <w:p w:rsidR="00AD7406" w:rsidRDefault="00AD7406" w:rsidP="00D21359">
      <w:pPr>
        <w:rPr>
          <w:lang w:eastAsia="en-GB"/>
        </w:rPr>
      </w:pPr>
    </w:p>
    <w:p w:rsidR="00D21359" w:rsidRDefault="00FE0D56" w:rsidP="00D21359">
      <w:r>
        <w:rPr>
          <w:lang w:eastAsia="en-GB"/>
        </w:rPr>
        <w:t xml:space="preserve">RA Member advised that </w:t>
      </w:r>
      <w:r w:rsidR="00AD7406" w:rsidRPr="00AD7406">
        <w:rPr>
          <w:lang w:eastAsia="en-GB"/>
        </w:rPr>
        <w:t xml:space="preserve">more than </w:t>
      </w:r>
      <w:r w:rsidRPr="00AD7406">
        <w:rPr>
          <w:lang w:eastAsia="en-GB"/>
        </w:rPr>
        <w:t>9</w:t>
      </w:r>
      <w:r w:rsidR="00AD7406" w:rsidRPr="00AD7406">
        <w:rPr>
          <w:lang w:eastAsia="en-GB"/>
        </w:rPr>
        <w:t>0%</w:t>
      </w:r>
      <w:r w:rsidRPr="00AD7406">
        <w:rPr>
          <w:lang w:eastAsia="en-GB"/>
        </w:rPr>
        <w:t xml:space="preserve"> of  </w:t>
      </w:r>
      <w:r w:rsidR="00015730" w:rsidRPr="00AD7406">
        <w:rPr>
          <w:lang w:eastAsia="en-GB"/>
        </w:rPr>
        <w:t>Exports</w:t>
      </w:r>
      <w:r w:rsidR="00B46119">
        <w:rPr>
          <w:lang w:eastAsia="en-GB"/>
        </w:rPr>
        <w:t xml:space="preserve"> did not happen further advising</w:t>
      </w:r>
      <w:r>
        <w:rPr>
          <w:lang w:eastAsia="en-GB"/>
        </w:rPr>
        <w:t xml:space="preserve"> that an IC</w:t>
      </w:r>
      <w:r w:rsidR="008A3021">
        <w:rPr>
          <w:lang w:eastAsia="en-GB"/>
        </w:rPr>
        <w:t xml:space="preserve"> unit</w:t>
      </w:r>
      <w:r>
        <w:rPr>
          <w:lang w:eastAsia="en-GB"/>
        </w:rPr>
        <w:t xml:space="preserve"> can bid whatever they choose as this is not enshrined anywhere within the Code.</w:t>
      </w:r>
      <w:r w:rsidR="00B46119">
        <w:rPr>
          <w:lang w:eastAsia="en-GB"/>
        </w:rPr>
        <w:t xml:space="preserve"> </w:t>
      </w:r>
      <w:r>
        <w:rPr>
          <w:lang w:eastAsia="en-GB"/>
        </w:rPr>
        <w:t xml:space="preserve">Electroroute representative expressed the view that </w:t>
      </w:r>
      <w:r w:rsidR="000E5979">
        <w:rPr>
          <w:lang w:eastAsia="en-GB"/>
        </w:rPr>
        <w:t xml:space="preserve">in terms of bidding to flow, </w:t>
      </w:r>
      <w:r>
        <w:rPr>
          <w:lang w:eastAsia="en-GB"/>
        </w:rPr>
        <w:t>IC activity has evolved that way over the duration of the market</w:t>
      </w:r>
      <w:r w:rsidR="005A5A27">
        <w:rPr>
          <w:lang w:eastAsia="en-GB"/>
        </w:rPr>
        <w:t>. Proposer further advised</w:t>
      </w:r>
      <w:r>
        <w:rPr>
          <w:lang w:eastAsia="en-GB"/>
        </w:rPr>
        <w:t xml:space="preserve"> that Electroroute are not comfortable effectively hampering “free movement of goods between borders”</w:t>
      </w:r>
      <w:r w:rsidR="00D21359">
        <w:rPr>
          <w:lang w:eastAsia="en-GB"/>
        </w:rPr>
        <w:t xml:space="preserve"> as specified </w:t>
      </w:r>
      <w:r w:rsidR="008C6699">
        <w:rPr>
          <w:lang w:eastAsia="en-GB"/>
        </w:rPr>
        <w:t>in Directive</w:t>
      </w:r>
      <w:r w:rsidR="00D21359">
        <w:t xml:space="preserve"> </w:t>
      </w:r>
      <w:hyperlink r:id="rId27" w:history="1">
        <w:r w:rsidR="00D21359">
          <w:rPr>
            <w:rStyle w:val="Hyperlink"/>
          </w:rPr>
          <w:t>2006/123/EC</w:t>
        </w:r>
      </w:hyperlink>
      <w:r w:rsidR="00D21359">
        <w:t xml:space="preserve"> of the European Parliament and of the Council of 12 December 2006 on services in the internal market. </w:t>
      </w:r>
      <w:r w:rsidR="002C355F">
        <w:t xml:space="preserve">The proposer mentioned that they had started an internal legal review which supported this view. MO Member asked if this legal analysis could be shared with the Committee. The proposer replied that they are not ready to disclose this at this point. </w:t>
      </w:r>
    </w:p>
    <w:p w:rsidR="00BB4E9F" w:rsidRDefault="000E5979" w:rsidP="00BD6EE8">
      <w:pPr>
        <w:jc w:val="both"/>
        <w:rPr>
          <w:lang w:eastAsia="en-GB"/>
        </w:rPr>
      </w:pPr>
      <w:r>
        <w:rPr>
          <w:lang w:eastAsia="en-GB"/>
        </w:rPr>
        <w:t>MO Alternate reiterated RA view that</w:t>
      </w:r>
      <w:r w:rsidR="00BB4E9F">
        <w:rPr>
          <w:lang w:eastAsia="en-GB"/>
        </w:rPr>
        <w:t xml:space="preserve"> Interconnector Users are not prohibited from representing costs within their bids and that</w:t>
      </w:r>
      <w:r>
        <w:rPr>
          <w:lang w:eastAsia="en-GB"/>
        </w:rPr>
        <w:t xml:space="preserve"> it is Electroroute’s commercial decision to bid that way and ICs are not bound by the BCOP as traditional GUs are.</w:t>
      </w:r>
      <w:r w:rsidR="00BB4E9F">
        <w:rPr>
          <w:lang w:eastAsia="en-GB"/>
        </w:rPr>
        <w:t xml:space="preserve"> </w:t>
      </w:r>
    </w:p>
    <w:p w:rsidR="00436293" w:rsidRDefault="00BB4E9F" w:rsidP="00BD6EE8">
      <w:pPr>
        <w:jc w:val="both"/>
        <w:rPr>
          <w:lang w:eastAsia="en-GB"/>
        </w:rPr>
      </w:pPr>
      <w:r>
        <w:rPr>
          <w:lang w:eastAsia="en-GB"/>
        </w:rPr>
        <w:t>Observer questioned whether Interconnector bid</w:t>
      </w:r>
      <w:r w:rsidR="00287217">
        <w:rPr>
          <w:lang w:eastAsia="en-GB"/>
        </w:rPr>
        <w:t>s,</w:t>
      </w:r>
      <w:r>
        <w:rPr>
          <w:lang w:eastAsia="en-GB"/>
        </w:rPr>
        <w:t xml:space="preserve"> </w:t>
      </w:r>
      <w:r w:rsidR="00287217">
        <w:rPr>
          <w:lang w:eastAsia="en-GB"/>
        </w:rPr>
        <w:t xml:space="preserve">which currently seem not to reflect price differential between adjacent regions, </w:t>
      </w:r>
      <w:r w:rsidR="0090765F">
        <w:rPr>
          <w:lang w:eastAsia="en-GB"/>
        </w:rPr>
        <w:t xml:space="preserve">would have a detrimental impact on the price coupling </w:t>
      </w:r>
      <w:r w:rsidR="00287217">
        <w:rPr>
          <w:lang w:eastAsia="en-GB"/>
        </w:rPr>
        <w:t xml:space="preserve">and efficient export flows. </w:t>
      </w:r>
      <w:r w:rsidR="000E5979">
        <w:rPr>
          <w:lang w:eastAsia="en-GB"/>
        </w:rPr>
        <w:t xml:space="preserve">Observer expressed concern around the </w:t>
      </w:r>
      <w:r w:rsidR="005C3A4B">
        <w:rPr>
          <w:lang w:eastAsia="en-GB"/>
        </w:rPr>
        <w:t>introduction of a market imbalance and</w:t>
      </w:r>
      <w:r w:rsidR="000E5979">
        <w:rPr>
          <w:lang w:eastAsia="en-GB"/>
        </w:rPr>
        <w:t xml:space="preserve"> of </w:t>
      </w:r>
      <w:r w:rsidR="005C3A4B">
        <w:rPr>
          <w:lang w:eastAsia="en-GB"/>
        </w:rPr>
        <w:t xml:space="preserve">the impact on </w:t>
      </w:r>
      <w:r w:rsidR="000E5979">
        <w:rPr>
          <w:lang w:eastAsia="en-GB"/>
        </w:rPr>
        <w:t xml:space="preserve"> constraints if</w:t>
      </w:r>
      <w:r w:rsidR="005C3A4B">
        <w:rPr>
          <w:lang w:eastAsia="en-GB"/>
        </w:rPr>
        <w:t xml:space="preserve"> pay/paid</w:t>
      </w:r>
      <w:r w:rsidR="000E5979">
        <w:rPr>
          <w:lang w:eastAsia="en-GB"/>
        </w:rPr>
        <w:t xml:space="preserve"> </w:t>
      </w:r>
      <w:r w:rsidR="00287217">
        <w:rPr>
          <w:lang w:eastAsia="en-GB"/>
        </w:rPr>
        <w:t xml:space="preserve">as bid </w:t>
      </w:r>
      <w:r w:rsidR="005C3A4B">
        <w:rPr>
          <w:lang w:eastAsia="en-GB"/>
        </w:rPr>
        <w:t>were</w:t>
      </w:r>
      <w:r w:rsidR="000E5979">
        <w:rPr>
          <w:lang w:eastAsia="en-GB"/>
        </w:rPr>
        <w:t xml:space="preserve"> introduced.</w:t>
      </w:r>
      <w:r w:rsidR="000E5979" w:rsidRPr="000E5979">
        <w:rPr>
          <w:lang w:eastAsia="en-GB"/>
        </w:rPr>
        <w:t xml:space="preserve"> </w:t>
      </w:r>
      <w:r w:rsidR="000E5979">
        <w:rPr>
          <w:lang w:eastAsia="en-GB"/>
        </w:rPr>
        <w:t xml:space="preserve">Electroroute representative advised that constraints could happen but that it should not be viewed as a significant risk.  </w:t>
      </w:r>
    </w:p>
    <w:p w:rsidR="0098152C" w:rsidRDefault="0098152C" w:rsidP="0098152C">
      <w:pPr>
        <w:jc w:val="both"/>
        <w:rPr>
          <w:lang w:eastAsia="en-GB"/>
        </w:rPr>
      </w:pPr>
      <w:r>
        <w:rPr>
          <w:lang w:eastAsia="en-GB"/>
        </w:rPr>
        <w:t xml:space="preserve">DSU Member stated that </w:t>
      </w:r>
      <w:r w:rsidRPr="00AD7406">
        <w:rPr>
          <w:lang w:eastAsia="en-GB"/>
        </w:rPr>
        <w:t>as over 90% of exports</w:t>
      </w:r>
      <w:r>
        <w:rPr>
          <w:lang w:eastAsia="en-GB"/>
        </w:rPr>
        <w:t xml:space="preserve"> traded did not actually happen, were the dispatchers incorrect to have sold the power in the first instance. Electroroute representative expressed the view that they were not illegitimate trades and that this type of trading is frequently seen on the continent. </w:t>
      </w:r>
    </w:p>
    <w:p w:rsidR="0016598D" w:rsidRDefault="0098152C" w:rsidP="00BD6EE8">
      <w:pPr>
        <w:jc w:val="both"/>
        <w:rPr>
          <w:lang w:eastAsia="en-GB"/>
        </w:rPr>
      </w:pPr>
      <w:r>
        <w:rPr>
          <w:lang w:eastAsia="en-GB"/>
        </w:rPr>
        <w:t>DSU member also asked if this indicated a flaw within the scheduling software. Observer advised that the market solver optimises Schedule Production Costs based on the bids submitted, and that MWPs are not visible to and are therefore not considered by the Pricing and Scheduling software. Generator Member expressed the view that there appears to be a discrepancy between export bids and SMP.</w:t>
      </w:r>
      <w:r w:rsidR="00302369">
        <w:rPr>
          <w:lang w:eastAsia="en-GB"/>
        </w:rPr>
        <w:t>I</w:t>
      </w:r>
      <w:r w:rsidR="00163A19">
        <w:rPr>
          <w:lang w:eastAsia="en-GB"/>
        </w:rPr>
        <w:t>n order for flows in both directions to be scheduled</w:t>
      </w:r>
      <w:r w:rsidR="00302369">
        <w:rPr>
          <w:lang w:eastAsia="en-GB"/>
        </w:rPr>
        <w:t>,</w:t>
      </w:r>
      <w:r w:rsidR="00163A19">
        <w:rPr>
          <w:lang w:eastAsia="en-GB"/>
        </w:rPr>
        <w:t xml:space="preserve"> the import bid would have to be less than Shadow Price and the export bid would have to be greater than Shadow Price</w:t>
      </w:r>
      <w:r w:rsidR="00AE1141">
        <w:rPr>
          <w:lang w:eastAsia="en-GB"/>
        </w:rPr>
        <w:t>.</w:t>
      </w:r>
      <w:r w:rsidR="00163A19">
        <w:rPr>
          <w:lang w:eastAsia="en-GB"/>
        </w:rPr>
        <w:t xml:space="preserve">. </w:t>
      </w:r>
    </w:p>
    <w:p w:rsidR="000E5979" w:rsidRDefault="00163A19" w:rsidP="00BD6EE8">
      <w:pPr>
        <w:jc w:val="both"/>
        <w:rPr>
          <w:lang w:eastAsia="en-GB"/>
        </w:rPr>
      </w:pPr>
      <w:r>
        <w:rPr>
          <w:lang w:eastAsia="en-GB"/>
        </w:rPr>
        <w:t xml:space="preserve">Observer elaborated that </w:t>
      </w:r>
      <w:r w:rsidR="0016598D">
        <w:rPr>
          <w:lang w:eastAsia="en-GB"/>
        </w:rPr>
        <w:t>trading with an import bid which is less than an export bid in a given period appeared counter-intuitive</w:t>
      </w:r>
      <w:r w:rsidR="00AE1141">
        <w:rPr>
          <w:lang w:eastAsia="en-GB"/>
        </w:rPr>
        <w:t>.</w:t>
      </w:r>
      <w:r w:rsidR="0016598D">
        <w:rPr>
          <w:lang w:eastAsia="en-GB"/>
        </w:rPr>
        <w:t xml:space="preserve"> </w:t>
      </w:r>
      <w:r w:rsidR="00AE1141">
        <w:rPr>
          <w:lang w:eastAsia="en-GB"/>
        </w:rPr>
        <w:t>T</w:t>
      </w:r>
      <w:r w:rsidR="0016598D">
        <w:rPr>
          <w:lang w:eastAsia="en-GB"/>
        </w:rPr>
        <w:t>his appears to indicate an intention to sell/import to the SEM at a lower price and buy/export from the SEM</w:t>
      </w:r>
      <w:r w:rsidR="00AE1141">
        <w:rPr>
          <w:lang w:eastAsia="en-GB"/>
        </w:rPr>
        <w:t xml:space="preserve"> </w:t>
      </w:r>
      <w:r w:rsidR="0016598D">
        <w:rPr>
          <w:lang w:eastAsia="en-GB"/>
        </w:rPr>
        <w:t xml:space="preserve">at a relatively higher price. </w:t>
      </w:r>
      <w:r w:rsidR="00AE1141">
        <w:rPr>
          <w:lang w:eastAsia="en-GB"/>
        </w:rPr>
        <w:t>T</w:t>
      </w:r>
      <w:r w:rsidR="0016598D">
        <w:rPr>
          <w:lang w:eastAsia="en-GB"/>
        </w:rPr>
        <w:t>his bidding approach appeared to be loss making when considered in isolation from the Make Whole Payment mechanism.</w:t>
      </w:r>
      <w:r w:rsidR="009415D1">
        <w:rPr>
          <w:lang w:eastAsia="en-GB"/>
        </w:rPr>
        <w:t xml:space="preserve"> </w:t>
      </w:r>
      <w:r w:rsidR="00CD37AB">
        <w:rPr>
          <w:lang w:eastAsia="en-GB"/>
        </w:rPr>
        <w:t>Generator Member drew reference to Mod_</w:t>
      </w:r>
      <w:r w:rsidR="00CD37AB" w:rsidRPr="00CD37AB">
        <w:rPr>
          <w:lang w:eastAsia="en-GB"/>
        </w:rPr>
        <w:t xml:space="preserve"> </w:t>
      </w:r>
      <w:r w:rsidR="00CD37AB">
        <w:rPr>
          <w:lang w:eastAsia="en-GB"/>
        </w:rPr>
        <w:t>09_14 Amendment to MWPs for IC Units</w:t>
      </w:r>
      <w:r w:rsidR="00DD0D26">
        <w:rPr>
          <w:lang w:eastAsia="en-GB"/>
        </w:rPr>
        <w:t xml:space="preserve"> stating that the user would be made whole and that the proposed aggregation of IC Users</w:t>
      </w:r>
      <w:r w:rsidR="00DD0D26" w:rsidRPr="000E7E72">
        <w:rPr>
          <w:lang w:eastAsia="en-GB"/>
        </w:rPr>
        <w:t xml:space="preserve"> across all gate windows</w:t>
      </w:r>
      <w:r w:rsidR="00DD0D26">
        <w:rPr>
          <w:lang w:eastAsia="en-GB"/>
        </w:rPr>
        <w:t xml:space="preserve"> is not discriminatory if it brings IC Users in line with other GUs. Electroroute representative advised that</w:t>
      </w:r>
      <w:r w:rsidR="00501EF6">
        <w:rPr>
          <w:lang w:eastAsia="en-GB"/>
        </w:rPr>
        <w:t xml:space="preserve"> in their view,</w:t>
      </w:r>
      <w:r w:rsidR="00DD0D26">
        <w:rPr>
          <w:lang w:eastAsia="en-GB"/>
        </w:rPr>
        <w:t xml:space="preserve"> ICs would not be aligned with GUs </w:t>
      </w:r>
      <w:r w:rsidR="00501EF6">
        <w:rPr>
          <w:lang w:eastAsia="en-GB"/>
        </w:rPr>
        <w:t xml:space="preserve">because they bid to flow </w:t>
      </w:r>
      <w:r w:rsidR="00370752">
        <w:rPr>
          <w:lang w:eastAsia="en-GB"/>
        </w:rPr>
        <w:t xml:space="preserve">and </w:t>
      </w:r>
      <w:r w:rsidR="00501EF6">
        <w:rPr>
          <w:lang w:eastAsia="en-GB"/>
        </w:rPr>
        <w:t>their import trading is overstated in the Make Whole Payment aggregation.</w:t>
      </w:r>
    </w:p>
    <w:p w:rsidR="00DD0D26" w:rsidRDefault="00DD0D26" w:rsidP="00BD6EE8">
      <w:pPr>
        <w:jc w:val="both"/>
        <w:rPr>
          <w:lang w:eastAsia="en-GB"/>
        </w:rPr>
      </w:pPr>
      <w:r>
        <w:rPr>
          <w:lang w:eastAsia="en-GB"/>
        </w:rPr>
        <w:t>Observer reiterated previous point that the bid is at the ICs discretion whereas GUs must bid</w:t>
      </w:r>
      <w:r w:rsidR="00436293">
        <w:rPr>
          <w:lang w:eastAsia="en-GB"/>
        </w:rPr>
        <w:t xml:space="preserve"> based on the requirement of the BCOP</w:t>
      </w:r>
      <w:r>
        <w:rPr>
          <w:lang w:eastAsia="en-GB"/>
        </w:rPr>
        <w:t xml:space="preserve">. Electroroute representative drew reference again to the potential hampering of cross border trading. </w:t>
      </w:r>
      <w:r w:rsidR="00D41A26">
        <w:rPr>
          <w:lang w:eastAsia="en-GB"/>
        </w:rPr>
        <w:t xml:space="preserve">Observer </w:t>
      </w:r>
      <w:r w:rsidR="00D36EAF">
        <w:rPr>
          <w:lang w:eastAsia="en-GB"/>
        </w:rPr>
        <w:t>said</w:t>
      </w:r>
      <w:r w:rsidR="00D41A26">
        <w:rPr>
          <w:lang w:eastAsia="en-GB"/>
        </w:rPr>
        <w:t xml:space="preserve"> that where the link between costs </w:t>
      </w:r>
      <w:r w:rsidR="00D36EAF">
        <w:rPr>
          <w:lang w:eastAsia="en-GB"/>
        </w:rPr>
        <w:t xml:space="preserve">of adjacent markets </w:t>
      </w:r>
      <w:r w:rsidR="00D41A26">
        <w:rPr>
          <w:lang w:eastAsia="en-GB"/>
        </w:rPr>
        <w:t xml:space="preserve">and bidding behaviours is </w:t>
      </w:r>
      <w:r w:rsidR="00D36EAF">
        <w:rPr>
          <w:lang w:eastAsia="en-GB"/>
        </w:rPr>
        <w:t>lost, then</w:t>
      </w:r>
      <w:r w:rsidR="00D41A26">
        <w:rPr>
          <w:lang w:eastAsia="en-GB"/>
        </w:rPr>
        <w:t xml:space="preserve"> the price coupling effect may also be diminished.</w:t>
      </w:r>
    </w:p>
    <w:p w:rsidR="00EC5D0F" w:rsidRDefault="00FB4ED2" w:rsidP="00BD6EE8">
      <w:pPr>
        <w:jc w:val="both"/>
        <w:rPr>
          <w:lang w:eastAsia="en-GB"/>
        </w:rPr>
      </w:pPr>
      <w:r>
        <w:rPr>
          <w:lang w:eastAsia="en-GB"/>
        </w:rPr>
        <w:t xml:space="preserve">Observer stated that </w:t>
      </w:r>
      <w:r w:rsidR="00795053">
        <w:rPr>
          <w:lang w:eastAsia="en-GB"/>
        </w:rPr>
        <w:t xml:space="preserve">opportunity for exports based on price </w:t>
      </w:r>
      <w:r w:rsidR="00EC5D0F">
        <w:rPr>
          <w:lang w:eastAsia="en-GB"/>
        </w:rPr>
        <w:t>spread between the two markets</w:t>
      </w:r>
      <w:r w:rsidR="0047265C">
        <w:rPr>
          <w:lang w:eastAsia="en-GB"/>
        </w:rPr>
        <w:t xml:space="preserve">, are expected to be concentrated at </w:t>
      </w:r>
      <w:r w:rsidR="00795053">
        <w:rPr>
          <w:lang w:eastAsia="en-GB"/>
        </w:rPr>
        <w:t>night</w:t>
      </w:r>
      <w:r w:rsidR="0047265C">
        <w:rPr>
          <w:lang w:eastAsia="en-GB"/>
        </w:rPr>
        <w:t xml:space="preserve"> time</w:t>
      </w:r>
      <w:r w:rsidR="00EC5D0F">
        <w:rPr>
          <w:lang w:eastAsia="en-GB"/>
        </w:rPr>
        <w:t>,</w:t>
      </w:r>
      <w:r w:rsidR="00795053">
        <w:rPr>
          <w:lang w:eastAsia="en-GB"/>
        </w:rPr>
        <w:t xml:space="preserve"> which limits the exposure to Uplift. </w:t>
      </w:r>
      <w:r w:rsidR="00EC5D0F">
        <w:rPr>
          <w:lang w:eastAsia="en-GB"/>
        </w:rPr>
        <w:t>This is because Uplift is higher during evening peak time. Currently exports are observed across the entire day,</w:t>
      </w:r>
      <w:r>
        <w:rPr>
          <w:lang w:eastAsia="en-GB"/>
        </w:rPr>
        <w:t xml:space="preserve"> which appears contrary to the concept of efficient cross border flow and the social welf</w:t>
      </w:r>
      <w:r w:rsidR="002227DA">
        <w:rPr>
          <w:lang w:eastAsia="en-GB"/>
        </w:rPr>
        <w:t>are gains it is intended to bring</w:t>
      </w:r>
      <w:r>
        <w:rPr>
          <w:lang w:eastAsia="en-GB"/>
        </w:rPr>
        <w:t>.</w:t>
      </w:r>
      <w:r w:rsidR="00AD7406">
        <w:rPr>
          <w:lang w:eastAsia="en-GB"/>
        </w:rPr>
        <w:t xml:space="preserve"> </w:t>
      </w:r>
      <w:r w:rsidR="00DD0D26">
        <w:rPr>
          <w:lang w:eastAsia="en-GB"/>
        </w:rPr>
        <w:t>Observer expressed the view that in the</w:t>
      </w:r>
      <w:r w:rsidR="00170AA1">
        <w:rPr>
          <w:lang w:eastAsia="en-GB"/>
        </w:rPr>
        <w:t>ir own analysis</w:t>
      </w:r>
      <w:r w:rsidR="00EC5D0F">
        <w:rPr>
          <w:lang w:eastAsia="en-GB"/>
        </w:rPr>
        <w:t xml:space="preserve"> Exports without Make Whole Payments are</w:t>
      </w:r>
      <w:r w:rsidR="00170AA1">
        <w:rPr>
          <w:lang w:eastAsia="en-GB"/>
        </w:rPr>
        <w:t xml:space="preserve"> possible.</w:t>
      </w:r>
      <w:r w:rsidR="00DD0D26">
        <w:rPr>
          <w:lang w:eastAsia="en-GB"/>
        </w:rPr>
        <w:t xml:space="preserve"> </w:t>
      </w:r>
      <w:r w:rsidR="00170AA1">
        <w:rPr>
          <w:lang w:eastAsia="en-GB"/>
        </w:rPr>
        <w:t xml:space="preserve">For a specific period, </w:t>
      </w:r>
      <w:r w:rsidR="00DD0D26">
        <w:rPr>
          <w:lang w:eastAsia="en-GB"/>
        </w:rPr>
        <w:t xml:space="preserve">ElectroRoute accounted for </w:t>
      </w:r>
      <w:r w:rsidR="00170AA1">
        <w:rPr>
          <w:lang w:eastAsia="en-GB"/>
        </w:rPr>
        <w:t xml:space="preserve">only 40% of the Exports but </w:t>
      </w:r>
      <w:r w:rsidR="00DD0D26">
        <w:rPr>
          <w:lang w:eastAsia="en-GB"/>
        </w:rPr>
        <w:t xml:space="preserve">100% of the MWPs and emphasised that other exporters were not relying on the MWPs to recover costs. </w:t>
      </w:r>
      <w:r w:rsidR="009D772C">
        <w:rPr>
          <w:lang w:eastAsia="en-GB"/>
        </w:rPr>
        <w:t xml:space="preserve">Observer expressed the </w:t>
      </w:r>
      <w:r w:rsidR="009D772C">
        <w:rPr>
          <w:lang w:eastAsia="en-GB"/>
        </w:rPr>
        <w:lastRenderedPageBreak/>
        <w:t>view that it should be possible for Electroroute to continue to export without relying on MWPs.</w:t>
      </w:r>
      <w:r w:rsidR="005C2F73">
        <w:rPr>
          <w:lang w:eastAsia="en-GB"/>
        </w:rPr>
        <w:t xml:space="preserve"> Electroroute representative expressed concern that there is a fundamental disjoint in the market and that there is a lack of clarity from the original design. </w:t>
      </w:r>
      <w:r w:rsidR="00E60176">
        <w:rPr>
          <w:lang w:eastAsia="en-GB"/>
        </w:rPr>
        <w:t>Observer sought clarifications from Electroroute in relation to whether the problem is regarding different price signals</w:t>
      </w:r>
      <w:r w:rsidR="0078635C">
        <w:rPr>
          <w:lang w:eastAsia="en-GB"/>
        </w:rPr>
        <w:t xml:space="preserve"> resulting in netted import and export settling at different rates or Interconnector Users receiving make whole payments whenever already whole or better in aggregate across gate windows</w:t>
      </w:r>
      <w:r w:rsidR="00E60176">
        <w:rPr>
          <w:lang w:eastAsia="en-GB"/>
        </w:rPr>
        <w:t xml:space="preserve">. </w:t>
      </w:r>
    </w:p>
    <w:p w:rsidR="008C73BE" w:rsidRDefault="00E60176" w:rsidP="00BD6EE8">
      <w:pPr>
        <w:jc w:val="both"/>
        <w:rPr>
          <w:lang w:eastAsia="en-GB"/>
        </w:rPr>
      </w:pPr>
      <w:r>
        <w:rPr>
          <w:lang w:eastAsia="en-GB"/>
        </w:rPr>
        <w:t xml:space="preserve">Electroroute representative advised that the issue is around the prices </w:t>
      </w:r>
      <w:r w:rsidR="00EC5D0F">
        <w:rPr>
          <w:lang w:eastAsia="en-GB"/>
        </w:rPr>
        <w:t>applied by the dispatcher</w:t>
      </w:r>
      <w:r>
        <w:rPr>
          <w:lang w:eastAsia="en-GB"/>
        </w:rPr>
        <w:t xml:space="preserve">. </w:t>
      </w:r>
      <w:r w:rsidR="005F544A">
        <w:rPr>
          <w:lang w:eastAsia="en-GB"/>
        </w:rPr>
        <w:t>Observer reiterated concern that</w:t>
      </w:r>
      <w:r w:rsidR="0078635C">
        <w:rPr>
          <w:lang w:eastAsia="en-GB"/>
        </w:rPr>
        <w:t xml:space="preserve"> both</w:t>
      </w:r>
      <w:r w:rsidR="005F544A">
        <w:rPr>
          <w:lang w:eastAsia="en-GB"/>
        </w:rPr>
        <w:t xml:space="preserve"> the </w:t>
      </w:r>
      <w:r w:rsidR="0078635C">
        <w:rPr>
          <w:lang w:eastAsia="en-GB"/>
        </w:rPr>
        <w:t xml:space="preserve">pay/paid as </w:t>
      </w:r>
      <w:r w:rsidR="005F544A">
        <w:rPr>
          <w:lang w:eastAsia="en-GB"/>
        </w:rPr>
        <w:t>bid</w:t>
      </w:r>
      <w:r w:rsidR="0078635C">
        <w:rPr>
          <w:lang w:eastAsia="en-GB"/>
        </w:rPr>
        <w:t xml:space="preserve"> and removal of netted trading periods</w:t>
      </w:r>
      <w:r w:rsidR="005F544A">
        <w:rPr>
          <w:lang w:eastAsia="en-GB"/>
        </w:rPr>
        <w:t xml:space="preserve">  </w:t>
      </w:r>
      <w:r w:rsidR="0078635C">
        <w:rPr>
          <w:lang w:eastAsia="en-GB"/>
        </w:rPr>
        <w:t>approaches</w:t>
      </w:r>
      <w:r w:rsidR="005F544A">
        <w:rPr>
          <w:lang w:eastAsia="en-GB"/>
        </w:rPr>
        <w:t xml:space="preserve"> could </w:t>
      </w:r>
      <w:r w:rsidR="00170AA1">
        <w:rPr>
          <w:lang w:eastAsia="en-GB"/>
        </w:rPr>
        <w:t xml:space="preserve">keep </w:t>
      </w:r>
      <w:r w:rsidR="005F544A">
        <w:rPr>
          <w:lang w:eastAsia="en-GB"/>
        </w:rPr>
        <w:t>the</w:t>
      </w:r>
      <w:r w:rsidR="0078635C">
        <w:rPr>
          <w:lang w:eastAsia="en-GB"/>
        </w:rPr>
        <w:t xml:space="preserve"> Uplift</w:t>
      </w:r>
      <w:r w:rsidR="005F544A">
        <w:rPr>
          <w:lang w:eastAsia="en-GB"/>
        </w:rPr>
        <w:t xml:space="preserve"> exposure </w:t>
      </w:r>
      <w:r w:rsidR="0078635C">
        <w:rPr>
          <w:lang w:eastAsia="en-GB"/>
        </w:rPr>
        <w:t>with</w:t>
      </w:r>
      <w:r w:rsidR="005F544A">
        <w:rPr>
          <w:lang w:eastAsia="en-GB"/>
        </w:rPr>
        <w:t xml:space="preserve"> </w:t>
      </w:r>
      <w:r w:rsidR="00170AA1">
        <w:rPr>
          <w:lang w:eastAsia="en-GB"/>
        </w:rPr>
        <w:t xml:space="preserve">the consumer as opposed to the </w:t>
      </w:r>
      <w:r w:rsidR="0078635C">
        <w:rPr>
          <w:lang w:eastAsia="en-GB"/>
        </w:rPr>
        <w:t>trader who chose to make the trade and has control over the bids that govern it</w:t>
      </w:r>
      <w:r w:rsidR="00EC5D0F">
        <w:rPr>
          <w:lang w:eastAsia="en-GB"/>
        </w:rPr>
        <w:t>.</w:t>
      </w:r>
      <w:r w:rsidR="005F544A">
        <w:rPr>
          <w:lang w:eastAsia="en-GB"/>
        </w:rPr>
        <w:t xml:space="preserve">. </w:t>
      </w:r>
    </w:p>
    <w:p w:rsidR="008C73BE" w:rsidRDefault="005F544A" w:rsidP="00BD6EE8">
      <w:pPr>
        <w:jc w:val="both"/>
        <w:rPr>
          <w:lang w:eastAsia="en-GB"/>
        </w:rPr>
      </w:pPr>
      <w:r>
        <w:rPr>
          <w:lang w:eastAsia="en-GB"/>
        </w:rPr>
        <w:t>MO Alternate expressed the view that aggregating across the 3 gates may be a more appropriate course of action</w:t>
      </w:r>
      <w:r w:rsidR="00170AA1">
        <w:rPr>
          <w:lang w:eastAsia="en-GB"/>
        </w:rPr>
        <w:t xml:space="preserve"> as Interconnector Units for individual Gates were only designed as </w:t>
      </w:r>
      <w:r w:rsidR="004E19EA">
        <w:rPr>
          <w:lang w:eastAsia="en-GB"/>
        </w:rPr>
        <w:t>a</w:t>
      </w:r>
      <w:r w:rsidR="00170AA1">
        <w:rPr>
          <w:lang w:eastAsia="en-GB"/>
        </w:rPr>
        <w:t xml:space="preserve"> mechanism to implement IDT requirements</w:t>
      </w:r>
      <w:r w:rsidR="008C73BE">
        <w:rPr>
          <w:lang w:eastAsia="en-GB"/>
        </w:rPr>
        <w:t>. They also noted</w:t>
      </w:r>
      <w:r w:rsidR="0078635C">
        <w:rPr>
          <w:lang w:eastAsia="en-GB"/>
        </w:rPr>
        <w:t xml:space="preserve"> that prior to IDT it was not possible </w:t>
      </w:r>
      <w:r w:rsidR="004E19EA">
        <w:rPr>
          <w:lang w:eastAsia="en-GB"/>
        </w:rPr>
        <w:t>isolate</w:t>
      </w:r>
      <w:r w:rsidR="0078635C">
        <w:rPr>
          <w:lang w:eastAsia="en-GB"/>
        </w:rPr>
        <w:t xml:space="preserve"> trading periods with a positive contribution to MWP from those with a negative contribution to MWP</w:t>
      </w:r>
      <w:r w:rsidR="008C73BE">
        <w:rPr>
          <w:lang w:eastAsia="en-GB"/>
        </w:rPr>
        <w:t>. MO alternate added</w:t>
      </w:r>
      <w:r w:rsidR="0078635C">
        <w:rPr>
          <w:lang w:eastAsia="en-GB"/>
        </w:rPr>
        <w:t xml:space="preserve"> that there was</w:t>
      </w:r>
      <w:r w:rsidR="004E19EA">
        <w:rPr>
          <w:lang w:eastAsia="en-GB"/>
        </w:rPr>
        <w:t>n’t</w:t>
      </w:r>
      <w:r w:rsidR="0078635C">
        <w:rPr>
          <w:lang w:eastAsia="en-GB"/>
        </w:rPr>
        <w:t xml:space="preserve"> an intention to introduce this scenario</w:t>
      </w:r>
      <w:r w:rsidR="004E19EA">
        <w:rPr>
          <w:lang w:eastAsia="en-GB"/>
        </w:rPr>
        <w:t>,</w:t>
      </w:r>
      <w:r w:rsidR="0078635C">
        <w:rPr>
          <w:lang w:eastAsia="en-GB"/>
        </w:rPr>
        <w:t xml:space="preserve"> </w:t>
      </w:r>
      <w:r w:rsidR="008C73BE">
        <w:rPr>
          <w:lang w:eastAsia="en-GB"/>
        </w:rPr>
        <w:t>but rather that this was a practicality of implementing IDT</w:t>
      </w:r>
      <w:r w:rsidR="0078635C">
        <w:rPr>
          <w:lang w:eastAsia="en-GB"/>
        </w:rPr>
        <w:t>.</w:t>
      </w:r>
    </w:p>
    <w:p w:rsidR="005F544A" w:rsidRDefault="0078635C" w:rsidP="00BD6EE8">
      <w:pPr>
        <w:jc w:val="both"/>
        <w:rPr>
          <w:lang w:eastAsia="en-GB"/>
        </w:rPr>
      </w:pPr>
      <w:r>
        <w:rPr>
          <w:lang w:eastAsia="en-GB"/>
        </w:rPr>
        <w:t>MO alternate stated their belief that</w:t>
      </w:r>
      <w:r w:rsidR="00170AA1">
        <w:rPr>
          <w:lang w:eastAsia="en-GB"/>
        </w:rPr>
        <w:t xml:space="preserve"> the equivalent of a generator unit is </w:t>
      </w:r>
      <w:r w:rsidR="004E19EA">
        <w:rPr>
          <w:lang w:eastAsia="en-GB"/>
        </w:rPr>
        <w:t>an</w:t>
      </w:r>
      <w:r w:rsidR="00170AA1">
        <w:rPr>
          <w:lang w:eastAsia="en-GB"/>
        </w:rPr>
        <w:t xml:space="preserve"> Interconnector User, not the Interconnector Unit.</w:t>
      </w:r>
      <w:r w:rsidR="005F544A">
        <w:rPr>
          <w:lang w:eastAsia="en-GB"/>
        </w:rPr>
        <w:t xml:space="preserve"> Electroroute representative expressed the view that in that case the trader would be liable to significant uncompensated risks. </w:t>
      </w:r>
      <w:r w:rsidR="00170AA1">
        <w:rPr>
          <w:lang w:eastAsia="en-GB"/>
        </w:rPr>
        <w:t>Observer reiterated that the</w:t>
      </w:r>
      <w:r w:rsidR="008C73BE">
        <w:rPr>
          <w:lang w:eastAsia="en-GB"/>
        </w:rPr>
        <w:t>se</w:t>
      </w:r>
      <w:r w:rsidR="00170AA1">
        <w:rPr>
          <w:lang w:eastAsia="en-GB"/>
        </w:rPr>
        <w:t xml:space="preserve"> would not be uncompensated, but they would be compensated only when</w:t>
      </w:r>
      <w:r w:rsidR="008C73BE">
        <w:rPr>
          <w:lang w:eastAsia="en-GB"/>
        </w:rPr>
        <w:t xml:space="preserve"> necessary</w:t>
      </w:r>
      <w:r w:rsidR="004E19EA">
        <w:rPr>
          <w:lang w:eastAsia="en-GB"/>
        </w:rPr>
        <w:t>,</w:t>
      </w:r>
      <w:r w:rsidR="008C73BE">
        <w:rPr>
          <w:lang w:eastAsia="en-GB"/>
        </w:rPr>
        <w:t xml:space="preserve"> due to</w:t>
      </w:r>
      <w:r w:rsidR="00170AA1">
        <w:rPr>
          <w:lang w:eastAsia="en-GB"/>
        </w:rPr>
        <w:t xml:space="preserve"> not</w:t>
      </w:r>
      <w:r w:rsidR="008C73BE">
        <w:rPr>
          <w:lang w:eastAsia="en-GB"/>
        </w:rPr>
        <w:t xml:space="preserve"> being</w:t>
      </w:r>
      <w:r w:rsidR="00170AA1">
        <w:rPr>
          <w:lang w:eastAsia="en-GB"/>
        </w:rPr>
        <w:t xml:space="preserve"> whole</w:t>
      </w:r>
      <w:r w:rsidR="008C73BE">
        <w:rPr>
          <w:lang w:eastAsia="en-GB"/>
        </w:rPr>
        <w:t xml:space="preserve"> in aggregate in relation to their bids</w:t>
      </w:r>
      <w:r w:rsidR="00170AA1">
        <w:rPr>
          <w:lang w:eastAsia="en-GB"/>
        </w:rPr>
        <w:t>, in line with all other Generator Units.</w:t>
      </w:r>
    </w:p>
    <w:p w:rsidR="00170AA1" w:rsidRDefault="00170AA1" w:rsidP="00BD6EE8">
      <w:pPr>
        <w:jc w:val="both"/>
        <w:rPr>
          <w:lang w:eastAsia="en-GB"/>
        </w:rPr>
      </w:pPr>
      <w:r>
        <w:rPr>
          <w:lang w:eastAsia="en-GB"/>
        </w:rPr>
        <w:t xml:space="preserve">Electroroute representative advised that before IDT there was no export trading as there was only 1 </w:t>
      </w:r>
      <w:r w:rsidR="008C73BE">
        <w:rPr>
          <w:lang w:eastAsia="en-GB"/>
        </w:rPr>
        <w:t>trading window</w:t>
      </w:r>
      <w:r>
        <w:rPr>
          <w:lang w:eastAsia="en-GB"/>
        </w:rPr>
        <w:t>.</w:t>
      </w:r>
    </w:p>
    <w:p w:rsidR="0016372A" w:rsidRDefault="005F544A" w:rsidP="00BD6EE8">
      <w:pPr>
        <w:jc w:val="both"/>
        <w:rPr>
          <w:lang w:eastAsia="en-GB"/>
        </w:rPr>
      </w:pPr>
      <w:r>
        <w:rPr>
          <w:lang w:eastAsia="en-GB"/>
        </w:rPr>
        <w:t xml:space="preserve">MO Alternate advised that </w:t>
      </w:r>
      <w:r w:rsidR="00170AA1">
        <w:rPr>
          <w:lang w:eastAsia="en-GB"/>
        </w:rPr>
        <w:t>removing periods of simultaneous Import/Export is against the principle of s</w:t>
      </w:r>
      <w:r w:rsidR="000126DF">
        <w:rPr>
          <w:lang w:eastAsia="en-GB"/>
        </w:rPr>
        <w:t>uperpositioning</w:t>
      </w:r>
      <w:r>
        <w:rPr>
          <w:lang w:eastAsia="en-GB"/>
        </w:rPr>
        <w:t xml:space="preserve"> </w:t>
      </w:r>
      <w:r w:rsidR="00170AA1">
        <w:rPr>
          <w:lang w:eastAsia="en-GB"/>
        </w:rPr>
        <w:t xml:space="preserve">which </w:t>
      </w:r>
      <w:r>
        <w:rPr>
          <w:lang w:eastAsia="en-GB"/>
        </w:rPr>
        <w:t xml:space="preserve">was introduced into the IDT detailed design at the request of IC traders. </w:t>
      </w:r>
    </w:p>
    <w:p w:rsidR="00170AA1" w:rsidRDefault="0016372A" w:rsidP="00BD6EE8">
      <w:pPr>
        <w:jc w:val="both"/>
        <w:rPr>
          <w:lang w:eastAsia="en-GB"/>
        </w:rPr>
      </w:pPr>
      <w:r>
        <w:rPr>
          <w:lang w:eastAsia="en-GB"/>
        </w:rPr>
        <w:t>Removing those periods from the Make Whole Payment aggregation</w:t>
      </w:r>
      <w:r w:rsidR="004E19EA">
        <w:rPr>
          <w:lang w:eastAsia="en-GB"/>
        </w:rPr>
        <w:t xml:space="preserve"> will create scenarios where tr</w:t>
      </w:r>
      <w:r>
        <w:rPr>
          <w:lang w:eastAsia="en-GB"/>
        </w:rPr>
        <w:t>a</w:t>
      </w:r>
      <w:r w:rsidR="004E19EA">
        <w:rPr>
          <w:lang w:eastAsia="en-GB"/>
        </w:rPr>
        <w:t xml:space="preserve">ding periods </w:t>
      </w:r>
      <w:r w:rsidR="00C53D6E">
        <w:rPr>
          <w:lang w:eastAsia="en-GB"/>
        </w:rPr>
        <w:t>with large import and minimal Export would be excluded and vice</w:t>
      </w:r>
      <w:r w:rsidR="00AD7406">
        <w:rPr>
          <w:lang w:eastAsia="en-GB"/>
        </w:rPr>
        <w:t xml:space="preserve"> </w:t>
      </w:r>
      <w:r w:rsidR="00C53D6E">
        <w:rPr>
          <w:lang w:eastAsia="en-GB"/>
        </w:rPr>
        <w:t>versa. This means that periods where MWP should apply are excluded</w:t>
      </w:r>
      <w:r>
        <w:rPr>
          <w:lang w:eastAsia="en-GB"/>
        </w:rPr>
        <w:t xml:space="preserve"> from the recovery and the trader is exposed to Uplift</w:t>
      </w:r>
      <w:r w:rsidR="00C53D6E">
        <w:rPr>
          <w:lang w:eastAsia="en-GB"/>
        </w:rPr>
        <w:t>. Vice</w:t>
      </w:r>
      <w:r w:rsidR="00AD7406">
        <w:rPr>
          <w:lang w:eastAsia="en-GB"/>
        </w:rPr>
        <w:t xml:space="preserve"> </w:t>
      </w:r>
      <w:r w:rsidR="00C53D6E">
        <w:rPr>
          <w:lang w:eastAsia="en-GB"/>
        </w:rPr>
        <w:t>versa</w:t>
      </w:r>
      <w:r>
        <w:rPr>
          <w:lang w:eastAsia="en-GB"/>
        </w:rPr>
        <w:t>,</w:t>
      </w:r>
      <w:r w:rsidR="00C53D6E">
        <w:rPr>
          <w:lang w:eastAsia="en-GB"/>
        </w:rPr>
        <w:t xml:space="preserve"> periods where the Interconnector Unit has already been made whole would not be considered in the MWP calculation</w:t>
      </w:r>
      <w:r>
        <w:rPr>
          <w:lang w:eastAsia="en-GB"/>
        </w:rPr>
        <w:t>,</w:t>
      </w:r>
      <w:r w:rsidR="00C53D6E">
        <w:rPr>
          <w:lang w:eastAsia="en-GB"/>
        </w:rPr>
        <w:t xml:space="preserve"> </w:t>
      </w:r>
      <w:r>
        <w:rPr>
          <w:lang w:eastAsia="en-GB"/>
        </w:rPr>
        <w:t>therefore</w:t>
      </w:r>
      <w:r w:rsidR="00C53D6E">
        <w:rPr>
          <w:lang w:eastAsia="en-GB"/>
        </w:rPr>
        <w:t xml:space="preserve"> resulting in an </w:t>
      </w:r>
      <w:r>
        <w:rPr>
          <w:lang w:eastAsia="en-GB"/>
        </w:rPr>
        <w:t>overecovery</w:t>
      </w:r>
      <w:r w:rsidR="00C53D6E">
        <w:rPr>
          <w:lang w:eastAsia="en-GB"/>
        </w:rPr>
        <w:t xml:space="preserve">. </w:t>
      </w:r>
      <w:r>
        <w:rPr>
          <w:lang w:eastAsia="en-GB"/>
        </w:rPr>
        <w:t>This is different from other generator units and seems at odds with the proposer intention for the mod.</w:t>
      </w:r>
    </w:p>
    <w:p w:rsidR="00B41741" w:rsidRDefault="00B41741" w:rsidP="00BD6EE8">
      <w:pPr>
        <w:jc w:val="both"/>
        <w:rPr>
          <w:lang w:eastAsia="en-GB"/>
        </w:rPr>
      </w:pPr>
    </w:p>
    <w:p w:rsidR="005F544A" w:rsidRDefault="00024857" w:rsidP="00BD6EE8">
      <w:pPr>
        <w:jc w:val="both"/>
        <w:rPr>
          <w:lang w:eastAsia="en-GB"/>
        </w:rPr>
      </w:pPr>
      <w:r>
        <w:rPr>
          <w:lang w:eastAsia="en-GB"/>
        </w:rPr>
        <w:t>MO Alternate provided the IA results that had been procured by SEMO IT at the request of the Committee at the previous Modificat</w:t>
      </w:r>
      <w:r w:rsidR="009F5EA8">
        <w:rPr>
          <w:lang w:eastAsia="en-GB"/>
        </w:rPr>
        <w:t>ions Committee Meeting:</w:t>
      </w:r>
    </w:p>
    <w:p w:rsidR="009F5EA8" w:rsidRPr="00DF24FC" w:rsidRDefault="009F5EA8" w:rsidP="009F5EA8">
      <w:pPr>
        <w:numPr>
          <w:ilvl w:val="0"/>
          <w:numId w:val="5"/>
        </w:numPr>
        <w:jc w:val="both"/>
        <w:rPr>
          <w:b/>
          <w:color w:val="000000"/>
          <w:lang w:eastAsia="en-GB"/>
        </w:rPr>
      </w:pPr>
      <w:r w:rsidRPr="00DF24FC">
        <w:rPr>
          <w:color w:val="000000"/>
          <w:lang w:val="en-IE"/>
        </w:rPr>
        <w:t>Mod_09_14</w:t>
      </w:r>
      <w:r w:rsidR="00DF24FC" w:rsidRPr="00DF24FC">
        <w:rPr>
          <w:color w:val="000000"/>
          <w:lang w:val="en-IE"/>
        </w:rPr>
        <w:t xml:space="preserve"> Amendment to MWPs for ICUs</w:t>
      </w:r>
      <w:r w:rsidRPr="00DF24FC">
        <w:rPr>
          <w:color w:val="000000"/>
          <w:lang w:val="en-IE"/>
        </w:rPr>
        <w:t xml:space="preserve">: Cost for the first proposal in isolation: </w:t>
      </w:r>
      <w:r w:rsidRPr="00DF24FC">
        <w:rPr>
          <w:b/>
          <w:color w:val="000000"/>
          <w:lang w:val="en-IE"/>
        </w:rPr>
        <w:t>€61,030</w:t>
      </w:r>
    </w:p>
    <w:p w:rsidR="009F5EA8" w:rsidRPr="00DF24FC" w:rsidRDefault="009F5EA8" w:rsidP="009F5EA8">
      <w:pPr>
        <w:numPr>
          <w:ilvl w:val="0"/>
          <w:numId w:val="5"/>
        </w:numPr>
        <w:jc w:val="both"/>
        <w:rPr>
          <w:b/>
          <w:color w:val="000000"/>
          <w:lang w:val="en-IE"/>
        </w:rPr>
      </w:pPr>
      <w:r w:rsidRPr="00DF24FC">
        <w:rPr>
          <w:color w:val="000000"/>
          <w:lang w:val="en-IE"/>
        </w:rPr>
        <w:t xml:space="preserve">Mod_10_14: Assessment for the change against the current Production system </w:t>
      </w:r>
      <w:r w:rsidRPr="00DF24FC">
        <w:rPr>
          <w:b/>
          <w:color w:val="000000"/>
          <w:lang w:val="en-IE"/>
        </w:rPr>
        <w:t xml:space="preserve">€20,060 </w:t>
      </w:r>
      <w:r w:rsidR="00AD7406">
        <w:rPr>
          <w:b/>
          <w:color w:val="000000"/>
          <w:lang w:val="en-IE"/>
        </w:rPr>
        <w:t xml:space="preserve"> </w:t>
      </w:r>
      <w:r w:rsidRPr="00DF24FC">
        <w:rPr>
          <w:b/>
          <w:color w:val="000000"/>
          <w:lang w:val="en-IE"/>
        </w:rPr>
        <w:t>hours</w:t>
      </w:r>
    </w:p>
    <w:p w:rsidR="009F5EA8" w:rsidRPr="00DF24FC" w:rsidRDefault="009F5EA8" w:rsidP="009F5EA8">
      <w:pPr>
        <w:numPr>
          <w:ilvl w:val="0"/>
          <w:numId w:val="5"/>
        </w:numPr>
        <w:jc w:val="both"/>
        <w:rPr>
          <w:color w:val="000000"/>
          <w:lang w:val="en-IE"/>
        </w:rPr>
      </w:pPr>
      <w:r w:rsidRPr="00DF24FC">
        <w:rPr>
          <w:color w:val="000000"/>
          <w:lang w:val="en-IE"/>
        </w:rPr>
        <w:t>Assessment for the change against the amended functionality (i.e. should the calc</w:t>
      </w:r>
      <w:r w:rsidR="00B41741">
        <w:rPr>
          <w:color w:val="000000"/>
          <w:lang w:val="en-IE"/>
        </w:rPr>
        <w:t>ulation</w:t>
      </w:r>
      <w:r w:rsidRPr="00DF24FC">
        <w:rPr>
          <w:color w:val="000000"/>
          <w:lang w:val="en-IE"/>
        </w:rPr>
        <w:t xml:space="preserve"> amendment option be considered first</w:t>
      </w:r>
      <w:r w:rsidR="00C53D6E">
        <w:rPr>
          <w:color w:val="000000"/>
          <w:lang w:val="en-IE"/>
        </w:rPr>
        <w:t xml:space="preserve"> and the removal after</w:t>
      </w:r>
      <w:r w:rsidRPr="00DF24FC">
        <w:rPr>
          <w:color w:val="000000"/>
          <w:lang w:val="en-IE"/>
        </w:rPr>
        <w:t xml:space="preserve">). </w:t>
      </w:r>
      <w:r w:rsidRPr="00B41741">
        <w:rPr>
          <w:b/>
          <w:color w:val="000000"/>
          <w:lang w:val="en-IE"/>
        </w:rPr>
        <w:t>€20,910 –</w:t>
      </w:r>
      <w:r w:rsidR="00AD7406">
        <w:rPr>
          <w:b/>
          <w:color w:val="000000"/>
          <w:lang w:val="en-IE"/>
        </w:rPr>
        <w:t xml:space="preserve"> (</w:t>
      </w:r>
      <w:r w:rsidR="00DF24FC" w:rsidRPr="00B41741">
        <w:rPr>
          <w:b/>
          <w:color w:val="000000"/>
          <w:lang w:val="en-IE"/>
        </w:rPr>
        <w:t>this would be in addition to the above estimate of €61,030 for Mod_09_14</w:t>
      </w:r>
      <w:r w:rsidR="00AD7406">
        <w:rPr>
          <w:color w:val="000000"/>
          <w:lang w:val="en-IE"/>
        </w:rPr>
        <w:t>)</w:t>
      </w:r>
    </w:p>
    <w:p w:rsidR="009F5EA8" w:rsidRPr="00DF24FC" w:rsidRDefault="00FF0577" w:rsidP="00FF0577">
      <w:pPr>
        <w:jc w:val="both"/>
        <w:rPr>
          <w:color w:val="000000"/>
          <w:lang w:eastAsia="en-GB"/>
        </w:rPr>
      </w:pPr>
      <w:r>
        <w:rPr>
          <w:color w:val="000000"/>
          <w:lang w:eastAsia="en-GB"/>
        </w:rPr>
        <w:t>Discussion ensued in relation to whether a vote taking place in January would delay implementation of whichever proposal was approved. The Committee did not feel comfortable to vote on any of the four MWP proposals at the Meeting and requested further information on the proposals from the RAs and Electroroute.</w:t>
      </w:r>
    </w:p>
    <w:p w:rsidR="00FE0D56" w:rsidRDefault="00BA327C" w:rsidP="00BD6EE8">
      <w:pPr>
        <w:jc w:val="both"/>
        <w:rPr>
          <w:lang w:eastAsia="en-GB"/>
        </w:rPr>
      </w:pPr>
      <w:r>
        <w:rPr>
          <w:lang w:eastAsia="en-GB"/>
        </w:rPr>
        <w:t xml:space="preserve">Generator Member expressed the view to see the impact of the proposals in relation to whether exports could continue, impact of curtailment of wind generation and </w:t>
      </w:r>
      <w:r w:rsidR="00C53D6E">
        <w:rPr>
          <w:lang w:eastAsia="en-GB"/>
        </w:rPr>
        <w:t xml:space="preserve">further explanation </w:t>
      </w:r>
      <w:r>
        <w:rPr>
          <w:lang w:eastAsia="en-GB"/>
        </w:rPr>
        <w:t xml:space="preserve">of social welfare </w:t>
      </w:r>
      <w:r w:rsidR="00C53D6E">
        <w:rPr>
          <w:lang w:eastAsia="en-GB"/>
        </w:rPr>
        <w:t xml:space="preserve">analysis </w:t>
      </w:r>
      <w:r w:rsidR="00AD7406">
        <w:rPr>
          <w:lang w:eastAsia="en-GB"/>
        </w:rPr>
        <w:t>presented by Electror</w:t>
      </w:r>
      <w:r w:rsidR="00C53D6E">
        <w:rPr>
          <w:lang w:eastAsia="en-GB"/>
        </w:rPr>
        <w:t>oute</w:t>
      </w:r>
      <w:r>
        <w:rPr>
          <w:lang w:eastAsia="en-GB"/>
        </w:rPr>
        <w:t>. Generator Member expressed the need to see further RA analysis as to whether all of the MWPs are associated with exporting. Chair concluded the discussion advising that the issue must be urgently addressed and that more information on all of the proposals is necessary, prior to scheduling an extraordinary meeting/call with Participants in mid-January.</w:t>
      </w:r>
    </w:p>
    <w:p w:rsidR="00BD6EE8" w:rsidRPr="00BD6EE8" w:rsidRDefault="00BD6EE8" w:rsidP="00BD6EE8">
      <w:pPr>
        <w:jc w:val="both"/>
        <w:rPr>
          <w:lang w:eastAsia="en-GB"/>
        </w:rPr>
      </w:pPr>
    </w:p>
    <w:p w:rsidR="008928EF" w:rsidRPr="008928EF" w:rsidRDefault="008928EF" w:rsidP="008928EF">
      <w:pPr>
        <w:pBdr>
          <w:bottom w:val="single" w:sz="4" w:space="4" w:color="4F81BD"/>
        </w:pBdr>
        <w:spacing w:before="200" w:after="280" w:line="360" w:lineRule="auto"/>
        <w:ind w:left="936" w:right="936"/>
        <w:jc w:val="both"/>
        <w:rPr>
          <w:b/>
          <w:bCs/>
          <w:i/>
          <w:iCs/>
          <w:color w:val="4F81BD"/>
        </w:rPr>
      </w:pPr>
      <w:r w:rsidRPr="008928EF">
        <w:rPr>
          <w:b/>
          <w:bCs/>
          <w:i/>
          <w:iCs/>
          <w:color w:val="4F81BD"/>
        </w:rPr>
        <w:t xml:space="preserve">Actions </w:t>
      </w:r>
    </w:p>
    <w:p w:rsidR="008928EF" w:rsidRPr="00A06079" w:rsidRDefault="008928EF" w:rsidP="00045F70">
      <w:pPr>
        <w:pStyle w:val="ListParagraph"/>
        <w:numPr>
          <w:ilvl w:val="0"/>
          <w:numId w:val="11"/>
        </w:numPr>
      </w:pPr>
      <w:r w:rsidRPr="00A06079">
        <w:t>Participants to submit any feedback and/or specific items for clarification in relation to the Electroroute  MWP proposals to Secretariat within 2 weeks (by 19</w:t>
      </w:r>
      <w:r w:rsidRPr="00A06079">
        <w:rPr>
          <w:vertAlign w:val="superscript"/>
        </w:rPr>
        <w:t>th</w:t>
      </w:r>
      <w:r w:rsidRPr="00A06079">
        <w:t xml:space="preserve"> December)</w:t>
      </w:r>
      <w:r w:rsidRPr="00A06079">
        <w:rPr>
          <w:b/>
          <w:bCs/>
        </w:rPr>
        <w:t>-Open</w:t>
      </w:r>
    </w:p>
    <w:p w:rsidR="008928EF" w:rsidRPr="005A5B8F" w:rsidRDefault="008928EF" w:rsidP="00045F70">
      <w:pPr>
        <w:pStyle w:val="ListParagraph"/>
        <w:numPr>
          <w:ilvl w:val="0"/>
          <w:numId w:val="12"/>
        </w:numPr>
      </w:pPr>
      <w:r w:rsidRPr="00A06079">
        <w:t xml:space="preserve">Electroroute to provide further clarification on proposals and responses to feedback submitted by Participants </w:t>
      </w:r>
      <w:r w:rsidRPr="00A06079">
        <w:rPr>
          <w:b/>
          <w:bCs/>
        </w:rPr>
        <w:t>–Open</w:t>
      </w:r>
    </w:p>
    <w:p w:rsidR="005A5B8F" w:rsidRPr="005A5B8F" w:rsidRDefault="005A5B8F" w:rsidP="005A5B8F">
      <w:pPr>
        <w:pStyle w:val="ListParagraph"/>
        <w:numPr>
          <w:ilvl w:val="0"/>
          <w:numId w:val="11"/>
        </w:numPr>
      </w:pPr>
      <w:r w:rsidRPr="005A5B8F">
        <w:t xml:space="preserve">Secretariat to schedule Extraordinary meeting/call for mid January, following receipt of further clarification from proposers- </w:t>
      </w:r>
      <w:r w:rsidRPr="005A5B8F">
        <w:rPr>
          <w:b/>
          <w:bCs/>
        </w:rPr>
        <w:t>Open</w:t>
      </w:r>
    </w:p>
    <w:p w:rsidR="005A5B8F" w:rsidRPr="005A5B8F" w:rsidRDefault="005A5B8F" w:rsidP="005A5B8F">
      <w:pPr>
        <w:pStyle w:val="ListParagraph"/>
        <w:numPr>
          <w:ilvl w:val="0"/>
          <w:numId w:val="11"/>
        </w:numPr>
      </w:pPr>
      <w:r w:rsidRPr="005A5B8F">
        <w:t>SEMO to initiate IA</w:t>
      </w:r>
      <w:r w:rsidR="003C6AA4">
        <w:t xml:space="preserve"> (for Electroroute mod proposals) </w:t>
      </w:r>
      <w:r w:rsidRPr="005A5B8F">
        <w:t>-</w:t>
      </w:r>
      <w:r w:rsidRPr="005A5B8F">
        <w:rPr>
          <w:b/>
          <w:bCs/>
        </w:rPr>
        <w:t>Open</w:t>
      </w:r>
    </w:p>
    <w:p w:rsidR="005A5B8F" w:rsidRPr="00A06079" w:rsidRDefault="005A5B8F" w:rsidP="005A5B8F">
      <w:pPr>
        <w:pStyle w:val="ListParagraph"/>
        <w:numPr>
          <w:ilvl w:val="0"/>
          <w:numId w:val="11"/>
        </w:numPr>
      </w:pPr>
      <w:r>
        <w:t>SEMO IT to obtain clarification from the vendor in relation to the deadline around  possible implementation of the changes in May (given approval of any modifications will not take place until January earliest)-</w:t>
      </w:r>
      <w:r w:rsidRPr="005A5B8F">
        <w:rPr>
          <w:b/>
          <w:bCs/>
        </w:rPr>
        <w:t>Open</w:t>
      </w:r>
    </w:p>
    <w:p w:rsidR="00671C94" w:rsidRPr="003D515B" w:rsidRDefault="00671C94" w:rsidP="00671C94">
      <w:pPr>
        <w:pStyle w:val="LightShading-Accent21"/>
        <w:spacing w:line="360" w:lineRule="auto"/>
        <w:jc w:val="both"/>
      </w:pPr>
      <w:r w:rsidRPr="003D515B">
        <w:t>Decision</w:t>
      </w:r>
    </w:p>
    <w:p w:rsidR="00671C94" w:rsidRPr="00EA38B1" w:rsidRDefault="00671C94" w:rsidP="00671C94">
      <w:pPr>
        <w:pStyle w:val="Bullet1"/>
        <w:numPr>
          <w:ilvl w:val="0"/>
          <w:numId w:val="5"/>
        </w:numPr>
        <w:spacing w:line="360" w:lineRule="auto"/>
        <w:jc w:val="both"/>
      </w:pPr>
      <w:r w:rsidRPr="003D515B">
        <w:t xml:space="preserve">The proposal was </w:t>
      </w:r>
      <w:r w:rsidRPr="003D515B">
        <w:rPr>
          <w:lang w:val="en-IE"/>
        </w:rPr>
        <w:t>deferred</w:t>
      </w:r>
    </w:p>
    <w:p w:rsidR="00EA38B1" w:rsidRPr="003D515B" w:rsidRDefault="00EA38B1" w:rsidP="00EA38B1">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671C94" w:rsidRPr="00176816" w:rsidTr="00F8631E">
        <w:trPr>
          <w:jc w:val="center"/>
        </w:trPr>
        <w:tc>
          <w:tcPr>
            <w:tcW w:w="5000" w:type="pct"/>
            <w:shd w:val="clear" w:color="auto" w:fill="548DD4"/>
          </w:tcPr>
          <w:p w:rsidR="00671C94" w:rsidRPr="00176816" w:rsidRDefault="00671C94" w:rsidP="00F8631E">
            <w:pPr>
              <w:spacing w:before="40" w:after="40"/>
              <w:jc w:val="center"/>
              <w:rPr>
                <w:sz w:val="16"/>
                <w:szCs w:val="16"/>
                <w:highlight w:val="yellow"/>
              </w:rPr>
            </w:pPr>
            <w:r>
              <w:rPr>
                <w:b/>
                <w:color w:val="FFFFFF"/>
              </w:rPr>
              <w:t>Deferred</w:t>
            </w:r>
          </w:p>
        </w:tc>
      </w:tr>
    </w:tbl>
    <w:p w:rsidR="00431720" w:rsidRDefault="00431720" w:rsidP="00431720">
      <w:pPr>
        <w:pStyle w:val="Bullet1"/>
        <w:numPr>
          <w:ilvl w:val="0"/>
          <w:numId w:val="0"/>
        </w:numPr>
        <w:rPr>
          <w:rStyle w:val="IntenseReference1"/>
          <w:b w:val="0"/>
          <w:color w:val="1F497D"/>
          <w:u w:val="none"/>
          <w:lang w:val="en-IE"/>
        </w:rPr>
      </w:pPr>
    </w:p>
    <w:p w:rsidR="007B1519" w:rsidRPr="008928EF" w:rsidRDefault="007B1519" w:rsidP="00431720">
      <w:pPr>
        <w:pStyle w:val="Bullet1"/>
        <w:numPr>
          <w:ilvl w:val="0"/>
          <w:numId w:val="0"/>
        </w:numPr>
        <w:rPr>
          <w:rStyle w:val="IntenseReference1"/>
          <w:b w:val="0"/>
          <w:color w:val="1F497D"/>
          <w:u w:val="none"/>
          <w:lang w:val="en-IE"/>
        </w:rPr>
      </w:pPr>
    </w:p>
    <w:p w:rsidR="00431720" w:rsidRPr="008928EF" w:rsidRDefault="00431720" w:rsidP="00431720">
      <w:pPr>
        <w:pStyle w:val="Heading2"/>
        <w:numPr>
          <w:ilvl w:val="0"/>
          <w:numId w:val="0"/>
        </w:numPr>
        <w:jc w:val="both"/>
        <w:rPr>
          <w:rStyle w:val="IntenseReference1"/>
          <w:color w:val="1F497D"/>
          <w:u w:val="none"/>
        </w:rPr>
      </w:pPr>
      <w:bookmarkStart w:id="17" w:name="_Toc406084444"/>
      <w:r w:rsidRPr="008928EF">
        <w:rPr>
          <w:rStyle w:val="IntenseReference1"/>
          <w:color w:val="1F497D"/>
          <w:u w:val="none"/>
          <w:lang w:val="en-IE"/>
        </w:rPr>
        <w:t xml:space="preserve">V. </w:t>
      </w:r>
      <w:r w:rsidRPr="008928EF">
        <w:rPr>
          <w:rStyle w:val="IntenseReference1"/>
          <w:color w:val="1F497D"/>
          <w:u w:val="none"/>
          <w:lang w:val="en-IE"/>
        </w:rPr>
        <w:tab/>
      </w:r>
      <w:r w:rsidRPr="008928EF">
        <w:rPr>
          <w:rStyle w:val="IntenseReference1"/>
          <w:color w:val="1F497D"/>
          <w:u w:val="none"/>
        </w:rPr>
        <w:t>Mod_1</w:t>
      </w:r>
      <w:r w:rsidRPr="008928EF">
        <w:rPr>
          <w:rStyle w:val="IntenseReference1"/>
          <w:color w:val="1F497D"/>
          <w:u w:val="none"/>
          <w:lang w:val="en-IE"/>
        </w:rPr>
        <w:t>2</w:t>
      </w:r>
      <w:r w:rsidRPr="008928EF">
        <w:rPr>
          <w:rStyle w:val="IntenseReference1"/>
          <w:color w:val="1F497D"/>
          <w:u w:val="none"/>
        </w:rPr>
        <w:t>_14 Amendment to Make Whole Mechanism to remove Settlement Periods of simultaneous import and export flows</w:t>
      </w:r>
      <w:bookmarkEnd w:id="17"/>
    </w:p>
    <w:p w:rsidR="003C1D35" w:rsidRPr="00854F3E" w:rsidRDefault="00431720" w:rsidP="00854F3E">
      <w:pPr>
        <w:pStyle w:val="Bullet1"/>
        <w:numPr>
          <w:ilvl w:val="0"/>
          <w:numId w:val="0"/>
        </w:numPr>
        <w:rPr>
          <w:bCs/>
          <w:smallCaps/>
          <w:color w:val="1F497D"/>
          <w:spacing w:val="5"/>
          <w:lang w:val="en-IE"/>
        </w:rPr>
      </w:pPr>
      <w:r w:rsidRPr="008928EF">
        <w:rPr>
          <w:rStyle w:val="IntenseReference1"/>
          <w:b w:val="0"/>
          <w:color w:val="1F497D"/>
          <w:u w:val="none"/>
          <w:lang w:val="en-IE"/>
        </w:rPr>
        <w:t>Proposer: Electroroute</w:t>
      </w:r>
    </w:p>
    <w:p w:rsidR="00431720" w:rsidRPr="00B8356E" w:rsidRDefault="00B203CC" w:rsidP="003C1D35">
      <w:pPr>
        <w:jc w:val="both"/>
        <w:rPr>
          <w:bCs/>
          <w:smallCaps/>
        </w:rPr>
      </w:pPr>
      <w:r w:rsidRPr="00B8356E">
        <w:rPr>
          <w:lang w:eastAsia="en-GB"/>
        </w:rPr>
        <w:t>Same as above.</w:t>
      </w:r>
    </w:p>
    <w:p w:rsidR="008928EF" w:rsidRPr="008928EF" w:rsidRDefault="008928EF" w:rsidP="008928EF">
      <w:pPr>
        <w:pBdr>
          <w:bottom w:val="single" w:sz="4" w:space="4" w:color="4F81BD"/>
        </w:pBdr>
        <w:spacing w:before="200" w:after="280" w:line="360" w:lineRule="auto"/>
        <w:ind w:left="936" w:right="936"/>
        <w:jc w:val="both"/>
        <w:rPr>
          <w:b/>
          <w:bCs/>
          <w:i/>
          <w:iCs/>
          <w:color w:val="4F81BD"/>
        </w:rPr>
      </w:pPr>
      <w:r w:rsidRPr="008928EF">
        <w:rPr>
          <w:b/>
          <w:bCs/>
          <w:i/>
          <w:iCs/>
          <w:color w:val="4F81BD"/>
        </w:rPr>
        <w:t xml:space="preserve">Actions </w:t>
      </w:r>
    </w:p>
    <w:p w:rsidR="008928EF" w:rsidRPr="008928EF" w:rsidRDefault="008928EF" w:rsidP="008928EF">
      <w:pPr>
        <w:numPr>
          <w:ilvl w:val="0"/>
          <w:numId w:val="5"/>
        </w:numPr>
        <w:spacing w:before="60" w:after="60" w:line="360" w:lineRule="auto"/>
        <w:jc w:val="both"/>
      </w:pPr>
      <w:r w:rsidRPr="008928EF">
        <w:t>Same as above</w:t>
      </w:r>
    </w:p>
    <w:p w:rsidR="00671C94" w:rsidRPr="003D515B" w:rsidRDefault="00671C94" w:rsidP="00671C94">
      <w:pPr>
        <w:pStyle w:val="LightShading-Accent21"/>
        <w:spacing w:line="360" w:lineRule="auto"/>
        <w:jc w:val="both"/>
      </w:pPr>
      <w:r w:rsidRPr="003D515B">
        <w:t>Decision</w:t>
      </w:r>
    </w:p>
    <w:p w:rsidR="00671C94" w:rsidRPr="003D515B" w:rsidRDefault="00671C94" w:rsidP="00671C94">
      <w:pPr>
        <w:pStyle w:val="Bullet1"/>
        <w:numPr>
          <w:ilvl w:val="0"/>
          <w:numId w:val="5"/>
        </w:numPr>
        <w:spacing w:line="360" w:lineRule="auto"/>
        <w:jc w:val="both"/>
      </w:pPr>
      <w:r w:rsidRPr="003D515B">
        <w:t xml:space="preserve">The proposal was </w:t>
      </w:r>
      <w:r w:rsidRPr="003D515B">
        <w:rPr>
          <w:lang w:val="en-IE"/>
        </w:rPr>
        <w:t>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671C94" w:rsidRPr="00176816" w:rsidTr="00F8631E">
        <w:trPr>
          <w:jc w:val="center"/>
        </w:trPr>
        <w:tc>
          <w:tcPr>
            <w:tcW w:w="5000" w:type="pct"/>
            <w:shd w:val="clear" w:color="auto" w:fill="548DD4"/>
          </w:tcPr>
          <w:p w:rsidR="00671C94" w:rsidRPr="00176816" w:rsidRDefault="00671C94" w:rsidP="00F8631E">
            <w:pPr>
              <w:spacing w:before="40" w:after="40"/>
              <w:jc w:val="center"/>
              <w:rPr>
                <w:sz w:val="16"/>
                <w:szCs w:val="16"/>
                <w:highlight w:val="yellow"/>
              </w:rPr>
            </w:pPr>
            <w:r>
              <w:rPr>
                <w:b/>
                <w:color w:val="FFFFFF"/>
              </w:rPr>
              <w:t>Deferred</w:t>
            </w:r>
          </w:p>
        </w:tc>
      </w:tr>
    </w:tbl>
    <w:p w:rsidR="00431720" w:rsidRDefault="00431720" w:rsidP="00431720">
      <w:pPr>
        <w:pStyle w:val="Bullet1"/>
        <w:numPr>
          <w:ilvl w:val="0"/>
          <w:numId w:val="0"/>
        </w:numPr>
        <w:rPr>
          <w:rStyle w:val="IntenseReference1"/>
          <w:b w:val="0"/>
          <w:color w:val="1F497D"/>
          <w:highlight w:val="yellow"/>
          <w:u w:val="none"/>
          <w:lang w:val="en-IE"/>
        </w:rPr>
      </w:pPr>
    </w:p>
    <w:p w:rsidR="008928EF" w:rsidRDefault="008928EF" w:rsidP="00F12A96">
      <w:pPr>
        <w:pStyle w:val="Bullet1"/>
        <w:numPr>
          <w:ilvl w:val="0"/>
          <w:numId w:val="0"/>
        </w:numPr>
        <w:rPr>
          <w:rStyle w:val="IntenseReference1"/>
          <w:b w:val="0"/>
          <w:color w:val="1F497D"/>
          <w:highlight w:val="yellow"/>
          <w:u w:val="none"/>
          <w:lang w:val="en-IE"/>
        </w:rPr>
      </w:pPr>
    </w:p>
    <w:p w:rsidR="00F12A96" w:rsidRPr="006C41EA" w:rsidRDefault="00B70248" w:rsidP="00045F70">
      <w:pPr>
        <w:pStyle w:val="Heading1"/>
        <w:pageBreakBefore w:val="0"/>
        <w:numPr>
          <w:ilvl w:val="0"/>
          <w:numId w:val="9"/>
        </w:numPr>
        <w:rPr>
          <w:rStyle w:val="IntenseReference1"/>
          <w:bCs/>
          <w:smallCaps w:val="0"/>
          <w:color w:val="FFFFFF"/>
          <w:spacing w:val="15"/>
          <w:u w:val="none"/>
          <w:lang w:val="en-IE"/>
        </w:rPr>
      </w:pPr>
      <w:bookmarkStart w:id="18" w:name="_Toc406084445"/>
      <w:r w:rsidRPr="006C41EA">
        <w:rPr>
          <w:lang w:val="en-IE"/>
        </w:rPr>
        <w:t>AOB/upcoming events</w:t>
      </w:r>
      <w:bookmarkEnd w:id="18"/>
    </w:p>
    <w:p w:rsidR="00FA4CB8" w:rsidRPr="00982B98" w:rsidRDefault="00FA4CB8" w:rsidP="00FA4CB8"/>
    <w:p w:rsidR="001B36E7" w:rsidRPr="00982B98" w:rsidRDefault="001B36E7" w:rsidP="007D7F7E">
      <w:pPr>
        <w:pStyle w:val="LightShading-Accent21"/>
        <w:pBdr>
          <w:bottom w:val="single" w:sz="4" w:space="6" w:color="4F81BD"/>
        </w:pBdr>
        <w:ind w:left="0"/>
        <w:jc w:val="both"/>
        <w:rPr>
          <w:i w:val="0"/>
        </w:rPr>
      </w:pPr>
      <w:r w:rsidRPr="00982B98">
        <w:rPr>
          <w:i w:val="0"/>
        </w:rPr>
        <w:t>Calendar updates</w:t>
      </w:r>
    </w:p>
    <w:p w:rsidR="00644929" w:rsidRPr="00982B98" w:rsidRDefault="00176816" w:rsidP="00176816">
      <w:pPr>
        <w:pStyle w:val="ColorfulList-Accent12"/>
        <w:numPr>
          <w:ilvl w:val="0"/>
          <w:numId w:val="7"/>
        </w:numPr>
      </w:pPr>
      <w:r w:rsidRPr="00982B98">
        <w:lastRenderedPageBreak/>
        <w:t>Meetings for 2015 will be provisionally scheduled by end of December and will be circulated to the Committee for review</w:t>
      </w:r>
    </w:p>
    <w:p w:rsidR="001B36E7" w:rsidRDefault="001B36E7" w:rsidP="004D1A9E">
      <w:pPr>
        <w:pStyle w:val="ColorfulList-Accent12"/>
        <w:ind w:left="786"/>
        <w:rPr>
          <w:rFonts w:cs="Arial"/>
          <w:highlight w:val="yellow"/>
          <w:lang w:val="en-IE"/>
        </w:rPr>
      </w:pPr>
    </w:p>
    <w:p w:rsidR="00EA38B1" w:rsidRDefault="00EA38B1" w:rsidP="004D1A9E">
      <w:pPr>
        <w:pStyle w:val="ColorfulList-Accent12"/>
        <w:ind w:left="786"/>
        <w:rPr>
          <w:rFonts w:cs="Arial"/>
          <w:highlight w:val="yellow"/>
          <w:lang w:val="en-IE"/>
        </w:rPr>
      </w:pPr>
    </w:p>
    <w:p w:rsidR="00EA38B1" w:rsidRDefault="00EA38B1" w:rsidP="004D1A9E">
      <w:pPr>
        <w:pStyle w:val="ColorfulList-Accent12"/>
        <w:ind w:left="786"/>
        <w:rPr>
          <w:rFonts w:cs="Arial"/>
          <w:highlight w:val="yellow"/>
          <w:lang w:val="en-IE"/>
        </w:rPr>
      </w:pPr>
    </w:p>
    <w:p w:rsidR="00EA38B1" w:rsidRDefault="00EA38B1" w:rsidP="004D1A9E">
      <w:pPr>
        <w:pStyle w:val="ColorfulList-Accent12"/>
        <w:ind w:left="786"/>
        <w:rPr>
          <w:rFonts w:cs="Arial"/>
          <w:highlight w:val="yellow"/>
          <w:lang w:val="en-IE"/>
        </w:rPr>
      </w:pPr>
    </w:p>
    <w:p w:rsidR="00EA38B1" w:rsidRDefault="00EA38B1" w:rsidP="004D1A9E">
      <w:pPr>
        <w:pStyle w:val="ColorfulList-Accent12"/>
        <w:ind w:left="786"/>
        <w:rPr>
          <w:rFonts w:cs="Arial"/>
          <w:highlight w:val="yellow"/>
          <w:lang w:val="en-IE"/>
        </w:rPr>
      </w:pPr>
    </w:p>
    <w:p w:rsidR="00EA38B1" w:rsidRDefault="00EA38B1" w:rsidP="004D1A9E">
      <w:pPr>
        <w:pStyle w:val="ColorfulList-Accent12"/>
        <w:ind w:left="786"/>
        <w:rPr>
          <w:rFonts w:cs="Arial"/>
          <w:highlight w:val="yellow"/>
          <w:lang w:val="en-IE"/>
        </w:rPr>
      </w:pPr>
    </w:p>
    <w:p w:rsidR="00EA38B1" w:rsidRDefault="00EA38B1" w:rsidP="004D1A9E">
      <w:pPr>
        <w:pStyle w:val="ColorfulList-Accent12"/>
        <w:ind w:left="786"/>
        <w:rPr>
          <w:rFonts w:cs="Arial"/>
          <w:highlight w:val="yellow"/>
          <w:lang w:val="en-IE"/>
        </w:rPr>
      </w:pPr>
    </w:p>
    <w:p w:rsidR="00EA38B1" w:rsidRDefault="00EA38B1" w:rsidP="004D1A9E">
      <w:pPr>
        <w:pStyle w:val="ColorfulList-Accent12"/>
        <w:ind w:left="786"/>
        <w:rPr>
          <w:rFonts w:cs="Arial"/>
          <w:highlight w:val="yellow"/>
          <w:lang w:val="en-IE"/>
        </w:rPr>
      </w:pPr>
    </w:p>
    <w:p w:rsidR="00EA38B1" w:rsidRDefault="00EA38B1" w:rsidP="004D1A9E">
      <w:pPr>
        <w:pStyle w:val="ColorfulList-Accent12"/>
        <w:ind w:left="786"/>
        <w:rPr>
          <w:rFonts w:cs="Arial"/>
          <w:highlight w:val="yellow"/>
          <w:lang w:val="en-IE"/>
        </w:rPr>
      </w:pPr>
    </w:p>
    <w:p w:rsidR="00EA38B1" w:rsidRPr="00176816" w:rsidRDefault="001E6309" w:rsidP="004D1A9E">
      <w:pPr>
        <w:pStyle w:val="ColorfulList-Accent12"/>
        <w:ind w:left="786"/>
        <w:rPr>
          <w:rFonts w:cs="Arial"/>
          <w:highlight w:val="yellow"/>
          <w:lang w:val="en-IE"/>
        </w:rPr>
      </w:pPr>
      <w:r>
        <w:rPr>
          <w:rFonts w:cs="Arial"/>
          <w:highlight w:val="yellow"/>
          <w:lang w:val="en-IE"/>
        </w:rPr>
        <w:br w:type="page"/>
      </w:r>
    </w:p>
    <w:p w:rsidR="001B36E7" w:rsidRPr="00176816" w:rsidRDefault="001B36E7" w:rsidP="00234374">
      <w:pPr>
        <w:pStyle w:val="Heading1"/>
        <w:pageBreakBefore w:val="0"/>
        <w:numPr>
          <w:ilvl w:val="0"/>
          <w:numId w:val="0"/>
        </w:numPr>
        <w:ind w:left="432" w:hanging="432"/>
      </w:pPr>
      <w:bookmarkStart w:id="19" w:name="_Toc406084446"/>
      <w:r w:rsidRPr="00176816">
        <w:lastRenderedPageBreak/>
        <w:t>Appendices</w:t>
      </w:r>
      <w:bookmarkEnd w:id="19"/>
    </w:p>
    <w:p w:rsidR="001B36E7" w:rsidRPr="00176816" w:rsidRDefault="001B36E7" w:rsidP="007C6BE1"/>
    <w:p w:rsidR="00513D51" w:rsidRPr="00176816" w:rsidRDefault="001B36E7" w:rsidP="00B51E5A">
      <w:pPr>
        <w:pStyle w:val="Heading2"/>
        <w:numPr>
          <w:ilvl w:val="0"/>
          <w:numId w:val="0"/>
        </w:numPr>
        <w:ind w:left="567" w:hanging="567"/>
        <w:rPr>
          <w:b/>
          <w:bCs/>
          <w:smallCaps/>
          <w:color w:val="1F497D"/>
          <w:spacing w:val="5"/>
          <w:u w:val="single"/>
          <w:lang w:val="en-IE"/>
        </w:rPr>
      </w:pPr>
      <w:bookmarkStart w:id="20" w:name="_Appendix_1_-"/>
      <w:bookmarkStart w:id="21" w:name="_Ref276481628"/>
      <w:bookmarkStart w:id="22" w:name="_Toc406084447"/>
      <w:bookmarkEnd w:id="20"/>
      <w:r w:rsidRPr="00176816">
        <w:rPr>
          <w:rStyle w:val="IntenseReference1"/>
          <w:color w:val="1F497D"/>
        </w:rPr>
        <w:t>Appendix 1 - Secretariat Programme of Work</w:t>
      </w:r>
      <w:bookmarkEnd w:id="21"/>
      <w:bookmarkEnd w:id="22"/>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48"/>
        <w:gridCol w:w="2645"/>
        <w:gridCol w:w="48"/>
        <w:gridCol w:w="2073"/>
      </w:tblGrid>
      <w:tr w:rsidR="00176816" w:rsidRPr="00B753FA" w:rsidTr="00A64F25">
        <w:trPr>
          <w:jc w:val="center"/>
        </w:trPr>
        <w:tc>
          <w:tcPr>
            <w:tcW w:w="8783" w:type="dxa"/>
            <w:gridSpan w:val="5"/>
            <w:shd w:val="clear" w:color="auto" w:fill="548DD4"/>
            <w:vAlign w:val="center"/>
          </w:tcPr>
          <w:p w:rsidR="00176816" w:rsidRPr="00B753FA" w:rsidRDefault="00176816" w:rsidP="00A64F25">
            <w:pPr>
              <w:spacing w:before="40" w:after="40"/>
              <w:jc w:val="center"/>
              <w:rPr>
                <w:b/>
                <w:color w:val="FFFFFF"/>
                <w:sz w:val="24"/>
                <w:szCs w:val="24"/>
                <w:highlight w:val="yellow"/>
              </w:rPr>
            </w:pPr>
            <w:r w:rsidRPr="00C26D51">
              <w:rPr>
                <w:b/>
                <w:color w:val="FFFFFF"/>
                <w:sz w:val="24"/>
                <w:szCs w:val="24"/>
              </w:rPr>
              <w:t xml:space="preserve">Status as at </w:t>
            </w:r>
            <w:r>
              <w:rPr>
                <w:b/>
                <w:color w:val="FFFFFF"/>
                <w:sz w:val="24"/>
                <w:szCs w:val="24"/>
              </w:rPr>
              <w:t>4</w:t>
            </w:r>
            <w:r w:rsidRPr="00C26D51">
              <w:rPr>
                <w:b/>
                <w:color w:val="FFFFFF"/>
                <w:sz w:val="24"/>
                <w:szCs w:val="24"/>
              </w:rPr>
              <w:t xml:space="preserve"> </w:t>
            </w:r>
            <w:r>
              <w:rPr>
                <w:b/>
                <w:color w:val="FFFFFF"/>
                <w:sz w:val="24"/>
                <w:szCs w:val="24"/>
              </w:rPr>
              <w:t xml:space="preserve">December </w:t>
            </w:r>
            <w:r w:rsidRPr="00C26D51">
              <w:rPr>
                <w:b/>
                <w:color w:val="FFFFFF"/>
                <w:sz w:val="24"/>
                <w:szCs w:val="24"/>
              </w:rPr>
              <w:t>201</w:t>
            </w:r>
            <w:r>
              <w:rPr>
                <w:b/>
                <w:color w:val="FFFFFF"/>
                <w:sz w:val="24"/>
                <w:szCs w:val="24"/>
              </w:rPr>
              <w:t>4</w:t>
            </w:r>
          </w:p>
        </w:tc>
      </w:tr>
      <w:tr w:rsidR="00176816" w:rsidRPr="00C26D51" w:rsidTr="00A64F25">
        <w:trPr>
          <w:jc w:val="center"/>
        </w:trPr>
        <w:tc>
          <w:tcPr>
            <w:tcW w:w="8783" w:type="dxa"/>
            <w:gridSpan w:val="5"/>
            <w:shd w:val="clear" w:color="auto" w:fill="DBE5F1"/>
            <w:vAlign w:val="center"/>
          </w:tcPr>
          <w:p w:rsidR="00176816" w:rsidRPr="00C26D51" w:rsidRDefault="00176816" w:rsidP="00A64F25">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176816" w:rsidRPr="00C26D51" w:rsidTr="00A64F25">
        <w:trPr>
          <w:jc w:val="center"/>
        </w:trPr>
        <w:tc>
          <w:tcPr>
            <w:tcW w:w="3969" w:type="dxa"/>
            <w:vAlign w:val="center"/>
          </w:tcPr>
          <w:p w:rsidR="00176816" w:rsidRPr="00C26D51" w:rsidRDefault="00176816" w:rsidP="00A64F25">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176816" w:rsidRPr="00C26D51" w:rsidRDefault="00176816" w:rsidP="00A64F25">
            <w:pPr>
              <w:spacing w:before="60" w:after="60"/>
              <w:jc w:val="center"/>
              <w:rPr>
                <w:rFonts w:cs="Arial"/>
                <w:color w:val="1F497D"/>
                <w:sz w:val="18"/>
                <w:szCs w:val="18"/>
              </w:rPr>
            </w:pPr>
            <w:r w:rsidRPr="00C26D51">
              <w:rPr>
                <w:rFonts w:cs="Arial"/>
                <w:b/>
                <w:bCs/>
                <w:color w:val="1F497D"/>
                <w:sz w:val="18"/>
                <w:szCs w:val="18"/>
              </w:rPr>
              <w:t>Sections Modified</w:t>
            </w:r>
          </w:p>
        </w:tc>
        <w:tc>
          <w:tcPr>
            <w:tcW w:w="2121" w:type="dxa"/>
            <w:gridSpan w:val="2"/>
            <w:vAlign w:val="center"/>
          </w:tcPr>
          <w:p w:rsidR="00176816" w:rsidRPr="00C26D51" w:rsidRDefault="00176816" w:rsidP="00A64F25">
            <w:pPr>
              <w:spacing w:before="60" w:after="60"/>
              <w:jc w:val="center"/>
              <w:rPr>
                <w:rFonts w:cs="Arial"/>
                <w:color w:val="1F497D"/>
                <w:sz w:val="18"/>
                <w:szCs w:val="18"/>
              </w:rPr>
            </w:pPr>
            <w:r w:rsidRPr="00C26D51">
              <w:rPr>
                <w:rFonts w:cs="Arial"/>
                <w:b/>
                <w:bCs/>
                <w:color w:val="1F497D"/>
                <w:sz w:val="18"/>
                <w:szCs w:val="18"/>
              </w:rPr>
              <w:t>Sent</w:t>
            </w:r>
          </w:p>
        </w:tc>
      </w:tr>
      <w:tr w:rsidR="00176816" w:rsidRPr="00C26D51" w:rsidTr="00A64F25">
        <w:trPr>
          <w:trHeight w:val="578"/>
          <w:jc w:val="center"/>
        </w:trPr>
        <w:tc>
          <w:tcPr>
            <w:tcW w:w="3969" w:type="dxa"/>
            <w:vAlign w:val="center"/>
          </w:tcPr>
          <w:p w:rsidR="00176816" w:rsidRPr="00C26D51" w:rsidRDefault="00176816" w:rsidP="00A64F25">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176816" w:rsidRPr="00C26D51" w:rsidRDefault="00176816" w:rsidP="00A64F25">
            <w:pPr>
              <w:spacing w:before="60" w:after="60"/>
              <w:rPr>
                <w:rFonts w:cs="Arial"/>
                <w:sz w:val="18"/>
                <w:szCs w:val="18"/>
              </w:rPr>
            </w:pPr>
            <w:r w:rsidRPr="00C26D51">
              <w:rPr>
                <w:rFonts w:cs="Arial"/>
                <w:sz w:val="18"/>
                <w:szCs w:val="18"/>
              </w:rPr>
              <w:t>T&amp;SC Glossary</w:t>
            </w:r>
          </w:p>
        </w:tc>
        <w:tc>
          <w:tcPr>
            <w:tcW w:w="2121" w:type="dxa"/>
            <w:gridSpan w:val="2"/>
            <w:vAlign w:val="center"/>
          </w:tcPr>
          <w:p w:rsidR="00176816" w:rsidRPr="00C26D51" w:rsidRDefault="00176816" w:rsidP="00A64F25">
            <w:pPr>
              <w:spacing w:before="60" w:after="60"/>
              <w:rPr>
                <w:rFonts w:cs="Arial"/>
                <w:sz w:val="18"/>
                <w:szCs w:val="18"/>
              </w:rPr>
            </w:pPr>
            <w:r w:rsidRPr="00C26D51">
              <w:rPr>
                <w:rFonts w:cs="Arial"/>
                <w:sz w:val="18"/>
                <w:szCs w:val="18"/>
              </w:rPr>
              <w:t>08 September 2011</w:t>
            </w:r>
          </w:p>
        </w:tc>
      </w:tr>
      <w:tr w:rsidR="00176816" w:rsidRPr="00C26D51" w:rsidTr="00A64F25">
        <w:trPr>
          <w:jc w:val="center"/>
        </w:trPr>
        <w:tc>
          <w:tcPr>
            <w:tcW w:w="8783" w:type="dxa"/>
            <w:gridSpan w:val="5"/>
            <w:shd w:val="clear" w:color="auto" w:fill="DBE5F1"/>
            <w:vAlign w:val="center"/>
          </w:tcPr>
          <w:p w:rsidR="00176816" w:rsidRPr="00C26D51" w:rsidRDefault="00176816" w:rsidP="00A64F25">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176816" w:rsidRPr="00C26D51" w:rsidTr="00A64F25">
        <w:trPr>
          <w:jc w:val="center"/>
        </w:trPr>
        <w:tc>
          <w:tcPr>
            <w:tcW w:w="4017" w:type="dxa"/>
            <w:gridSpan w:val="2"/>
            <w:shd w:val="clear" w:color="auto" w:fill="auto"/>
            <w:vAlign w:val="center"/>
          </w:tcPr>
          <w:p w:rsidR="00176816" w:rsidRPr="00C26D51" w:rsidRDefault="00176816" w:rsidP="00A64F25">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176816" w:rsidRPr="00C26D51" w:rsidRDefault="00176816" w:rsidP="00A64F25">
            <w:pPr>
              <w:spacing w:before="60" w:after="60"/>
              <w:rPr>
                <w:rFonts w:cs="Arial"/>
                <w:sz w:val="18"/>
                <w:szCs w:val="18"/>
              </w:rPr>
            </w:pPr>
            <w:r w:rsidRPr="00C26D51">
              <w:rPr>
                <w:rFonts w:cs="Arial"/>
                <w:sz w:val="18"/>
                <w:szCs w:val="18"/>
              </w:rPr>
              <w:t xml:space="preserve">T&amp;SC Section 5; T&amp;SC Appendix K </w:t>
            </w:r>
          </w:p>
        </w:tc>
        <w:tc>
          <w:tcPr>
            <w:tcW w:w="2073" w:type="dxa"/>
            <w:shd w:val="clear" w:color="auto" w:fill="auto"/>
            <w:vAlign w:val="center"/>
          </w:tcPr>
          <w:p w:rsidR="00176816" w:rsidRPr="00C26D51" w:rsidRDefault="00176816" w:rsidP="00A64F25">
            <w:pPr>
              <w:spacing w:before="60" w:after="60"/>
              <w:rPr>
                <w:rFonts w:cs="Arial"/>
                <w:sz w:val="18"/>
                <w:szCs w:val="18"/>
              </w:rPr>
            </w:pPr>
            <w:r w:rsidRPr="00C26D51">
              <w:rPr>
                <w:rFonts w:cs="Arial"/>
                <w:sz w:val="18"/>
                <w:szCs w:val="18"/>
              </w:rPr>
              <w:t>21 November 201</w:t>
            </w:r>
            <w:r>
              <w:rPr>
                <w:rFonts w:cs="Arial"/>
                <w:sz w:val="18"/>
                <w:szCs w:val="18"/>
              </w:rPr>
              <w:t>2</w:t>
            </w:r>
          </w:p>
        </w:tc>
      </w:tr>
      <w:tr w:rsidR="00176816" w:rsidRPr="00633B70" w:rsidTr="00A64F25">
        <w:trPr>
          <w:jc w:val="center"/>
        </w:trPr>
        <w:tc>
          <w:tcPr>
            <w:tcW w:w="8783" w:type="dxa"/>
            <w:gridSpan w:val="5"/>
            <w:shd w:val="clear" w:color="auto" w:fill="DBE5F1"/>
            <w:vAlign w:val="center"/>
          </w:tcPr>
          <w:p w:rsidR="00176816" w:rsidRPr="00633B70" w:rsidRDefault="00176816" w:rsidP="00A64F25">
            <w:pPr>
              <w:spacing w:before="120" w:after="120"/>
              <w:jc w:val="center"/>
              <w:rPr>
                <w:rFonts w:cs="Arial"/>
                <w:b/>
                <w:bCs/>
                <w:color w:val="1F497D"/>
              </w:rPr>
            </w:pPr>
            <w:r w:rsidRPr="00633B70">
              <w:rPr>
                <w:rFonts w:cs="Arial"/>
                <w:b/>
                <w:bCs/>
                <w:color w:val="1F497D"/>
              </w:rPr>
              <w:t>RA Decision Approved Modifications with System Impacts</w:t>
            </w:r>
          </w:p>
        </w:tc>
      </w:tr>
      <w:tr w:rsidR="00176816" w:rsidRPr="00633B70" w:rsidTr="00A64F25">
        <w:trPr>
          <w:trHeight w:val="416"/>
          <w:jc w:val="center"/>
        </w:trPr>
        <w:tc>
          <w:tcPr>
            <w:tcW w:w="3969" w:type="dxa"/>
            <w:shd w:val="clear" w:color="auto" w:fill="FFFFFF"/>
            <w:vAlign w:val="center"/>
          </w:tcPr>
          <w:p w:rsidR="00176816" w:rsidRPr="00633B70" w:rsidRDefault="00176816" w:rsidP="00A64F25">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176816" w:rsidRPr="00633B70" w:rsidRDefault="00176816" w:rsidP="00A64F25">
            <w:pPr>
              <w:spacing w:before="120" w:after="120"/>
              <w:jc w:val="center"/>
              <w:rPr>
                <w:rFonts w:cs="Arial"/>
                <w:color w:val="1F497D"/>
                <w:sz w:val="18"/>
                <w:szCs w:val="18"/>
              </w:rPr>
            </w:pPr>
            <w:r w:rsidRPr="00633B70">
              <w:rPr>
                <w:rFonts w:cs="Arial"/>
                <w:b/>
                <w:bCs/>
                <w:color w:val="1F497D"/>
                <w:sz w:val="18"/>
                <w:szCs w:val="18"/>
              </w:rPr>
              <w:t>Sections Modified</w:t>
            </w:r>
          </w:p>
        </w:tc>
        <w:tc>
          <w:tcPr>
            <w:tcW w:w="2121" w:type="dxa"/>
            <w:gridSpan w:val="2"/>
            <w:shd w:val="clear" w:color="auto" w:fill="FFFFFF"/>
            <w:vAlign w:val="center"/>
          </w:tcPr>
          <w:p w:rsidR="00176816" w:rsidRPr="00633B70" w:rsidRDefault="00176816" w:rsidP="00A64F25">
            <w:pPr>
              <w:spacing w:before="120" w:after="120"/>
              <w:jc w:val="center"/>
              <w:rPr>
                <w:rFonts w:cs="Arial"/>
                <w:color w:val="1F497D"/>
                <w:sz w:val="18"/>
                <w:szCs w:val="18"/>
              </w:rPr>
            </w:pPr>
            <w:r w:rsidRPr="00633B70">
              <w:rPr>
                <w:rFonts w:cs="Arial"/>
                <w:b/>
                <w:bCs/>
                <w:color w:val="1F497D"/>
                <w:sz w:val="18"/>
                <w:szCs w:val="18"/>
              </w:rPr>
              <w:t>Effective Date</w:t>
            </w:r>
          </w:p>
        </w:tc>
      </w:tr>
      <w:tr w:rsidR="00176816" w:rsidRPr="00633B70" w:rsidTr="00A64F25">
        <w:trPr>
          <w:jc w:val="center"/>
        </w:trPr>
        <w:tc>
          <w:tcPr>
            <w:tcW w:w="3969" w:type="dxa"/>
            <w:vAlign w:val="center"/>
          </w:tcPr>
          <w:p w:rsidR="00176816" w:rsidRPr="00633B70" w:rsidRDefault="00176816" w:rsidP="00A64F25">
            <w:pPr>
              <w:spacing w:before="60" w:after="60"/>
              <w:rPr>
                <w:rFonts w:cs="Arial"/>
                <w:sz w:val="18"/>
                <w:szCs w:val="18"/>
              </w:rPr>
            </w:pPr>
            <w:r w:rsidRPr="00633B70">
              <w:rPr>
                <w:rFonts w:cs="Arial"/>
                <w:sz w:val="18"/>
                <w:szCs w:val="18"/>
              </w:rPr>
              <w:t>N/A</w:t>
            </w:r>
          </w:p>
        </w:tc>
        <w:tc>
          <w:tcPr>
            <w:tcW w:w="2693" w:type="dxa"/>
            <w:gridSpan w:val="2"/>
            <w:vAlign w:val="center"/>
          </w:tcPr>
          <w:p w:rsidR="00176816" w:rsidRPr="00633B70" w:rsidRDefault="00176816" w:rsidP="00A64F25">
            <w:pPr>
              <w:spacing w:before="60" w:after="60"/>
              <w:rPr>
                <w:rFonts w:cs="Arial"/>
                <w:sz w:val="18"/>
                <w:szCs w:val="18"/>
              </w:rPr>
            </w:pPr>
            <w:r w:rsidRPr="00633B70">
              <w:rPr>
                <w:rFonts w:cs="Arial"/>
                <w:sz w:val="18"/>
                <w:szCs w:val="18"/>
              </w:rPr>
              <w:t>N/A</w:t>
            </w:r>
          </w:p>
        </w:tc>
        <w:tc>
          <w:tcPr>
            <w:tcW w:w="2121" w:type="dxa"/>
            <w:gridSpan w:val="2"/>
            <w:vAlign w:val="center"/>
          </w:tcPr>
          <w:p w:rsidR="00176816" w:rsidRPr="00633B70" w:rsidRDefault="00176816" w:rsidP="00A64F25">
            <w:pPr>
              <w:spacing w:before="60" w:after="60"/>
              <w:rPr>
                <w:rFonts w:cs="Arial"/>
                <w:sz w:val="18"/>
                <w:szCs w:val="18"/>
              </w:rPr>
            </w:pPr>
            <w:r w:rsidRPr="00633B70">
              <w:rPr>
                <w:rFonts w:cs="Arial"/>
                <w:sz w:val="18"/>
                <w:szCs w:val="18"/>
              </w:rPr>
              <w:t>N/A</w:t>
            </w:r>
          </w:p>
        </w:tc>
      </w:tr>
      <w:tr w:rsidR="00176816" w:rsidRPr="00633B70" w:rsidTr="00A64F25">
        <w:trPr>
          <w:jc w:val="center"/>
        </w:trPr>
        <w:tc>
          <w:tcPr>
            <w:tcW w:w="8783" w:type="dxa"/>
            <w:gridSpan w:val="5"/>
            <w:shd w:val="clear" w:color="auto" w:fill="DBE5F1"/>
            <w:vAlign w:val="center"/>
          </w:tcPr>
          <w:p w:rsidR="00176816" w:rsidRPr="00633B70" w:rsidRDefault="00176816" w:rsidP="00A64F25">
            <w:pPr>
              <w:spacing w:before="120" w:after="120"/>
              <w:jc w:val="center"/>
              <w:rPr>
                <w:rFonts w:cs="Arial"/>
                <w:b/>
                <w:bCs/>
                <w:color w:val="1F497D"/>
              </w:rPr>
            </w:pPr>
            <w:r w:rsidRPr="00633B70">
              <w:rPr>
                <w:rFonts w:cs="Arial"/>
                <w:b/>
                <w:bCs/>
                <w:color w:val="1F497D"/>
              </w:rPr>
              <w:t>RA Decision Approved Modifications without System Impacts</w:t>
            </w:r>
          </w:p>
        </w:tc>
      </w:tr>
      <w:tr w:rsidR="00176816" w:rsidRPr="00633B70" w:rsidTr="00A64F25">
        <w:trPr>
          <w:jc w:val="center"/>
        </w:trPr>
        <w:tc>
          <w:tcPr>
            <w:tcW w:w="3969" w:type="dxa"/>
            <w:shd w:val="clear" w:color="auto" w:fill="auto"/>
            <w:vAlign w:val="center"/>
          </w:tcPr>
          <w:p w:rsidR="00176816" w:rsidRPr="00633B70" w:rsidRDefault="00176816" w:rsidP="00A64F25">
            <w:pPr>
              <w:spacing w:before="60" w:after="60"/>
              <w:rPr>
                <w:rFonts w:cs="Arial"/>
                <w:sz w:val="18"/>
                <w:szCs w:val="18"/>
              </w:rPr>
            </w:pPr>
            <w:r w:rsidRPr="00633B70">
              <w:rPr>
                <w:rFonts w:cs="Arial"/>
                <w:sz w:val="18"/>
                <w:szCs w:val="18"/>
              </w:rPr>
              <w:t>N/A</w:t>
            </w:r>
          </w:p>
        </w:tc>
        <w:tc>
          <w:tcPr>
            <w:tcW w:w="2693" w:type="dxa"/>
            <w:gridSpan w:val="2"/>
            <w:shd w:val="clear" w:color="auto" w:fill="auto"/>
            <w:vAlign w:val="center"/>
          </w:tcPr>
          <w:p w:rsidR="00176816" w:rsidRPr="00633B70" w:rsidRDefault="00176816" w:rsidP="00A64F25">
            <w:pPr>
              <w:spacing w:before="60" w:after="60"/>
              <w:rPr>
                <w:rFonts w:cs="Arial"/>
                <w:sz w:val="18"/>
                <w:szCs w:val="18"/>
              </w:rPr>
            </w:pPr>
            <w:r w:rsidRPr="00633B70">
              <w:rPr>
                <w:rFonts w:cs="Arial"/>
                <w:sz w:val="18"/>
                <w:szCs w:val="18"/>
              </w:rPr>
              <w:t>N/A</w:t>
            </w:r>
          </w:p>
        </w:tc>
        <w:tc>
          <w:tcPr>
            <w:tcW w:w="2121" w:type="dxa"/>
            <w:gridSpan w:val="2"/>
            <w:shd w:val="clear" w:color="auto" w:fill="auto"/>
            <w:vAlign w:val="center"/>
          </w:tcPr>
          <w:p w:rsidR="00176816" w:rsidRPr="00633B70" w:rsidRDefault="00176816" w:rsidP="00A64F25">
            <w:pPr>
              <w:spacing w:before="60" w:after="60"/>
              <w:rPr>
                <w:rFonts w:cs="Arial"/>
                <w:sz w:val="18"/>
                <w:szCs w:val="18"/>
              </w:rPr>
            </w:pPr>
            <w:r w:rsidRPr="00633B70">
              <w:rPr>
                <w:rFonts w:cs="Arial"/>
                <w:sz w:val="18"/>
                <w:szCs w:val="18"/>
              </w:rPr>
              <w:t>N/A</w:t>
            </w:r>
          </w:p>
        </w:tc>
      </w:tr>
      <w:tr w:rsidR="00176816" w:rsidRPr="00633B70" w:rsidTr="00A64F25">
        <w:trPr>
          <w:jc w:val="center"/>
        </w:trPr>
        <w:tc>
          <w:tcPr>
            <w:tcW w:w="8783" w:type="dxa"/>
            <w:gridSpan w:val="5"/>
            <w:shd w:val="clear" w:color="auto" w:fill="DBE5F1"/>
            <w:vAlign w:val="center"/>
          </w:tcPr>
          <w:p w:rsidR="00176816" w:rsidRPr="00633B70" w:rsidRDefault="00176816" w:rsidP="00A64F25">
            <w:pPr>
              <w:spacing w:before="120" w:after="120"/>
              <w:jc w:val="center"/>
              <w:rPr>
                <w:rFonts w:cs="Arial"/>
                <w:b/>
                <w:bCs/>
                <w:color w:val="1F497D"/>
              </w:rPr>
            </w:pPr>
            <w:r w:rsidRPr="00633B70">
              <w:rPr>
                <w:rFonts w:cs="Arial"/>
                <w:b/>
                <w:bCs/>
                <w:color w:val="1F497D"/>
              </w:rPr>
              <w:t>AP Notifications</w:t>
            </w:r>
          </w:p>
        </w:tc>
      </w:tr>
      <w:tr w:rsidR="00176816" w:rsidRPr="00633B70" w:rsidTr="00A64F25">
        <w:trPr>
          <w:jc w:val="center"/>
        </w:trPr>
        <w:tc>
          <w:tcPr>
            <w:tcW w:w="3969" w:type="dxa"/>
            <w:shd w:val="clear" w:color="auto" w:fill="auto"/>
            <w:vAlign w:val="center"/>
          </w:tcPr>
          <w:p w:rsidR="00176816" w:rsidRPr="00633B70" w:rsidRDefault="00176816" w:rsidP="00A64F25">
            <w:pPr>
              <w:spacing w:before="60" w:after="60"/>
              <w:rPr>
                <w:rFonts w:cs="Arial"/>
                <w:sz w:val="18"/>
                <w:szCs w:val="18"/>
              </w:rPr>
            </w:pPr>
            <w:r w:rsidRPr="00633B70">
              <w:rPr>
                <w:rFonts w:cs="Arial"/>
                <w:sz w:val="18"/>
                <w:szCs w:val="18"/>
              </w:rPr>
              <w:t>N/A</w:t>
            </w:r>
          </w:p>
        </w:tc>
        <w:tc>
          <w:tcPr>
            <w:tcW w:w="2693" w:type="dxa"/>
            <w:gridSpan w:val="2"/>
            <w:shd w:val="clear" w:color="auto" w:fill="auto"/>
            <w:vAlign w:val="center"/>
          </w:tcPr>
          <w:p w:rsidR="00176816" w:rsidRPr="00633B70" w:rsidRDefault="00176816" w:rsidP="00A64F25">
            <w:pPr>
              <w:spacing w:before="60" w:after="60"/>
              <w:rPr>
                <w:rFonts w:cs="Arial"/>
                <w:sz w:val="18"/>
                <w:szCs w:val="18"/>
              </w:rPr>
            </w:pPr>
            <w:r w:rsidRPr="00633B70">
              <w:rPr>
                <w:rFonts w:cs="Arial"/>
                <w:sz w:val="18"/>
                <w:szCs w:val="18"/>
              </w:rPr>
              <w:t>N/A</w:t>
            </w:r>
          </w:p>
        </w:tc>
        <w:tc>
          <w:tcPr>
            <w:tcW w:w="2121" w:type="dxa"/>
            <w:gridSpan w:val="2"/>
            <w:shd w:val="clear" w:color="auto" w:fill="auto"/>
            <w:vAlign w:val="center"/>
          </w:tcPr>
          <w:p w:rsidR="00176816" w:rsidRPr="00633B70" w:rsidRDefault="00176816" w:rsidP="00A64F25">
            <w:pPr>
              <w:spacing w:before="60" w:after="60"/>
              <w:rPr>
                <w:rFonts w:cs="Arial"/>
                <w:sz w:val="18"/>
                <w:szCs w:val="18"/>
              </w:rPr>
            </w:pPr>
            <w:r w:rsidRPr="00633B70">
              <w:rPr>
                <w:rFonts w:cs="Arial"/>
                <w:sz w:val="18"/>
                <w:szCs w:val="18"/>
              </w:rPr>
              <w:t>N/A</w:t>
            </w:r>
          </w:p>
        </w:tc>
      </w:tr>
      <w:tr w:rsidR="00176816" w:rsidRPr="00633B70" w:rsidTr="00A64F25">
        <w:trPr>
          <w:jc w:val="center"/>
        </w:trPr>
        <w:tc>
          <w:tcPr>
            <w:tcW w:w="8783" w:type="dxa"/>
            <w:gridSpan w:val="5"/>
            <w:shd w:val="clear" w:color="auto" w:fill="DBE5F1"/>
            <w:vAlign w:val="center"/>
          </w:tcPr>
          <w:p w:rsidR="00176816" w:rsidRPr="00633B70" w:rsidRDefault="00176816" w:rsidP="00A64F25">
            <w:pPr>
              <w:spacing w:before="120" w:after="120"/>
              <w:jc w:val="center"/>
              <w:rPr>
                <w:rFonts w:cs="Arial"/>
                <w:b/>
                <w:bCs/>
                <w:color w:val="1F497D"/>
              </w:rPr>
            </w:pPr>
            <w:r w:rsidRPr="00633B70">
              <w:rPr>
                <w:rFonts w:cs="Arial"/>
                <w:b/>
                <w:bCs/>
                <w:color w:val="1F497D"/>
              </w:rPr>
              <w:t>Modification Proposal Extensions</w:t>
            </w:r>
          </w:p>
        </w:tc>
      </w:tr>
      <w:tr w:rsidR="00176816" w:rsidRPr="00633B70" w:rsidTr="00A64F25">
        <w:trPr>
          <w:trHeight w:val="680"/>
          <w:jc w:val="center"/>
        </w:trPr>
        <w:tc>
          <w:tcPr>
            <w:tcW w:w="3969" w:type="dxa"/>
            <w:shd w:val="clear" w:color="auto" w:fill="auto"/>
            <w:vAlign w:val="center"/>
          </w:tcPr>
          <w:p w:rsidR="00176816" w:rsidRPr="00633B70" w:rsidRDefault="00176816" w:rsidP="00A64F25">
            <w:pPr>
              <w:spacing w:before="60" w:after="60"/>
              <w:rPr>
                <w:rFonts w:cs="Arial"/>
                <w:b/>
                <w:bCs/>
                <w:color w:val="1F497D"/>
              </w:rPr>
            </w:pPr>
            <w:r w:rsidRPr="00633B70">
              <w:rPr>
                <w:rFonts w:cs="Arial"/>
                <w:sz w:val="18"/>
                <w:szCs w:val="18"/>
              </w:rPr>
              <w:t>Mod_11_12 Proposal to extend definition of Special Units to include Compressed Air Energy Storage</w:t>
            </w:r>
          </w:p>
        </w:tc>
        <w:tc>
          <w:tcPr>
            <w:tcW w:w="2693" w:type="dxa"/>
            <w:gridSpan w:val="2"/>
            <w:shd w:val="clear" w:color="auto" w:fill="auto"/>
            <w:vAlign w:val="center"/>
          </w:tcPr>
          <w:p w:rsidR="00176816" w:rsidRPr="00633B70" w:rsidRDefault="00176816" w:rsidP="00A64F25">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176816" w:rsidRPr="00633B70" w:rsidRDefault="00B203CC" w:rsidP="00A64F25">
            <w:pPr>
              <w:spacing w:before="60" w:after="60"/>
              <w:rPr>
                <w:rFonts w:cs="Arial"/>
                <w:sz w:val="18"/>
                <w:szCs w:val="18"/>
              </w:rPr>
            </w:pPr>
            <w:r>
              <w:rPr>
                <w:rFonts w:cs="Arial"/>
                <w:sz w:val="18"/>
                <w:szCs w:val="18"/>
              </w:rPr>
              <w:t>30 April 2015</w:t>
            </w:r>
            <w:r w:rsidR="00176816" w:rsidRPr="00633B70">
              <w:rPr>
                <w:rFonts w:cs="Arial"/>
                <w:sz w:val="18"/>
                <w:szCs w:val="18"/>
              </w:rPr>
              <w:t xml:space="preserve"> </w:t>
            </w:r>
          </w:p>
        </w:tc>
      </w:tr>
      <w:tr w:rsidR="00176816" w:rsidTr="00A64F25">
        <w:trPr>
          <w:trHeight w:val="680"/>
          <w:jc w:val="center"/>
        </w:trPr>
        <w:tc>
          <w:tcPr>
            <w:tcW w:w="3969" w:type="dxa"/>
            <w:shd w:val="clear" w:color="auto" w:fill="auto"/>
            <w:vAlign w:val="center"/>
          </w:tcPr>
          <w:p w:rsidR="00176816" w:rsidRPr="00633B70" w:rsidRDefault="00176816" w:rsidP="00A64F25">
            <w:pPr>
              <w:spacing w:before="60" w:after="60"/>
              <w:rPr>
                <w:rFonts w:cs="Arial"/>
                <w:sz w:val="18"/>
                <w:szCs w:val="18"/>
              </w:rPr>
            </w:pPr>
            <w:r>
              <w:rPr>
                <w:rFonts w:cs="Arial"/>
                <w:sz w:val="18"/>
                <w:szCs w:val="18"/>
              </w:rPr>
              <w:t xml:space="preserve">Mod_02_13 Registration of Charges </w:t>
            </w:r>
          </w:p>
        </w:tc>
        <w:tc>
          <w:tcPr>
            <w:tcW w:w="2693" w:type="dxa"/>
            <w:gridSpan w:val="2"/>
            <w:shd w:val="clear" w:color="auto" w:fill="auto"/>
            <w:vAlign w:val="center"/>
          </w:tcPr>
          <w:p w:rsidR="00176816" w:rsidRPr="00633B70" w:rsidRDefault="00176816" w:rsidP="00A64F25">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176816" w:rsidRDefault="00176816" w:rsidP="00A64F25">
            <w:pPr>
              <w:spacing w:before="60" w:after="60"/>
              <w:rPr>
                <w:rFonts w:cs="Arial"/>
                <w:sz w:val="18"/>
                <w:szCs w:val="18"/>
              </w:rPr>
            </w:pPr>
            <w:r>
              <w:rPr>
                <w:rFonts w:cs="Arial"/>
                <w:sz w:val="18"/>
                <w:szCs w:val="18"/>
              </w:rPr>
              <w:t>30 January 2015</w:t>
            </w:r>
          </w:p>
        </w:tc>
      </w:tr>
      <w:tr w:rsidR="00176816" w:rsidTr="00A64F25">
        <w:trPr>
          <w:trHeight w:val="680"/>
          <w:jc w:val="center"/>
        </w:trPr>
        <w:tc>
          <w:tcPr>
            <w:tcW w:w="3969" w:type="dxa"/>
            <w:shd w:val="clear" w:color="auto" w:fill="auto"/>
            <w:vAlign w:val="center"/>
          </w:tcPr>
          <w:p w:rsidR="00176816" w:rsidRDefault="00176816" w:rsidP="00A64F25">
            <w:pPr>
              <w:spacing w:before="60" w:after="60"/>
              <w:rPr>
                <w:rFonts w:cs="Arial"/>
                <w:sz w:val="18"/>
                <w:szCs w:val="18"/>
              </w:rPr>
            </w:pPr>
            <w:r>
              <w:rPr>
                <w:rFonts w:cs="Arial"/>
                <w:sz w:val="18"/>
                <w:szCs w:val="18"/>
              </w:rPr>
              <w:t xml:space="preserve">Mod_12_13 Mod 12_13 </w:t>
            </w:r>
            <w:r w:rsidRPr="00E06A62">
              <w:rPr>
                <w:rFonts w:cs="Arial"/>
                <w:sz w:val="18"/>
                <w:szCs w:val="18"/>
              </w:rPr>
              <w:t>Amendment to Special Units Pumped Storage definition to include energy storage</w:t>
            </w:r>
          </w:p>
        </w:tc>
        <w:tc>
          <w:tcPr>
            <w:tcW w:w="2693" w:type="dxa"/>
            <w:gridSpan w:val="2"/>
            <w:shd w:val="clear" w:color="auto" w:fill="auto"/>
            <w:vAlign w:val="center"/>
          </w:tcPr>
          <w:p w:rsidR="00176816" w:rsidRPr="00633B70" w:rsidRDefault="00176816" w:rsidP="00A64F25">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176816" w:rsidRDefault="00176816" w:rsidP="00A64F25">
            <w:pPr>
              <w:spacing w:before="60" w:after="60"/>
              <w:rPr>
                <w:rFonts w:cs="Arial"/>
                <w:sz w:val="18"/>
                <w:szCs w:val="18"/>
              </w:rPr>
            </w:pPr>
            <w:r>
              <w:rPr>
                <w:rFonts w:cs="Arial"/>
                <w:sz w:val="18"/>
                <w:szCs w:val="18"/>
              </w:rPr>
              <w:t>30 January 2015</w:t>
            </w:r>
          </w:p>
        </w:tc>
      </w:tr>
      <w:tr w:rsidR="00176816" w:rsidRPr="00651934" w:rsidTr="00A64F25">
        <w:trPr>
          <w:trHeight w:val="880"/>
          <w:jc w:val="center"/>
        </w:trPr>
        <w:tc>
          <w:tcPr>
            <w:tcW w:w="8783" w:type="dxa"/>
            <w:gridSpan w:val="5"/>
            <w:shd w:val="clear" w:color="auto" w:fill="DBE5F1"/>
            <w:vAlign w:val="center"/>
          </w:tcPr>
          <w:p w:rsidR="00176816" w:rsidRPr="00651934" w:rsidRDefault="00176816" w:rsidP="00045F70">
            <w:pPr>
              <w:pStyle w:val="ListParagraph"/>
              <w:numPr>
                <w:ilvl w:val="0"/>
                <w:numId w:val="10"/>
              </w:numPr>
              <w:spacing w:before="120" w:after="120"/>
              <w:contextualSpacing/>
              <w:jc w:val="center"/>
              <w:rPr>
                <w:b/>
                <w:bCs/>
                <w:color w:val="1F497D"/>
                <w:lang w:val="en-GB" w:eastAsia="en-US"/>
              </w:rPr>
            </w:pPr>
            <w:r>
              <w:rPr>
                <w:b/>
                <w:bCs/>
                <w:color w:val="1F497D"/>
                <w:lang w:val="en-GB" w:eastAsia="en-US"/>
              </w:rPr>
              <w:t>Cut-off date for October 2015 release is  6</w:t>
            </w:r>
            <w:r w:rsidRPr="001942C3">
              <w:rPr>
                <w:b/>
                <w:bCs/>
                <w:color w:val="1F497D"/>
                <w:vertAlign w:val="superscript"/>
                <w:lang w:val="en-GB" w:eastAsia="en-US"/>
              </w:rPr>
              <w:t>th</w:t>
            </w:r>
            <w:r>
              <w:rPr>
                <w:b/>
                <w:bCs/>
                <w:color w:val="1F497D"/>
                <w:lang w:val="en-GB" w:eastAsia="en-US"/>
              </w:rPr>
              <w:t xml:space="preserve"> March 2015</w:t>
            </w:r>
          </w:p>
        </w:tc>
      </w:tr>
    </w:tbl>
    <w:p w:rsidR="003B457A" w:rsidRPr="00530840" w:rsidRDefault="003B457A" w:rsidP="00E07DF4"/>
    <w:sectPr w:rsidR="003B457A" w:rsidRPr="00530840" w:rsidSect="00DD2B54">
      <w:headerReference w:type="default" r:id="rId28"/>
      <w:footerReference w:type="default" r:id="rId29"/>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757" w:rsidRDefault="00075757">
      <w:r>
        <w:separator/>
      </w:r>
    </w:p>
  </w:endnote>
  <w:endnote w:type="continuationSeparator" w:id="0">
    <w:p w:rsidR="00075757" w:rsidRDefault="00075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E0002AFF" w:usb1="C0007843" w:usb2="00000009" w:usb3="00000000" w:csb0="000001FF"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06" w:rsidRPr="0019258D" w:rsidRDefault="00211F06" w:rsidP="0019258D">
    <w:pPr>
      <w:pStyle w:val="Footer"/>
      <w:spacing w:before="0" w:after="0"/>
      <w:rPr>
        <w:sz w:val="12"/>
        <w:szCs w:val="12"/>
      </w:rPr>
    </w:pPr>
  </w:p>
  <w:p w:rsidR="00211F06" w:rsidRPr="00A53010" w:rsidRDefault="00211F06"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0B5F90" w:rsidRPr="00A53010">
      <w:rPr>
        <w:rStyle w:val="PageNumber"/>
        <w:sz w:val="18"/>
        <w:szCs w:val="18"/>
      </w:rPr>
      <w:fldChar w:fldCharType="begin"/>
    </w:r>
    <w:r w:rsidRPr="00A53010">
      <w:rPr>
        <w:rStyle w:val="PageNumber"/>
        <w:sz w:val="18"/>
        <w:szCs w:val="18"/>
      </w:rPr>
      <w:instrText xml:space="preserve">PAGE  </w:instrText>
    </w:r>
    <w:r w:rsidR="000B5F90" w:rsidRPr="00A53010">
      <w:rPr>
        <w:rStyle w:val="PageNumber"/>
        <w:sz w:val="18"/>
        <w:szCs w:val="18"/>
      </w:rPr>
      <w:fldChar w:fldCharType="separate"/>
    </w:r>
    <w:r w:rsidR="00243343">
      <w:rPr>
        <w:rStyle w:val="PageNumber"/>
        <w:noProof/>
        <w:sz w:val="18"/>
        <w:szCs w:val="18"/>
      </w:rPr>
      <w:t>9</w:t>
    </w:r>
    <w:r w:rsidR="000B5F90" w:rsidRPr="00A53010">
      <w:rPr>
        <w:rStyle w:val="PageNumber"/>
        <w:sz w:val="18"/>
        <w:szCs w:val="18"/>
      </w:rPr>
      <w:fldChar w:fldCharType="end"/>
    </w:r>
    <w:r w:rsidRPr="00A53010">
      <w:rPr>
        <w:rStyle w:val="PageNumber"/>
        <w:sz w:val="18"/>
        <w:szCs w:val="18"/>
      </w:rPr>
      <w:t xml:space="preserve"> of </w:t>
    </w:r>
    <w:r w:rsidR="000B5F90" w:rsidRPr="00A53010">
      <w:rPr>
        <w:rStyle w:val="PageNumber"/>
        <w:sz w:val="18"/>
        <w:szCs w:val="18"/>
      </w:rPr>
      <w:fldChar w:fldCharType="begin"/>
    </w:r>
    <w:r w:rsidRPr="00A53010">
      <w:rPr>
        <w:rStyle w:val="PageNumber"/>
        <w:sz w:val="18"/>
        <w:szCs w:val="18"/>
      </w:rPr>
      <w:instrText xml:space="preserve"> NUMPAGES </w:instrText>
    </w:r>
    <w:r w:rsidR="000B5F90" w:rsidRPr="00A53010">
      <w:rPr>
        <w:rStyle w:val="PageNumber"/>
        <w:sz w:val="18"/>
        <w:szCs w:val="18"/>
      </w:rPr>
      <w:fldChar w:fldCharType="separate"/>
    </w:r>
    <w:r w:rsidR="00243343">
      <w:rPr>
        <w:rStyle w:val="PageNumber"/>
        <w:noProof/>
        <w:sz w:val="18"/>
        <w:szCs w:val="18"/>
      </w:rPr>
      <w:t>18</w:t>
    </w:r>
    <w:r w:rsidR="000B5F90" w:rsidRPr="00A53010">
      <w:rPr>
        <w:rStyle w:val="PageNumber"/>
        <w:sz w:val="18"/>
        <w:szCs w:val="18"/>
      </w:rPr>
      <w:fldChar w:fldCharType="end"/>
    </w:r>
  </w:p>
  <w:p w:rsidR="00211F06" w:rsidRPr="00A53010" w:rsidRDefault="00F61B28" w:rsidP="00A677C0">
    <w:pPr>
      <w:pStyle w:val="Footer"/>
      <w:pBdr>
        <w:top w:val="single" w:sz="4" w:space="1" w:color="auto"/>
      </w:pBdr>
      <w:rPr>
        <w:sz w:val="16"/>
        <w:szCs w:val="16"/>
      </w:rPr>
    </w:pPr>
    <w:r>
      <w:rPr>
        <w:noProof/>
        <w:sz w:val="16"/>
        <w:szCs w:val="16"/>
        <w:lang w:val="en-US"/>
      </w:rPr>
      <w:drawing>
        <wp:inline distT="0" distB="0" distL="0" distR="0">
          <wp:extent cx="570865" cy="190500"/>
          <wp:effectExtent l="19050" t="0" r="635"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0865"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757" w:rsidRDefault="00075757">
      <w:r>
        <w:separator/>
      </w:r>
    </w:p>
  </w:footnote>
  <w:footnote w:type="continuationSeparator" w:id="0">
    <w:p w:rsidR="00075757" w:rsidRDefault="00075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06" w:rsidRPr="00160A78" w:rsidRDefault="00211F06"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211F06" w:rsidRDefault="00211F0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1">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nsid w:val="1A4507A3"/>
    <w:multiLevelType w:val="hybridMultilevel"/>
    <w:tmpl w:val="6D74582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1F180681"/>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11A5C"/>
    <w:multiLevelType w:val="hybridMultilevel"/>
    <w:tmpl w:val="C24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6">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9814E2"/>
    <w:multiLevelType w:val="hybridMultilevel"/>
    <w:tmpl w:val="BC78E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0">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2">
    <w:nsid w:val="77332B0B"/>
    <w:multiLevelType w:val="hybridMultilevel"/>
    <w:tmpl w:val="570610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3"/>
  </w:num>
  <w:num w:numId="2">
    <w:abstractNumId w:val="11"/>
  </w:num>
  <w:num w:numId="3">
    <w:abstractNumId w:val="0"/>
  </w:num>
  <w:num w:numId="4">
    <w:abstractNumId w:val="5"/>
  </w:num>
  <w:num w:numId="5">
    <w:abstractNumId w:val="7"/>
  </w:num>
  <w:num w:numId="6">
    <w:abstractNumId w:val="9"/>
  </w:num>
  <w:num w:numId="7">
    <w:abstractNumId w:val="10"/>
  </w:num>
  <w:num w:numId="8">
    <w:abstractNumId w:val="6"/>
  </w:num>
  <w:num w:numId="9">
    <w:abstractNumId w:val="3"/>
  </w:num>
  <w:num w:numId="10">
    <w:abstractNumId w:val="4"/>
  </w:num>
  <w:num w:numId="11">
    <w:abstractNumId w:val="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rsids>
    <w:rsidRoot w:val="006D7481"/>
    <w:rsid w:val="00001093"/>
    <w:rsid w:val="00001369"/>
    <w:rsid w:val="00001839"/>
    <w:rsid w:val="00001892"/>
    <w:rsid w:val="000025CB"/>
    <w:rsid w:val="00003143"/>
    <w:rsid w:val="00003289"/>
    <w:rsid w:val="00003BF4"/>
    <w:rsid w:val="0000475E"/>
    <w:rsid w:val="00004996"/>
    <w:rsid w:val="000056E3"/>
    <w:rsid w:val="00005736"/>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A13"/>
    <w:rsid w:val="00017A45"/>
    <w:rsid w:val="00017A91"/>
    <w:rsid w:val="00017BF6"/>
    <w:rsid w:val="00020354"/>
    <w:rsid w:val="00022325"/>
    <w:rsid w:val="0002244C"/>
    <w:rsid w:val="0002260F"/>
    <w:rsid w:val="00022617"/>
    <w:rsid w:val="00022980"/>
    <w:rsid w:val="0002330C"/>
    <w:rsid w:val="00023DE3"/>
    <w:rsid w:val="00024857"/>
    <w:rsid w:val="00024D34"/>
    <w:rsid w:val="0002503F"/>
    <w:rsid w:val="00025105"/>
    <w:rsid w:val="0002534B"/>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E42"/>
    <w:rsid w:val="0003328F"/>
    <w:rsid w:val="00033798"/>
    <w:rsid w:val="00033EE0"/>
    <w:rsid w:val="00034111"/>
    <w:rsid w:val="00034500"/>
    <w:rsid w:val="00034774"/>
    <w:rsid w:val="00034C66"/>
    <w:rsid w:val="00034EC5"/>
    <w:rsid w:val="000353DB"/>
    <w:rsid w:val="0003645E"/>
    <w:rsid w:val="00036773"/>
    <w:rsid w:val="000368AA"/>
    <w:rsid w:val="00036D26"/>
    <w:rsid w:val="00037136"/>
    <w:rsid w:val="0003775A"/>
    <w:rsid w:val="00040E96"/>
    <w:rsid w:val="00040ECD"/>
    <w:rsid w:val="00041564"/>
    <w:rsid w:val="00041747"/>
    <w:rsid w:val="000417DE"/>
    <w:rsid w:val="00041BE3"/>
    <w:rsid w:val="00041C7F"/>
    <w:rsid w:val="000429B6"/>
    <w:rsid w:val="00042B67"/>
    <w:rsid w:val="00042C74"/>
    <w:rsid w:val="0004311A"/>
    <w:rsid w:val="00043B16"/>
    <w:rsid w:val="00043B6C"/>
    <w:rsid w:val="00043C30"/>
    <w:rsid w:val="00044043"/>
    <w:rsid w:val="00044318"/>
    <w:rsid w:val="00044426"/>
    <w:rsid w:val="000447E2"/>
    <w:rsid w:val="00044F8B"/>
    <w:rsid w:val="00045550"/>
    <w:rsid w:val="000456BC"/>
    <w:rsid w:val="00045ADC"/>
    <w:rsid w:val="00045F70"/>
    <w:rsid w:val="0004602A"/>
    <w:rsid w:val="00047456"/>
    <w:rsid w:val="0004771E"/>
    <w:rsid w:val="0004793C"/>
    <w:rsid w:val="00047D08"/>
    <w:rsid w:val="00051121"/>
    <w:rsid w:val="0005146D"/>
    <w:rsid w:val="0005149C"/>
    <w:rsid w:val="00051F2C"/>
    <w:rsid w:val="000522A1"/>
    <w:rsid w:val="000522DA"/>
    <w:rsid w:val="00052885"/>
    <w:rsid w:val="00052B06"/>
    <w:rsid w:val="00053BA3"/>
    <w:rsid w:val="00053E25"/>
    <w:rsid w:val="00054263"/>
    <w:rsid w:val="000543BB"/>
    <w:rsid w:val="00054C72"/>
    <w:rsid w:val="00055320"/>
    <w:rsid w:val="00055C6F"/>
    <w:rsid w:val="0005648E"/>
    <w:rsid w:val="0005683E"/>
    <w:rsid w:val="000577CD"/>
    <w:rsid w:val="000579D2"/>
    <w:rsid w:val="0006017D"/>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4A8"/>
    <w:rsid w:val="00094614"/>
    <w:rsid w:val="00095042"/>
    <w:rsid w:val="000954BF"/>
    <w:rsid w:val="000956E3"/>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CB"/>
    <w:rsid w:val="000A580F"/>
    <w:rsid w:val="000A627F"/>
    <w:rsid w:val="000A6431"/>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5F90"/>
    <w:rsid w:val="000B623E"/>
    <w:rsid w:val="000B746E"/>
    <w:rsid w:val="000B798B"/>
    <w:rsid w:val="000B7A37"/>
    <w:rsid w:val="000B7EF2"/>
    <w:rsid w:val="000C064E"/>
    <w:rsid w:val="000C0842"/>
    <w:rsid w:val="000C1D44"/>
    <w:rsid w:val="000C1DFD"/>
    <w:rsid w:val="000C23D6"/>
    <w:rsid w:val="000C2417"/>
    <w:rsid w:val="000C27A2"/>
    <w:rsid w:val="000C2C30"/>
    <w:rsid w:val="000C2FAC"/>
    <w:rsid w:val="000C304A"/>
    <w:rsid w:val="000C30EC"/>
    <w:rsid w:val="000C314A"/>
    <w:rsid w:val="000C3645"/>
    <w:rsid w:val="000C47B9"/>
    <w:rsid w:val="000C4ABA"/>
    <w:rsid w:val="000C4AE2"/>
    <w:rsid w:val="000C4F43"/>
    <w:rsid w:val="000C526B"/>
    <w:rsid w:val="000C5E3D"/>
    <w:rsid w:val="000C5F74"/>
    <w:rsid w:val="000C644B"/>
    <w:rsid w:val="000C6789"/>
    <w:rsid w:val="000C6C25"/>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2F3"/>
    <w:rsid w:val="000E2738"/>
    <w:rsid w:val="000E3684"/>
    <w:rsid w:val="000E3D9E"/>
    <w:rsid w:val="000E3FA1"/>
    <w:rsid w:val="000E48E8"/>
    <w:rsid w:val="000E4DE2"/>
    <w:rsid w:val="000E4E40"/>
    <w:rsid w:val="000E58AE"/>
    <w:rsid w:val="000E5972"/>
    <w:rsid w:val="000E5979"/>
    <w:rsid w:val="000E5B8F"/>
    <w:rsid w:val="000E5C8D"/>
    <w:rsid w:val="000E68F8"/>
    <w:rsid w:val="000E7752"/>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36BA"/>
    <w:rsid w:val="000F3C25"/>
    <w:rsid w:val="000F439A"/>
    <w:rsid w:val="000F4727"/>
    <w:rsid w:val="000F47D2"/>
    <w:rsid w:val="000F4A0F"/>
    <w:rsid w:val="000F4DEC"/>
    <w:rsid w:val="000F4E84"/>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F80"/>
    <w:rsid w:val="00101A43"/>
    <w:rsid w:val="00101CF3"/>
    <w:rsid w:val="001021B1"/>
    <w:rsid w:val="0010244A"/>
    <w:rsid w:val="001028B9"/>
    <w:rsid w:val="00102CC6"/>
    <w:rsid w:val="001030C9"/>
    <w:rsid w:val="00103138"/>
    <w:rsid w:val="00103F28"/>
    <w:rsid w:val="0010430A"/>
    <w:rsid w:val="00104A18"/>
    <w:rsid w:val="00104B8F"/>
    <w:rsid w:val="00104CFF"/>
    <w:rsid w:val="00105085"/>
    <w:rsid w:val="00105455"/>
    <w:rsid w:val="0010557F"/>
    <w:rsid w:val="00105698"/>
    <w:rsid w:val="00105984"/>
    <w:rsid w:val="001061E0"/>
    <w:rsid w:val="001062A9"/>
    <w:rsid w:val="00106528"/>
    <w:rsid w:val="00106B6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AB9"/>
    <w:rsid w:val="00114BEF"/>
    <w:rsid w:val="00115111"/>
    <w:rsid w:val="001157E4"/>
    <w:rsid w:val="001164AF"/>
    <w:rsid w:val="00116757"/>
    <w:rsid w:val="00116810"/>
    <w:rsid w:val="00116D87"/>
    <w:rsid w:val="00117580"/>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C12"/>
    <w:rsid w:val="00153E9F"/>
    <w:rsid w:val="001542EB"/>
    <w:rsid w:val="00154372"/>
    <w:rsid w:val="001546EB"/>
    <w:rsid w:val="001550E1"/>
    <w:rsid w:val="0015549B"/>
    <w:rsid w:val="001554B4"/>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989"/>
    <w:rsid w:val="00190BFD"/>
    <w:rsid w:val="00190D63"/>
    <w:rsid w:val="0019237E"/>
    <w:rsid w:val="0019258D"/>
    <w:rsid w:val="00192D52"/>
    <w:rsid w:val="001938CA"/>
    <w:rsid w:val="0019391A"/>
    <w:rsid w:val="00193EAA"/>
    <w:rsid w:val="00194155"/>
    <w:rsid w:val="00194F00"/>
    <w:rsid w:val="00194F6C"/>
    <w:rsid w:val="0019514C"/>
    <w:rsid w:val="0019521D"/>
    <w:rsid w:val="00196AEE"/>
    <w:rsid w:val="00196CBB"/>
    <w:rsid w:val="00196CBE"/>
    <w:rsid w:val="00196F2D"/>
    <w:rsid w:val="00197072"/>
    <w:rsid w:val="00197A0C"/>
    <w:rsid w:val="00197A86"/>
    <w:rsid w:val="00197FED"/>
    <w:rsid w:val="001A0583"/>
    <w:rsid w:val="001A0BD2"/>
    <w:rsid w:val="001A1F82"/>
    <w:rsid w:val="001A25E5"/>
    <w:rsid w:val="001A3A45"/>
    <w:rsid w:val="001A3A94"/>
    <w:rsid w:val="001A445C"/>
    <w:rsid w:val="001A49E5"/>
    <w:rsid w:val="001A4C44"/>
    <w:rsid w:val="001A5852"/>
    <w:rsid w:val="001A6071"/>
    <w:rsid w:val="001A6F90"/>
    <w:rsid w:val="001A6FD8"/>
    <w:rsid w:val="001A7354"/>
    <w:rsid w:val="001A738E"/>
    <w:rsid w:val="001A7446"/>
    <w:rsid w:val="001A7D73"/>
    <w:rsid w:val="001B025A"/>
    <w:rsid w:val="001B04B3"/>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67EB"/>
    <w:rsid w:val="001B685F"/>
    <w:rsid w:val="001B75DE"/>
    <w:rsid w:val="001B7A95"/>
    <w:rsid w:val="001B7C37"/>
    <w:rsid w:val="001C06E5"/>
    <w:rsid w:val="001C0BBD"/>
    <w:rsid w:val="001C0E60"/>
    <w:rsid w:val="001C1569"/>
    <w:rsid w:val="001C2E1D"/>
    <w:rsid w:val="001C3337"/>
    <w:rsid w:val="001C341C"/>
    <w:rsid w:val="001C373B"/>
    <w:rsid w:val="001C3D2A"/>
    <w:rsid w:val="001C4010"/>
    <w:rsid w:val="001C40D6"/>
    <w:rsid w:val="001C41D2"/>
    <w:rsid w:val="001C445A"/>
    <w:rsid w:val="001C4B0E"/>
    <w:rsid w:val="001C4BAF"/>
    <w:rsid w:val="001C5101"/>
    <w:rsid w:val="001C5CA5"/>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4218"/>
    <w:rsid w:val="001E4AD2"/>
    <w:rsid w:val="001E561D"/>
    <w:rsid w:val="001E5D06"/>
    <w:rsid w:val="001E6172"/>
    <w:rsid w:val="001E6309"/>
    <w:rsid w:val="001E6557"/>
    <w:rsid w:val="001E6582"/>
    <w:rsid w:val="001E67C6"/>
    <w:rsid w:val="001E6E16"/>
    <w:rsid w:val="001E6FB7"/>
    <w:rsid w:val="001E7191"/>
    <w:rsid w:val="001E7453"/>
    <w:rsid w:val="001E759E"/>
    <w:rsid w:val="001E7917"/>
    <w:rsid w:val="001E7ED3"/>
    <w:rsid w:val="001F0157"/>
    <w:rsid w:val="001F07B5"/>
    <w:rsid w:val="001F0AC4"/>
    <w:rsid w:val="001F0D85"/>
    <w:rsid w:val="001F0ED0"/>
    <w:rsid w:val="001F0F6F"/>
    <w:rsid w:val="001F26DA"/>
    <w:rsid w:val="001F398E"/>
    <w:rsid w:val="001F41E3"/>
    <w:rsid w:val="001F4467"/>
    <w:rsid w:val="001F4DC6"/>
    <w:rsid w:val="001F4E16"/>
    <w:rsid w:val="001F57FD"/>
    <w:rsid w:val="001F5B19"/>
    <w:rsid w:val="001F5F33"/>
    <w:rsid w:val="001F5F4D"/>
    <w:rsid w:val="001F67BA"/>
    <w:rsid w:val="001F6B13"/>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F93"/>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7CF1"/>
    <w:rsid w:val="00217D24"/>
    <w:rsid w:val="00217F1A"/>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4EB"/>
    <w:rsid w:val="00231548"/>
    <w:rsid w:val="00231BBE"/>
    <w:rsid w:val="00232411"/>
    <w:rsid w:val="002324CA"/>
    <w:rsid w:val="00232FA8"/>
    <w:rsid w:val="0023338E"/>
    <w:rsid w:val="00233D22"/>
    <w:rsid w:val="00234374"/>
    <w:rsid w:val="002345DB"/>
    <w:rsid w:val="00234BFD"/>
    <w:rsid w:val="00234D38"/>
    <w:rsid w:val="002350CB"/>
    <w:rsid w:val="00235334"/>
    <w:rsid w:val="00235C44"/>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8E0"/>
    <w:rsid w:val="00241936"/>
    <w:rsid w:val="00241EDD"/>
    <w:rsid w:val="00242652"/>
    <w:rsid w:val="002427BC"/>
    <w:rsid w:val="00243343"/>
    <w:rsid w:val="00244620"/>
    <w:rsid w:val="00245058"/>
    <w:rsid w:val="00245212"/>
    <w:rsid w:val="00245410"/>
    <w:rsid w:val="00245727"/>
    <w:rsid w:val="00245871"/>
    <w:rsid w:val="00245AEC"/>
    <w:rsid w:val="00245CA3"/>
    <w:rsid w:val="002471F5"/>
    <w:rsid w:val="00247369"/>
    <w:rsid w:val="00247EC6"/>
    <w:rsid w:val="0025130F"/>
    <w:rsid w:val="00251711"/>
    <w:rsid w:val="002519DB"/>
    <w:rsid w:val="00251AB0"/>
    <w:rsid w:val="00251BB9"/>
    <w:rsid w:val="00251E07"/>
    <w:rsid w:val="00252708"/>
    <w:rsid w:val="00252CE3"/>
    <w:rsid w:val="00252EE6"/>
    <w:rsid w:val="0025305E"/>
    <w:rsid w:val="0025369A"/>
    <w:rsid w:val="002539F8"/>
    <w:rsid w:val="00253B77"/>
    <w:rsid w:val="00254242"/>
    <w:rsid w:val="002544E8"/>
    <w:rsid w:val="00255786"/>
    <w:rsid w:val="0025594D"/>
    <w:rsid w:val="00256FFD"/>
    <w:rsid w:val="00257123"/>
    <w:rsid w:val="00257A4F"/>
    <w:rsid w:val="00260050"/>
    <w:rsid w:val="00260110"/>
    <w:rsid w:val="0026078B"/>
    <w:rsid w:val="002612E2"/>
    <w:rsid w:val="00261488"/>
    <w:rsid w:val="002617A9"/>
    <w:rsid w:val="00261819"/>
    <w:rsid w:val="00261848"/>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6B9"/>
    <w:rsid w:val="00282711"/>
    <w:rsid w:val="00282718"/>
    <w:rsid w:val="00282B91"/>
    <w:rsid w:val="00283054"/>
    <w:rsid w:val="00283416"/>
    <w:rsid w:val="00283427"/>
    <w:rsid w:val="00283480"/>
    <w:rsid w:val="002838BF"/>
    <w:rsid w:val="00283D55"/>
    <w:rsid w:val="00283E81"/>
    <w:rsid w:val="002845E1"/>
    <w:rsid w:val="00284A13"/>
    <w:rsid w:val="00284A4D"/>
    <w:rsid w:val="00284B0D"/>
    <w:rsid w:val="00285272"/>
    <w:rsid w:val="002858E2"/>
    <w:rsid w:val="00285D08"/>
    <w:rsid w:val="00287217"/>
    <w:rsid w:val="002873A5"/>
    <w:rsid w:val="00290126"/>
    <w:rsid w:val="0029014C"/>
    <w:rsid w:val="002909AE"/>
    <w:rsid w:val="00290C99"/>
    <w:rsid w:val="00290F6A"/>
    <w:rsid w:val="00290F71"/>
    <w:rsid w:val="0029120A"/>
    <w:rsid w:val="00291430"/>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E1C"/>
    <w:rsid w:val="002A15BE"/>
    <w:rsid w:val="002A17C5"/>
    <w:rsid w:val="002A17CF"/>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921"/>
    <w:rsid w:val="002B0A98"/>
    <w:rsid w:val="002B0D63"/>
    <w:rsid w:val="002B18C3"/>
    <w:rsid w:val="002B1A00"/>
    <w:rsid w:val="002B1E1D"/>
    <w:rsid w:val="002B1F1A"/>
    <w:rsid w:val="002B269D"/>
    <w:rsid w:val="002B2758"/>
    <w:rsid w:val="002B3B64"/>
    <w:rsid w:val="002B3EC3"/>
    <w:rsid w:val="002B445F"/>
    <w:rsid w:val="002B66EB"/>
    <w:rsid w:val="002B6A4B"/>
    <w:rsid w:val="002B6AF9"/>
    <w:rsid w:val="002B6B46"/>
    <w:rsid w:val="002B7161"/>
    <w:rsid w:val="002B75E0"/>
    <w:rsid w:val="002C008E"/>
    <w:rsid w:val="002C0C7E"/>
    <w:rsid w:val="002C0E9F"/>
    <w:rsid w:val="002C1033"/>
    <w:rsid w:val="002C10EE"/>
    <w:rsid w:val="002C2938"/>
    <w:rsid w:val="002C32A8"/>
    <w:rsid w:val="002C3314"/>
    <w:rsid w:val="002C355F"/>
    <w:rsid w:val="002C3B66"/>
    <w:rsid w:val="002C46EB"/>
    <w:rsid w:val="002C4A84"/>
    <w:rsid w:val="002C4AAC"/>
    <w:rsid w:val="002C4C5D"/>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AC9"/>
    <w:rsid w:val="002F1C5E"/>
    <w:rsid w:val="002F229A"/>
    <w:rsid w:val="002F24D3"/>
    <w:rsid w:val="002F2504"/>
    <w:rsid w:val="002F32DA"/>
    <w:rsid w:val="002F334D"/>
    <w:rsid w:val="002F34E7"/>
    <w:rsid w:val="002F3B1A"/>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580"/>
    <w:rsid w:val="003027A8"/>
    <w:rsid w:val="00302A41"/>
    <w:rsid w:val="00302B9E"/>
    <w:rsid w:val="003030E4"/>
    <w:rsid w:val="00303769"/>
    <w:rsid w:val="00303B2F"/>
    <w:rsid w:val="00303BCE"/>
    <w:rsid w:val="00303C99"/>
    <w:rsid w:val="00303DA0"/>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6D6"/>
    <w:rsid w:val="003128CC"/>
    <w:rsid w:val="003128F6"/>
    <w:rsid w:val="00313E6E"/>
    <w:rsid w:val="00313E9C"/>
    <w:rsid w:val="00313F32"/>
    <w:rsid w:val="00314619"/>
    <w:rsid w:val="00314AE0"/>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7334"/>
    <w:rsid w:val="00327527"/>
    <w:rsid w:val="003279AF"/>
    <w:rsid w:val="00330F0E"/>
    <w:rsid w:val="00331C2E"/>
    <w:rsid w:val="00331D03"/>
    <w:rsid w:val="003327C0"/>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985"/>
    <w:rsid w:val="00340A7C"/>
    <w:rsid w:val="00341175"/>
    <w:rsid w:val="00341201"/>
    <w:rsid w:val="00341680"/>
    <w:rsid w:val="003418A8"/>
    <w:rsid w:val="00341DAC"/>
    <w:rsid w:val="00342499"/>
    <w:rsid w:val="00342532"/>
    <w:rsid w:val="0034275E"/>
    <w:rsid w:val="00342A85"/>
    <w:rsid w:val="00342C0E"/>
    <w:rsid w:val="00342E3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6ABE"/>
    <w:rsid w:val="00346AE1"/>
    <w:rsid w:val="00346DA4"/>
    <w:rsid w:val="003475E9"/>
    <w:rsid w:val="0034791B"/>
    <w:rsid w:val="00347FF3"/>
    <w:rsid w:val="0035007B"/>
    <w:rsid w:val="0035045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7E55"/>
    <w:rsid w:val="00360189"/>
    <w:rsid w:val="00360638"/>
    <w:rsid w:val="003609A6"/>
    <w:rsid w:val="00360BE6"/>
    <w:rsid w:val="00361121"/>
    <w:rsid w:val="00361C99"/>
    <w:rsid w:val="003621A4"/>
    <w:rsid w:val="003628C4"/>
    <w:rsid w:val="00362948"/>
    <w:rsid w:val="0036294D"/>
    <w:rsid w:val="003629C6"/>
    <w:rsid w:val="00362C68"/>
    <w:rsid w:val="003640C5"/>
    <w:rsid w:val="0036423D"/>
    <w:rsid w:val="0036452B"/>
    <w:rsid w:val="003646C3"/>
    <w:rsid w:val="00364B53"/>
    <w:rsid w:val="00364F35"/>
    <w:rsid w:val="00364F6F"/>
    <w:rsid w:val="00364FB8"/>
    <w:rsid w:val="00365057"/>
    <w:rsid w:val="00365E77"/>
    <w:rsid w:val="00366258"/>
    <w:rsid w:val="003663C0"/>
    <w:rsid w:val="00366881"/>
    <w:rsid w:val="003679A7"/>
    <w:rsid w:val="00367CCF"/>
    <w:rsid w:val="00367EF5"/>
    <w:rsid w:val="00370237"/>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3973"/>
    <w:rsid w:val="00373A8D"/>
    <w:rsid w:val="00373ED8"/>
    <w:rsid w:val="003747F9"/>
    <w:rsid w:val="00374D68"/>
    <w:rsid w:val="003752BF"/>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C55"/>
    <w:rsid w:val="00396FE2"/>
    <w:rsid w:val="003970AF"/>
    <w:rsid w:val="003979D0"/>
    <w:rsid w:val="003A02FE"/>
    <w:rsid w:val="003A05DF"/>
    <w:rsid w:val="003A085F"/>
    <w:rsid w:val="003A08A8"/>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14D"/>
    <w:rsid w:val="003A5256"/>
    <w:rsid w:val="003A5586"/>
    <w:rsid w:val="003A5AA7"/>
    <w:rsid w:val="003A5B64"/>
    <w:rsid w:val="003A5CDC"/>
    <w:rsid w:val="003A5F1F"/>
    <w:rsid w:val="003A6159"/>
    <w:rsid w:val="003A6319"/>
    <w:rsid w:val="003A6585"/>
    <w:rsid w:val="003A72AB"/>
    <w:rsid w:val="003A748C"/>
    <w:rsid w:val="003A74BA"/>
    <w:rsid w:val="003A7588"/>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FE4"/>
    <w:rsid w:val="003B6292"/>
    <w:rsid w:val="003B6B46"/>
    <w:rsid w:val="003B6D97"/>
    <w:rsid w:val="003B6E57"/>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54A"/>
    <w:rsid w:val="003C39F1"/>
    <w:rsid w:val="003C3BB3"/>
    <w:rsid w:val="003C502B"/>
    <w:rsid w:val="003C5579"/>
    <w:rsid w:val="003C561A"/>
    <w:rsid w:val="003C58A6"/>
    <w:rsid w:val="003C6035"/>
    <w:rsid w:val="003C6946"/>
    <w:rsid w:val="003C6AA4"/>
    <w:rsid w:val="003C6F21"/>
    <w:rsid w:val="003C7249"/>
    <w:rsid w:val="003C7838"/>
    <w:rsid w:val="003C7D12"/>
    <w:rsid w:val="003C7E13"/>
    <w:rsid w:val="003D1476"/>
    <w:rsid w:val="003D1C63"/>
    <w:rsid w:val="003D1EDC"/>
    <w:rsid w:val="003D2165"/>
    <w:rsid w:val="003D2339"/>
    <w:rsid w:val="003D2580"/>
    <w:rsid w:val="003D2713"/>
    <w:rsid w:val="003D286C"/>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DB5"/>
    <w:rsid w:val="003E2E61"/>
    <w:rsid w:val="003E35F2"/>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33C2"/>
    <w:rsid w:val="003F33E4"/>
    <w:rsid w:val="003F3497"/>
    <w:rsid w:val="003F35EF"/>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BA"/>
    <w:rsid w:val="0041692A"/>
    <w:rsid w:val="00416C4E"/>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71D8"/>
    <w:rsid w:val="004277CB"/>
    <w:rsid w:val="00427C1D"/>
    <w:rsid w:val="00427D9D"/>
    <w:rsid w:val="00427F65"/>
    <w:rsid w:val="00430012"/>
    <w:rsid w:val="0043007B"/>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679"/>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40D9"/>
    <w:rsid w:val="00454DE7"/>
    <w:rsid w:val="0045525C"/>
    <w:rsid w:val="0045537D"/>
    <w:rsid w:val="00455C56"/>
    <w:rsid w:val="00455C74"/>
    <w:rsid w:val="00456AA8"/>
    <w:rsid w:val="00456D7E"/>
    <w:rsid w:val="0045715F"/>
    <w:rsid w:val="004604C0"/>
    <w:rsid w:val="0046063E"/>
    <w:rsid w:val="0046128E"/>
    <w:rsid w:val="004614FA"/>
    <w:rsid w:val="004616CA"/>
    <w:rsid w:val="00461E5A"/>
    <w:rsid w:val="00461FD2"/>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FAB"/>
    <w:rsid w:val="004840AE"/>
    <w:rsid w:val="00484721"/>
    <w:rsid w:val="004849C8"/>
    <w:rsid w:val="004849DD"/>
    <w:rsid w:val="00485011"/>
    <w:rsid w:val="00485012"/>
    <w:rsid w:val="0048514B"/>
    <w:rsid w:val="00485FF2"/>
    <w:rsid w:val="004861DF"/>
    <w:rsid w:val="0048691A"/>
    <w:rsid w:val="00486973"/>
    <w:rsid w:val="00486E4C"/>
    <w:rsid w:val="00486F5D"/>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726B"/>
    <w:rsid w:val="004A782D"/>
    <w:rsid w:val="004A7A5D"/>
    <w:rsid w:val="004B0744"/>
    <w:rsid w:val="004B0D3D"/>
    <w:rsid w:val="004B1007"/>
    <w:rsid w:val="004B11A5"/>
    <w:rsid w:val="004B13B0"/>
    <w:rsid w:val="004B18A3"/>
    <w:rsid w:val="004B23CF"/>
    <w:rsid w:val="004B2601"/>
    <w:rsid w:val="004B2E64"/>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BC1"/>
    <w:rsid w:val="004C1E3C"/>
    <w:rsid w:val="004C1EC3"/>
    <w:rsid w:val="004C1F9B"/>
    <w:rsid w:val="004C24ED"/>
    <w:rsid w:val="004C2EAE"/>
    <w:rsid w:val="004C3B51"/>
    <w:rsid w:val="004C3DDE"/>
    <w:rsid w:val="004C3F28"/>
    <w:rsid w:val="004C5319"/>
    <w:rsid w:val="004C5607"/>
    <w:rsid w:val="004C5E83"/>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81F"/>
    <w:rsid w:val="005158A6"/>
    <w:rsid w:val="005158C8"/>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100A"/>
    <w:rsid w:val="0053140B"/>
    <w:rsid w:val="00531E51"/>
    <w:rsid w:val="00531FA4"/>
    <w:rsid w:val="00532644"/>
    <w:rsid w:val="005328DD"/>
    <w:rsid w:val="005331E4"/>
    <w:rsid w:val="005344D7"/>
    <w:rsid w:val="0053479C"/>
    <w:rsid w:val="00534C5C"/>
    <w:rsid w:val="00534CE0"/>
    <w:rsid w:val="00534EC2"/>
    <w:rsid w:val="005354C8"/>
    <w:rsid w:val="00535722"/>
    <w:rsid w:val="005359F0"/>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5A"/>
    <w:rsid w:val="00542B7C"/>
    <w:rsid w:val="00543040"/>
    <w:rsid w:val="0054335E"/>
    <w:rsid w:val="00543673"/>
    <w:rsid w:val="00543BF3"/>
    <w:rsid w:val="00543D5B"/>
    <w:rsid w:val="00543DC8"/>
    <w:rsid w:val="00544091"/>
    <w:rsid w:val="00544CB1"/>
    <w:rsid w:val="005450C7"/>
    <w:rsid w:val="00545335"/>
    <w:rsid w:val="005455B8"/>
    <w:rsid w:val="00545942"/>
    <w:rsid w:val="0054652E"/>
    <w:rsid w:val="0054652F"/>
    <w:rsid w:val="00546B95"/>
    <w:rsid w:val="00546D45"/>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8EC"/>
    <w:rsid w:val="00557A2E"/>
    <w:rsid w:val="0056005F"/>
    <w:rsid w:val="00560517"/>
    <w:rsid w:val="00560EDE"/>
    <w:rsid w:val="005614FE"/>
    <w:rsid w:val="00561651"/>
    <w:rsid w:val="00561B11"/>
    <w:rsid w:val="00561E1E"/>
    <w:rsid w:val="005636AD"/>
    <w:rsid w:val="005639E3"/>
    <w:rsid w:val="00563D3D"/>
    <w:rsid w:val="00564030"/>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CFD"/>
    <w:rsid w:val="005863E1"/>
    <w:rsid w:val="005864D4"/>
    <w:rsid w:val="00587C42"/>
    <w:rsid w:val="00587CDC"/>
    <w:rsid w:val="005904D8"/>
    <w:rsid w:val="00590695"/>
    <w:rsid w:val="00590AB4"/>
    <w:rsid w:val="00590F82"/>
    <w:rsid w:val="00591D5D"/>
    <w:rsid w:val="005921BF"/>
    <w:rsid w:val="00592EC7"/>
    <w:rsid w:val="0059314A"/>
    <w:rsid w:val="00593150"/>
    <w:rsid w:val="00593682"/>
    <w:rsid w:val="005937A0"/>
    <w:rsid w:val="00593B08"/>
    <w:rsid w:val="00593D1A"/>
    <w:rsid w:val="00593F0B"/>
    <w:rsid w:val="005945D1"/>
    <w:rsid w:val="0059498A"/>
    <w:rsid w:val="00595256"/>
    <w:rsid w:val="005956B1"/>
    <w:rsid w:val="00595A33"/>
    <w:rsid w:val="00595C60"/>
    <w:rsid w:val="00595CA9"/>
    <w:rsid w:val="005960FF"/>
    <w:rsid w:val="0059642B"/>
    <w:rsid w:val="0059671C"/>
    <w:rsid w:val="0059730E"/>
    <w:rsid w:val="00597DB5"/>
    <w:rsid w:val="005A05C7"/>
    <w:rsid w:val="005A0BB7"/>
    <w:rsid w:val="005A12FB"/>
    <w:rsid w:val="005A1D7B"/>
    <w:rsid w:val="005A1F25"/>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6134"/>
    <w:rsid w:val="005A615B"/>
    <w:rsid w:val="005A76ED"/>
    <w:rsid w:val="005B0062"/>
    <w:rsid w:val="005B0A3E"/>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B20"/>
    <w:rsid w:val="005C0063"/>
    <w:rsid w:val="005C042E"/>
    <w:rsid w:val="005C046E"/>
    <w:rsid w:val="005C0A74"/>
    <w:rsid w:val="005C0B19"/>
    <w:rsid w:val="005C1FE9"/>
    <w:rsid w:val="005C215F"/>
    <w:rsid w:val="005C23DD"/>
    <w:rsid w:val="005C2B29"/>
    <w:rsid w:val="005C2F73"/>
    <w:rsid w:val="005C3246"/>
    <w:rsid w:val="005C3A4B"/>
    <w:rsid w:val="005C4977"/>
    <w:rsid w:val="005C5077"/>
    <w:rsid w:val="005C5373"/>
    <w:rsid w:val="005C53D4"/>
    <w:rsid w:val="005C54B5"/>
    <w:rsid w:val="005C5B74"/>
    <w:rsid w:val="005C68ED"/>
    <w:rsid w:val="005C70D9"/>
    <w:rsid w:val="005C70F1"/>
    <w:rsid w:val="005C7262"/>
    <w:rsid w:val="005C7714"/>
    <w:rsid w:val="005C779D"/>
    <w:rsid w:val="005D034B"/>
    <w:rsid w:val="005D0750"/>
    <w:rsid w:val="005D1455"/>
    <w:rsid w:val="005D1883"/>
    <w:rsid w:val="005D1DF7"/>
    <w:rsid w:val="005D1E54"/>
    <w:rsid w:val="005D23FE"/>
    <w:rsid w:val="005D242C"/>
    <w:rsid w:val="005D2443"/>
    <w:rsid w:val="005D27E1"/>
    <w:rsid w:val="005D29E8"/>
    <w:rsid w:val="005D2CB8"/>
    <w:rsid w:val="005D2D49"/>
    <w:rsid w:val="005D33F4"/>
    <w:rsid w:val="005D4342"/>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15BA"/>
    <w:rsid w:val="005E1C7E"/>
    <w:rsid w:val="005E21CA"/>
    <w:rsid w:val="005E29E7"/>
    <w:rsid w:val="005E2A4C"/>
    <w:rsid w:val="005E2A9E"/>
    <w:rsid w:val="005E3045"/>
    <w:rsid w:val="005E3106"/>
    <w:rsid w:val="005E3458"/>
    <w:rsid w:val="005E3DEF"/>
    <w:rsid w:val="005E4074"/>
    <w:rsid w:val="005E564A"/>
    <w:rsid w:val="005E5B77"/>
    <w:rsid w:val="005E6E6F"/>
    <w:rsid w:val="005E7032"/>
    <w:rsid w:val="005F000F"/>
    <w:rsid w:val="005F06CB"/>
    <w:rsid w:val="005F077E"/>
    <w:rsid w:val="005F08D7"/>
    <w:rsid w:val="005F0923"/>
    <w:rsid w:val="005F0B98"/>
    <w:rsid w:val="005F1064"/>
    <w:rsid w:val="005F11B2"/>
    <w:rsid w:val="005F149C"/>
    <w:rsid w:val="005F1A5B"/>
    <w:rsid w:val="005F1A6F"/>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347"/>
    <w:rsid w:val="005F6437"/>
    <w:rsid w:val="005F68C6"/>
    <w:rsid w:val="005F7556"/>
    <w:rsid w:val="005F7642"/>
    <w:rsid w:val="005F786E"/>
    <w:rsid w:val="005F7885"/>
    <w:rsid w:val="005F7932"/>
    <w:rsid w:val="005F7B4D"/>
    <w:rsid w:val="00600A5C"/>
    <w:rsid w:val="00601F98"/>
    <w:rsid w:val="00602761"/>
    <w:rsid w:val="00602822"/>
    <w:rsid w:val="00603144"/>
    <w:rsid w:val="006031F3"/>
    <w:rsid w:val="00603CA6"/>
    <w:rsid w:val="00603D43"/>
    <w:rsid w:val="006041AA"/>
    <w:rsid w:val="00604361"/>
    <w:rsid w:val="0060483B"/>
    <w:rsid w:val="0060545C"/>
    <w:rsid w:val="00605820"/>
    <w:rsid w:val="006066BE"/>
    <w:rsid w:val="006075BE"/>
    <w:rsid w:val="00607676"/>
    <w:rsid w:val="00607C63"/>
    <w:rsid w:val="00607F45"/>
    <w:rsid w:val="0061035E"/>
    <w:rsid w:val="0061065F"/>
    <w:rsid w:val="006107C7"/>
    <w:rsid w:val="00610932"/>
    <w:rsid w:val="00611323"/>
    <w:rsid w:val="00611470"/>
    <w:rsid w:val="0061225B"/>
    <w:rsid w:val="006126FA"/>
    <w:rsid w:val="00612833"/>
    <w:rsid w:val="00612887"/>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41C3"/>
    <w:rsid w:val="00624355"/>
    <w:rsid w:val="00624C9D"/>
    <w:rsid w:val="00624E88"/>
    <w:rsid w:val="00624EE6"/>
    <w:rsid w:val="00624F8A"/>
    <w:rsid w:val="006259A4"/>
    <w:rsid w:val="00625B97"/>
    <w:rsid w:val="00625BD4"/>
    <w:rsid w:val="00625BFD"/>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41E"/>
    <w:rsid w:val="0063366D"/>
    <w:rsid w:val="006337CE"/>
    <w:rsid w:val="00633B7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26C9"/>
    <w:rsid w:val="00642EA4"/>
    <w:rsid w:val="0064301F"/>
    <w:rsid w:val="00643891"/>
    <w:rsid w:val="00643E25"/>
    <w:rsid w:val="00644929"/>
    <w:rsid w:val="00645026"/>
    <w:rsid w:val="00645197"/>
    <w:rsid w:val="00645E37"/>
    <w:rsid w:val="00646026"/>
    <w:rsid w:val="006460DB"/>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715"/>
    <w:rsid w:val="00686AC1"/>
    <w:rsid w:val="006877AB"/>
    <w:rsid w:val="00687AE0"/>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906"/>
    <w:rsid w:val="006970B9"/>
    <w:rsid w:val="00697646"/>
    <w:rsid w:val="00697B40"/>
    <w:rsid w:val="006A0879"/>
    <w:rsid w:val="006A0F57"/>
    <w:rsid w:val="006A10FD"/>
    <w:rsid w:val="006A1297"/>
    <w:rsid w:val="006A1346"/>
    <w:rsid w:val="006A150C"/>
    <w:rsid w:val="006A16F3"/>
    <w:rsid w:val="006A171C"/>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25E3"/>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12D"/>
    <w:rsid w:val="006C41EA"/>
    <w:rsid w:val="006C4587"/>
    <w:rsid w:val="006C4774"/>
    <w:rsid w:val="006C4806"/>
    <w:rsid w:val="006C4BF8"/>
    <w:rsid w:val="006C59EE"/>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41D5"/>
    <w:rsid w:val="006E43DE"/>
    <w:rsid w:val="006E45C6"/>
    <w:rsid w:val="006E461B"/>
    <w:rsid w:val="006E4724"/>
    <w:rsid w:val="006E47D7"/>
    <w:rsid w:val="006E4E61"/>
    <w:rsid w:val="006E5415"/>
    <w:rsid w:val="006E5721"/>
    <w:rsid w:val="006E5944"/>
    <w:rsid w:val="006E5FDA"/>
    <w:rsid w:val="006E626B"/>
    <w:rsid w:val="006E642A"/>
    <w:rsid w:val="006E65F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A88"/>
    <w:rsid w:val="00707A98"/>
    <w:rsid w:val="00707CC9"/>
    <w:rsid w:val="00707DC6"/>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231"/>
    <w:rsid w:val="007132E7"/>
    <w:rsid w:val="007139D5"/>
    <w:rsid w:val="00713B6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6A0"/>
    <w:rsid w:val="00722C90"/>
    <w:rsid w:val="00722D50"/>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2006"/>
    <w:rsid w:val="0073201B"/>
    <w:rsid w:val="0073230D"/>
    <w:rsid w:val="007324F6"/>
    <w:rsid w:val="00734322"/>
    <w:rsid w:val="00734332"/>
    <w:rsid w:val="0073452D"/>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4025D"/>
    <w:rsid w:val="007407E3"/>
    <w:rsid w:val="00740AF8"/>
    <w:rsid w:val="007410A8"/>
    <w:rsid w:val="00741808"/>
    <w:rsid w:val="00741D1A"/>
    <w:rsid w:val="00741D5F"/>
    <w:rsid w:val="00742475"/>
    <w:rsid w:val="007425DA"/>
    <w:rsid w:val="007428C7"/>
    <w:rsid w:val="00742F20"/>
    <w:rsid w:val="00743468"/>
    <w:rsid w:val="00743BA1"/>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65F"/>
    <w:rsid w:val="00751AA6"/>
    <w:rsid w:val="00751DE9"/>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709"/>
    <w:rsid w:val="00764F2E"/>
    <w:rsid w:val="00765717"/>
    <w:rsid w:val="00765A95"/>
    <w:rsid w:val="00765D06"/>
    <w:rsid w:val="007671BB"/>
    <w:rsid w:val="00770611"/>
    <w:rsid w:val="00770933"/>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35C"/>
    <w:rsid w:val="0078679E"/>
    <w:rsid w:val="007873DE"/>
    <w:rsid w:val="00787765"/>
    <w:rsid w:val="00787D25"/>
    <w:rsid w:val="00790181"/>
    <w:rsid w:val="007901DC"/>
    <w:rsid w:val="00790800"/>
    <w:rsid w:val="0079093B"/>
    <w:rsid w:val="00790990"/>
    <w:rsid w:val="00790B36"/>
    <w:rsid w:val="00791FB3"/>
    <w:rsid w:val="007936A5"/>
    <w:rsid w:val="00793DD4"/>
    <w:rsid w:val="007940B9"/>
    <w:rsid w:val="007948C8"/>
    <w:rsid w:val="0079493B"/>
    <w:rsid w:val="007949EB"/>
    <w:rsid w:val="00794A0D"/>
    <w:rsid w:val="00795053"/>
    <w:rsid w:val="0079581D"/>
    <w:rsid w:val="00795B67"/>
    <w:rsid w:val="00795F6B"/>
    <w:rsid w:val="007960EA"/>
    <w:rsid w:val="007964DE"/>
    <w:rsid w:val="007973B8"/>
    <w:rsid w:val="007974D1"/>
    <w:rsid w:val="00797834"/>
    <w:rsid w:val="007A035A"/>
    <w:rsid w:val="007A1F39"/>
    <w:rsid w:val="007A2592"/>
    <w:rsid w:val="007A277C"/>
    <w:rsid w:val="007A2C86"/>
    <w:rsid w:val="007A2E96"/>
    <w:rsid w:val="007A32A8"/>
    <w:rsid w:val="007A3D6F"/>
    <w:rsid w:val="007A3E04"/>
    <w:rsid w:val="007A3EA7"/>
    <w:rsid w:val="007A3EF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8C3"/>
    <w:rsid w:val="007C42ED"/>
    <w:rsid w:val="007C45D1"/>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443"/>
    <w:rsid w:val="007D077A"/>
    <w:rsid w:val="007D0B0E"/>
    <w:rsid w:val="007D0DA7"/>
    <w:rsid w:val="007D0EEA"/>
    <w:rsid w:val="007D140A"/>
    <w:rsid w:val="007D145E"/>
    <w:rsid w:val="007D1913"/>
    <w:rsid w:val="007D19E7"/>
    <w:rsid w:val="007D1D0C"/>
    <w:rsid w:val="007D1E67"/>
    <w:rsid w:val="007D1F46"/>
    <w:rsid w:val="007D2775"/>
    <w:rsid w:val="007D2CEF"/>
    <w:rsid w:val="007D2E2D"/>
    <w:rsid w:val="007D3C13"/>
    <w:rsid w:val="007D3DAD"/>
    <w:rsid w:val="007D42F0"/>
    <w:rsid w:val="007D4A97"/>
    <w:rsid w:val="007D4A9D"/>
    <w:rsid w:val="007D4F1F"/>
    <w:rsid w:val="007D5A19"/>
    <w:rsid w:val="007D5C25"/>
    <w:rsid w:val="007D5FB3"/>
    <w:rsid w:val="007D6105"/>
    <w:rsid w:val="007D62FE"/>
    <w:rsid w:val="007D6373"/>
    <w:rsid w:val="007D73D9"/>
    <w:rsid w:val="007D7BE7"/>
    <w:rsid w:val="007D7F7E"/>
    <w:rsid w:val="007E068D"/>
    <w:rsid w:val="007E08FD"/>
    <w:rsid w:val="007E19D2"/>
    <w:rsid w:val="007E1EE5"/>
    <w:rsid w:val="007E22AD"/>
    <w:rsid w:val="007E27F3"/>
    <w:rsid w:val="007E2CDF"/>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C16"/>
    <w:rsid w:val="007F202E"/>
    <w:rsid w:val="007F21EF"/>
    <w:rsid w:val="007F2218"/>
    <w:rsid w:val="007F2A07"/>
    <w:rsid w:val="007F2BC8"/>
    <w:rsid w:val="007F33DE"/>
    <w:rsid w:val="007F34A0"/>
    <w:rsid w:val="007F3809"/>
    <w:rsid w:val="007F3B21"/>
    <w:rsid w:val="007F3EBD"/>
    <w:rsid w:val="007F3F51"/>
    <w:rsid w:val="007F46E2"/>
    <w:rsid w:val="007F4BA2"/>
    <w:rsid w:val="007F4DBD"/>
    <w:rsid w:val="007F549C"/>
    <w:rsid w:val="007F5B90"/>
    <w:rsid w:val="007F65FA"/>
    <w:rsid w:val="007F6F07"/>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7D6"/>
    <w:rsid w:val="0082413D"/>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F"/>
    <w:rsid w:val="008456FE"/>
    <w:rsid w:val="00845B28"/>
    <w:rsid w:val="00845CB1"/>
    <w:rsid w:val="0084610F"/>
    <w:rsid w:val="00846173"/>
    <w:rsid w:val="008463DA"/>
    <w:rsid w:val="00846564"/>
    <w:rsid w:val="00846754"/>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239"/>
    <w:rsid w:val="00877A86"/>
    <w:rsid w:val="00877E51"/>
    <w:rsid w:val="008801F5"/>
    <w:rsid w:val="00880877"/>
    <w:rsid w:val="00880BD6"/>
    <w:rsid w:val="008815BB"/>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B75"/>
    <w:rsid w:val="00887D9A"/>
    <w:rsid w:val="00890BC2"/>
    <w:rsid w:val="00890E1C"/>
    <w:rsid w:val="00891692"/>
    <w:rsid w:val="008917A8"/>
    <w:rsid w:val="00892003"/>
    <w:rsid w:val="00892490"/>
    <w:rsid w:val="00892643"/>
    <w:rsid w:val="008926A5"/>
    <w:rsid w:val="008928EF"/>
    <w:rsid w:val="00892A17"/>
    <w:rsid w:val="00892A7E"/>
    <w:rsid w:val="00892D2D"/>
    <w:rsid w:val="00892E6B"/>
    <w:rsid w:val="008933C5"/>
    <w:rsid w:val="00893CCE"/>
    <w:rsid w:val="00893F8B"/>
    <w:rsid w:val="008943DD"/>
    <w:rsid w:val="008947B8"/>
    <w:rsid w:val="00894822"/>
    <w:rsid w:val="00894852"/>
    <w:rsid w:val="00894D74"/>
    <w:rsid w:val="00895569"/>
    <w:rsid w:val="00895AC3"/>
    <w:rsid w:val="008968EE"/>
    <w:rsid w:val="00896CC4"/>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428"/>
    <w:rsid w:val="008A5B42"/>
    <w:rsid w:val="008A5C1E"/>
    <w:rsid w:val="008A61D1"/>
    <w:rsid w:val="008A6CD7"/>
    <w:rsid w:val="008A6D4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4118"/>
    <w:rsid w:val="008B4394"/>
    <w:rsid w:val="008B4682"/>
    <w:rsid w:val="008B4B6D"/>
    <w:rsid w:val="008B4D86"/>
    <w:rsid w:val="008B4E46"/>
    <w:rsid w:val="008B535E"/>
    <w:rsid w:val="008B53FB"/>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520"/>
    <w:rsid w:val="008C2671"/>
    <w:rsid w:val="008C2710"/>
    <w:rsid w:val="008C2EF2"/>
    <w:rsid w:val="008C3434"/>
    <w:rsid w:val="008C35EF"/>
    <w:rsid w:val="008C3635"/>
    <w:rsid w:val="008C377F"/>
    <w:rsid w:val="008C382C"/>
    <w:rsid w:val="008C3E27"/>
    <w:rsid w:val="008C400F"/>
    <w:rsid w:val="008C40D1"/>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FD2"/>
    <w:rsid w:val="008E75A1"/>
    <w:rsid w:val="008E780A"/>
    <w:rsid w:val="008E7841"/>
    <w:rsid w:val="008E7995"/>
    <w:rsid w:val="008F02A2"/>
    <w:rsid w:val="008F08F6"/>
    <w:rsid w:val="008F0AA2"/>
    <w:rsid w:val="008F0EDA"/>
    <w:rsid w:val="008F13D5"/>
    <w:rsid w:val="008F167C"/>
    <w:rsid w:val="008F2854"/>
    <w:rsid w:val="008F2A18"/>
    <w:rsid w:val="008F2B49"/>
    <w:rsid w:val="008F2D7D"/>
    <w:rsid w:val="008F3580"/>
    <w:rsid w:val="008F3954"/>
    <w:rsid w:val="008F490A"/>
    <w:rsid w:val="008F565F"/>
    <w:rsid w:val="008F5868"/>
    <w:rsid w:val="008F5B92"/>
    <w:rsid w:val="008F5EBE"/>
    <w:rsid w:val="008F6781"/>
    <w:rsid w:val="008F6CE0"/>
    <w:rsid w:val="008F707E"/>
    <w:rsid w:val="008F74D6"/>
    <w:rsid w:val="008F7D81"/>
    <w:rsid w:val="008F7E0B"/>
    <w:rsid w:val="008F7FC1"/>
    <w:rsid w:val="00900354"/>
    <w:rsid w:val="00900A16"/>
    <w:rsid w:val="00900F4E"/>
    <w:rsid w:val="00901BE7"/>
    <w:rsid w:val="00902086"/>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553"/>
    <w:rsid w:val="00910B8D"/>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A3E"/>
    <w:rsid w:val="00951F8F"/>
    <w:rsid w:val="009521CA"/>
    <w:rsid w:val="009526EC"/>
    <w:rsid w:val="00952734"/>
    <w:rsid w:val="0095279F"/>
    <w:rsid w:val="00952A57"/>
    <w:rsid w:val="00953393"/>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47FE"/>
    <w:rsid w:val="0096480F"/>
    <w:rsid w:val="0096489A"/>
    <w:rsid w:val="00964C32"/>
    <w:rsid w:val="009651C1"/>
    <w:rsid w:val="009655C7"/>
    <w:rsid w:val="009659AC"/>
    <w:rsid w:val="00965CE9"/>
    <w:rsid w:val="00966741"/>
    <w:rsid w:val="00966AD3"/>
    <w:rsid w:val="0096706D"/>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89F"/>
    <w:rsid w:val="00985BA2"/>
    <w:rsid w:val="00985BE8"/>
    <w:rsid w:val="009863B0"/>
    <w:rsid w:val="009865CD"/>
    <w:rsid w:val="00987106"/>
    <w:rsid w:val="00987A60"/>
    <w:rsid w:val="00987C15"/>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5D6C"/>
    <w:rsid w:val="00996B96"/>
    <w:rsid w:val="00997156"/>
    <w:rsid w:val="009971CB"/>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547"/>
    <w:rsid w:val="009A2709"/>
    <w:rsid w:val="009A276D"/>
    <w:rsid w:val="009A2A48"/>
    <w:rsid w:val="009A3512"/>
    <w:rsid w:val="009A37B7"/>
    <w:rsid w:val="009A3A89"/>
    <w:rsid w:val="009A3F3B"/>
    <w:rsid w:val="009A4BAF"/>
    <w:rsid w:val="009A4F56"/>
    <w:rsid w:val="009A542C"/>
    <w:rsid w:val="009A54B7"/>
    <w:rsid w:val="009A57FF"/>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E8F"/>
    <w:rsid w:val="009B3525"/>
    <w:rsid w:val="009B3A9D"/>
    <w:rsid w:val="009B3FE4"/>
    <w:rsid w:val="009B4233"/>
    <w:rsid w:val="009B44F3"/>
    <w:rsid w:val="009B5668"/>
    <w:rsid w:val="009B57D6"/>
    <w:rsid w:val="009B5B0F"/>
    <w:rsid w:val="009B62E3"/>
    <w:rsid w:val="009B6791"/>
    <w:rsid w:val="009B720E"/>
    <w:rsid w:val="009B7F49"/>
    <w:rsid w:val="009C0C31"/>
    <w:rsid w:val="009C107B"/>
    <w:rsid w:val="009C1331"/>
    <w:rsid w:val="009C144C"/>
    <w:rsid w:val="009C2160"/>
    <w:rsid w:val="009C25AF"/>
    <w:rsid w:val="009C275C"/>
    <w:rsid w:val="009C288C"/>
    <w:rsid w:val="009C2F6F"/>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D43"/>
    <w:rsid w:val="009D5FF1"/>
    <w:rsid w:val="009D6598"/>
    <w:rsid w:val="009D665F"/>
    <w:rsid w:val="009D6A1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E"/>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A8"/>
    <w:rsid w:val="009F5ED8"/>
    <w:rsid w:val="009F65FB"/>
    <w:rsid w:val="009F687C"/>
    <w:rsid w:val="009F6902"/>
    <w:rsid w:val="009F6C0D"/>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A7D"/>
    <w:rsid w:val="00A04AEA"/>
    <w:rsid w:val="00A04E81"/>
    <w:rsid w:val="00A0509F"/>
    <w:rsid w:val="00A0594B"/>
    <w:rsid w:val="00A06079"/>
    <w:rsid w:val="00A07324"/>
    <w:rsid w:val="00A07651"/>
    <w:rsid w:val="00A07754"/>
    <w:rsid w:val="00A10683"/>
    <w:rsid w:val="00A1070A"/>
    <w:rsid w:val="00A108FA"/>
    <w:rsid w:val="00A10B10"/>
    <w:rsid w:val="00A1136E"/>
    <w:rsid w:val="00A11890"/>
    <w:rsid w:val="00A11991"/>
    <w:rsid w:val="00A11C32"/>
    <w:rsid w:val="00A12348"/>
    <w:rsid w:val="00A12E5C"/>
    <w:rsid w:val="00A134D2"/>
    <w:rsid w:val="00A134E6"/>
    <w:rsid w:val="00A1389B"/>
    <w:rsid w:val="00A1396F"/>
    <w:rsid w:val="00A14024"/>
    <w:rsid w:val="00A1436D"/>
    <w:rsid w:val="00A1463A"/>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A49"/>
    <w:rsid w:val="00A36F8B"/>
    <w:rsid w:val="00A37079"/>
    <w:rsid w:val="00A37305"/>
    <w:rsid w:val="00A373D9"/>
    <w:rsid w:val="00A37535"/>
    <w:rsid w:val="00A37612"/>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3391"/>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24E0"/>
    <w:rsid w:val="00A52BB2"/>
    <w:rsid w:val="00A52BCF"/>
    <w:rsid w:val="00A52BDF"/>
    <w:rsid w:val="00A53010"/>
    <w:rsid w:val="00A53775"/>
    <w:rsid w:val="00A53918"/>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5C9"/>
    <w:rsid w:val="00A64F25"/>
    <w:rsid w:val="00A6599E"/>
    <w:rsid w:val="00A66649"/>
    <w:rsid w:val="00A66BB4"/>
    <w:rsid w:val="00A66FA9"/>
    <w:rsid w:val="00A672DB"/>
    <w:rsid w:val="00A67785"/>
    <w:rsid w:val="00A677C0"/>
    <w:rsid w:val="00A70069"/>
    <w:rsid w:val="00A704E1"/>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ECA"/>
    <w:rsid w:val="00A85287"/>
    <w:rsid w:val="00A856D4"/>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111F"/>
    <w:rsid w:val="00AA2017"/>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233"/>
    <w:rsid w:val="00AB046D"/>
    <w:rsid w:val="00AB0F9B"/>
    <w:rsid w:val="00AB110D"/>
    <w:rsid w:val="00AB15A8"/>
    <w:rsid w:val="00AB2220"/>
    <w:rsid w:val="00AB27E5"/>
    <w:rsid w:val="00AB31F2"/>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42C2"/>
    <w:rsid w:val="00AE4D09"/>
    <w:rsid w:val="00AE55D4"/>
    <w:rsid w:val="00AE5CB7"/>
    <w:rsid w:val="00AE5D12"/>
    <w:rsid w:val="00AE5D5D"/>
    <w:rsid w:val="00AE680C"/>
    <w:rsid w:val="00AE68DB"/>
    <w:rsid w:val="00AE6A1C"/>
    <w:rsid w:val="00AE7EFF"/>
    <w:rsid w:val="00AF0FA6"/>
    <w:rsid w:val="00AF1280"/>
    <w:rsid w:val="00AF1D3E"/>
    <w:rsid w:val="00AF203C"/>
    <w:rsid w:val="00AF2359"/>
    <w:rsid w:val="00AF2735"/>
    <w:rsid w:val="00AF33C4"/>
    <w:rsid w:val="00AF346F"/>
    <w:rsid w:val="00AF3509"/>
    <w:rsid w:val="00AF3A01"/>
    <w:rsid w:val="00AF3D2E"/>
    <w:rsid w:val="00AF44E8"/>
    <w:rsid w:val="00AF4CC7"/>
    <w:rsid w:val="00AF5533"/>
    <w:rsid w:val="00AF5761"/>
    <w:rsid w:val="00AF58F0"/>
    <w:rsid w:val="00AF592F"/>
    <w:rsid w:val="00AF5A6A"/>
    <w:rsid w:val="00AF6FDC"/>
    <w:rsid w:val="00AF73AB"/>
    <w:rsid w:val="00B004E8"/>
    <w:rsid w:val="00B00F9E"/>
    <w:rsid w:val="00B0125C"/>
    <w:rsid w:val="00B01475"/>
    <w:rsid w:val="00B01498"/>
    <w:rsid w:val="00B015F5"/>
    <w:rsid w:val="00B0223A"/>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2123"/>
    <w:rsid w:val="00B12D3E"/>
    <w:rsid w:val="00B133F0"/>
    <w:rsid w:val="00B136FE"/>
    <w:rsid w:val="00B13CB9"/>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A36"/>
    <w:rsid w:val="00B17AFE"/>
    <w:rsid w:val="00B20066"/>
    <w:rsid w:val="00B203CC"/>
    <w:rsid w:val="00B203F8"/>
    <w:rsid w:val="00B20454"/>
    <w:rsid w:val="00B20DB5"/>
    <w:rsid w:val="00B20FA0"/>
    <w:rsid w:val="00B21547"/>
    <w:rsid w:val="00B21B4B"/>
    <w:rsid w:val="00B21F6D"/>
    <w:rsid w:val="00B2210A"/>
    <w:rsid w:val="00B2218C"/>
    <w:rsid w:val="00B22ADC"/>
    <w:rsid w:val="00B22E74"/>
    <w:rsid w:val="00B230CB"/>
    <w:rsid w:val="00B2344B"/>
    <w:rsid w:val="00B2367B"/>
    <w:rsid w:val="00B23A49"/>
    <w:rsid w:val="00B23B77"/>
    <w:rsid w:val="00B242FE"/>
    <w:rsid w:val="00B25700"/>
    <w:rsid w:val="00B25AE5"/>
    <w:rsid w:val="00B25F91"/>
    <w:rsid w:val="00B262E7"/>
    <w:rsid w:val="00B2631E"/>
    <w:rsid w:val="00B26343"/>
    <w:rsid w:val="00B267CA"/>
    <w:rsid w:val="00B269CE"/>
    <w:rsid w:val="00B270B4"/>
    <w:rsid w:val="00B278D0"/>
    <w:rsid w:val="00B27BA3"/>
    <w:rsid w:val="00B27C60"/>
    <w:rsid w:val="00B27E7B"/>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20FE"/>
    <w:rsid w:val="00B42A08"/>
    <w:rsid w:val="00B43159"/>
    <w:rsid w:val="00B43E00"/>
    <w:rsid w:val="00B45890"/>
    <w:rsid w:val="00B45A4E"/>
    <w:rsid w:val="00B45ECB"/>
    <w:rsid w:val="00B46119"/>
    <w:rsid w:val="00B462AC"/>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D72"/>
    <w:rsid w:val="00B53DB1"/>
    <w:rsid w:val="00B53DF4"/>
    <w:rsid w:val="00B53ED2"/>
    <w:rsid w:val="00B54561"/>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706D"/>
    <w:rsid w:val="00B87074"/>
    <w:rsid w:val="00B876D4"/>
    <w:rsid w:val="00B87ADF"/>
    <w:rsid w:val="00B87E02"/>
    <w:rsid w:val="00B902A3"/>
    <w:rsid w:val="00B90578"/>
    <w:rsid w:val="00B90BAD"/>
    <w:rsid w:val="00B91A84"/>
    <w:rsid w:val="00B91F4E"/>
    <w:rsid w:val="00B922DD"/>
    <w:rsid w:val="00B9257C"/>
    <w:rsid w:val="00B92851"/>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83F"/>
    <w:rsid w:val="00BA4A9F"/>
    <w:rsid w:val="00BA4DE3"/>
    <w:rsid w:val="00BA4EA0"/>
    <w:rsid w:val="00BA52E4"/>
    <w:rsid w:val="00BA576E"/>
    <w:rsid w:val="00BA5AF2"/>
    <w:rsid w:val="00BA63C8"/>
    <w:rsid w:val="00BA6B41"/>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CCA"/>
    <w:rsid w:val="00BC0477"/>
    <w:rsid w:val="00BC089E"/>
    <w:rsid w:val="00BC096A"/>
    <w:rsid w:val="00BC0BDE"/>
    <w:rsid w:val="00BC100C"/>
    <w:rsid w:val="00BC1109"/>
    <w:rsid w:val="00BC1125"/>
    <w:rsid w:val="00BC1315"/>
    <w:rsid w:val="00BC1A1A"/>
    <w:rsid w:val="00BC1A87"/>
    <w:rsid w:val="00BC2802"/>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8"/>
    <w:rsid w:val="00BD3C4C"/>
    <w:rsid w:val="00BD3F78"/>
    <w:rsid w:val="00BD41FE"/>
    <w:rsid w:val="00BD464E"/>
    <w:rsid w:val="00BD4C8F"/>
    <w:rsid w:val="00BD4F16"/>
    <w:rsid w:val="00BD50FB"/>
    <w:rsid w:val="00BD5520"/>
    <w:rsid w:val="00BD575C"/>
    <w:rsid w:val="00BD6479"/>
    <w:rsid w:val="00BD6957"/>
    <w:rsid w:val="00BD6B56"/>
    <w:rsid w:val="00BD6EE8"/>
    <w:rsid w:val="00BD776A"/>
    <w:rsid w:val="00BE020A"/>
    <w:rsid w:val="00BE0415"/>
    <w:rsid w:val="00BE0B25"/>
    <w:rsid w:val="00BE11AC"/>
    <w:rsid w:val="00BE1E1C"/>
    <w:rsid w:val="00BE216D"/>
    <w:rsid w:val="00BE22ED"/>
    <w:rsid w:val="00BE25A7"/>
    <w:rsid w:val="00BE29F0"/>
    <w:rsid w:val="00BE330A"/>
    <w:rsid w:val="00BE3373"/>
    <w:rsid w:val="00BE37C7"/>
    <w:rsid w:val="00BE3EB7"/>
    <w:rsid w:val="00BE46D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3ED4"/>
    <w:rsid w:val="00BF49BD"/>
    <w:rsid w:val="00BF618D"/>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43"/>
    <w:rsid w:val="00C21949"/>
    <w:rsid w:val="00C21B85"/>
    <w:rsid w:val="00C21C29"/>
    <w:rsid w:val="00C22327"/>
    <w:rsid w:val="00C22AED"/>
    <w:rsid w:val="00C232FD"/>
    <w:rsid w:val="00C23313"/>
    <w:rsid w:val="00C23AD0"/>
    <w:rsid w:val="00C23CB4"/>
    <w:rsid w:val="00C23FEC"/>
    <w:rsid w:val="00C2435E"/>
    <w:rsid w:val="00C24714"/>
    <w:rsid w:val="00C24AB0"/>
    <w:rsid w:val="00C24BF9"/>
    <w:rsid w:val="00C24EDD"/>
    <w:rsid w:val="00C24F01"/>
    <w:rsid w:val="00C25BD9"/>
    <w:rsid w:val="00C263B0"/>
    <w:rsid w:val="00C268F2"/>
    <w:rsid w:val="00C26D51"/>
    <w:rsid w:val="00C27305"/>
    <w:rsid w:val="00C27CC0"/>
    <w:rsid w:val="00C30C82"/>
    <w:rsid w:val="00C30CCB"/>
    <w:rsid w:val="00C316BF"/>
    <w:rsid w:val="00C31E2F"/>
    <w:rsid w:val="00C3206E"/>
    <w:rsid w:val="00C32A34"/>
    <w:rsid w:val="00C32A3F"/>
    <w:rsid w:val="00C3350C"/>
    <w:rsid w:val="00C33A1A"/>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792F"/>
    <w:rsid w:val="00C37E1B"/>
    <w:rsid w:val="00C37E32"/>
    <w:rsid w:val="00C40425"/>
    <w:rsid w:val="00C40743"/>
    <w:rsid w:val="00C411C4"/>
    <w:rsid w:val="00C41991"/>
    <w:rsid w:val="00C41BB4"/>
    <w:rsid w:val="00C41DC0"/>
    <w:rsid w:val="00C4239D"/>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6E1"/>
    <w:rsid w:val="00C51A10"/>
    <w:rsid w:val="00C51B61"/>
    <w:rsid w:val="00C51C08"/>
    <w:rsid w:val="00C51E69"/>
    <w:rsid w:val="00C5207F"/>
    <w:rsid w:val="00C522FA"/>
    <w:rsid w:val="00C524F9"/>
    <w:rsid w:val="00C525B7"/>
    <w:rsid w:val="00C52B63"/>
    <w:rsid w:val="00C52E8D"/>
    <w:rsid w:val="00C53C7F"/>
    <w:rsid w:val="00C53D6E"/>
    <w:rsid w:val="00C53E51"/>
    <w:rsid w:val="00C53E60"/>
    <w:rsid w:val="00C54081"/>
    <w:rsid w:val="00C54904"/>
    <w:rsid w:val="00C54BC5"/>
    <w:rsid w:val="00C558B0"/>
    <w:rsid w:val="00C55FCB"/>
    <w:rsid w:val="00C5628E"/>
    <w:rsid w:val="00C56BD6"/>
    <w:rsid w:val="00C56FC8"/>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FB2"/>
    <w:rsid w:val="00C664E7"/>
    <w:rsid w:val="00C66BBD"/>
    <w:rsid w:val="00C677D7"/>
    <w:rsid w:val="00C67899"/>
    <w:rsid w:val="00C67D2F"/>
    <w:rsid w:val="00C67D6E"/>
    <w:rsid w:val="00C70946"/>
    <w:rsid w:val="00C70AEF"/>
    <w:rsid w:val="00C70B18"/>
    <w:rsid w:val="00C71167"/>
    <w:rsid w:val="00C71481"/>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5A9"/>
    <w:rsid w:val="00C758F8"/>
    <w:rsid w:val="00C75AF7"/>
    <w:rsid w:val="00C75E20"/>
    <w:rsid w:val="00C75FA5"/>
    <w:rsid w:val="00C76600"/>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BB9"/>
    <w:rsid w:val="00C85D9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B071C"/>
    <w:rsid w:val="00CB0772"/>
    <w:rsid w:val="00CB13AA"/>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7110"/>
    <w:rsid w:val="00CB7641"/>
    <w:rsid w:val="00CB7A86"/>
    <w:rsid w:val="00CC0193"/>
    <w:rsid w:val="00CC05B7"/>
    <w:rsid w:val="00CC0A74"/>
    <w:rsid w:val="00CC0BD2"/>
    <w:rsid w:val="00CC0D8E"/>
    <w:rsid w:val="00CC151E"/>
    <w:rsid w:val="00CC251C"/>
    <w:rsid w:val="00CC2602"/>
    <w:rsid w:val="00CC2622"/>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267A"/>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457"/>
    <w:rsid w:val="00CE0E3C"/>
    <w:rsid w:val="00CE108E"/>
    <w:rsid w:val="00CE1300"/>
    <w:rsid w:val="00CE15A5"/>
    <w:rsid w:val="00CE176A"/>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2CD"/>
    <w:rsid w:val="00CE69DB"/>
    <w:rsid w:val="00CE6FB0"/>
    <w:rsid w:val="00CE70B2"/>
    <w:rsid w:val="00CE713E"/>
    <w:rsid w:val="00CE73AC"/>
    <w:rsid w:val="00CE7B69"/>
    <w:rsid w:val="00CF0667"/>
    <w:rsid w:val="00CF11F0"/>
    <w:rsid w:val="00CF1B53"/>
    <w:rsid w:val="00CF1F30"/>
    <w:rsid w:val="00CF202C"/>
    <w:rsid w:val="00CF23C5"/>
    <w:rsid w:val="00CF298E"/>
    <w:rsid w:val="00CF3087"/>
    <w:rsid w:val="00CF375D"/>
    <w:rsid w:val="00CF3F2E"/>
    <w:rsid w:val="00CF449D"/>
    <w:rsid w:val="00CF4BBF"/>
    <w:rsid w:val="00CF4C3F"/>
    <w:rsid w:val="00CF4C55"/>
    <w:rsid w:val="00CF59DB"/>
    <w:rsid w:val="00CF5C89"/>
    <w:rsid w:val="00CF600C"/>
    <w:rsid w:val="00CF69A5"/>
    <w:rsid w:val="00CF6CD7"/>
    <w:rsid w:val="00CF73B2"/>
    <w:rsid w:val="00CF7A98"/>
    <w:rsid w:val="00D00AE9"/>
    <w:rsid w:val="00D00C7B"/>
    <w:rsid w:val="00D019F4"/>
    <w:rsid w:val="00D02514"/>
    <w:rsid w:val="00D02592"/>
    <w:rsid w:val="00D025C7"/>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E38"/>
    <w:rsid w:val="00D07EEC"/>
    <w:rsid w:val="00D108B4"/>
    <w:rsid w:val="00D10BA8"/>
    <w:rsid w:val="00D11761"/>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16E8F"/>
    <w:rsid w:val="00D1722F"/>
    <w:rsid w:val="00D201A0"/>
    <w:rsid w:val="00D20258"/>
    <w:rsid w:val="00D204F5"/>
    <w:rsid w:val="00D20966"/>
    <w:rsid w:val="00D210A2"/>
    <w:rsid w:val="00D21359"/>
    <w:rsid w:val="00D21441"/>
    <w:rsid w:val="00D21889"/>
    <w:rsid w:val="00D22325"/>
    <w:rsid w:val="00D22338"/>
    <w:rsid w:val="00D224A1"/>
    <w:rsid w:val="00D22926"/>
    <w:rsid w:val="00D229BA"/>
    <w:rsid w:val="00D2304E"/>
    <w:rsid w:val="00D23A76"/>
    <w:rsid w:val="00D23F02"/>
    <w:rsid w:val="00D23FCC"/>
    <w:rsid w:val="00D2450A"/>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32C"/>
    <w:rsid w:val="00D33EE0"/>
    <w:rsid w:val="00D346C0"/>
    <w:rsid w:val="00D34CCF"/>
    <w:rsid w:val="00D34FDC"/>
    <w:rsid w:val="00D351B1"/>
    <w:rsid w:val="00D35535"/>
    <w:rsid w:val="00D35BF4"/>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DBC"/>
    <w:rsid w:val="00D6247F"/>
    <w:rsid w:val="00D62A5F"/>
    <w:rsid w:val="00D63149"/>
    <w:rsid w:val="00D63959"/>
    <w:rsid w:val="00D63CF5"/>
    <w:rsid w:val="00D6423D"/>
    <w:rsid w:val="00D649A8"/>
    <w:rsid w:val="00D65045"/>
    <w:rsid w:val="00D655B3"/>
    <w:rsid w:val="00D656FC"/>
    <w:rsid w:val="00D65B0A"/>
    <w:rsid w:val="00D65D4E"/>
    <w:rsid w:val="00D66024"/>
    <w:rsid w:val="00D66748"/>
    <w:rsid w:val="00D66A03"/>
    <w:rsid w:val="00D66F81"/>
    <w:rsid w:val="00D679D0"/>
    <w:rsid w:val="00D708D4"/>
    <w:rsid w:val="00D70AE1"/>
    <w:rsid w:val="00D70E45"/>
    <w:rsid w:val="00D71062"/>
    <w:rsid w:val="00D711C8"/>
    <w:rsid w:val="00D714CB"/>
    <w:rsid w:val="00D7193A"/>
    <w:rsid w:val="00D71D33"/>
    <w:rsid w:val="00D71E5D"/>
    <w:rsid w:val="00D72BE5"/>
    <w:rsid w:val="00D72F29"/>
    <w:rsid w:val="00D72FCF"/>
    <w:rsid w:val="00D730F7"/>
    <w:rsid w:val="00D73564"/>
    <w:rsid w:val="00D73A9A"/>
    <w:rsid w:val="00D74712"/>
    <w:rsid w:val="00D7495D"/>
    <w:rsid w:val="00D758CE"/>
    <w:rsid w:val="00D75A96"/>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5C6"/>
    <w:rsid w:val="00D847C3"/>
    <w:rsid w:val="00D850C0"/>
    <w:rsid w:val="00D852D5"/>
    <w:rsid w:val="00D85517"/>
    <w:rsid w:val="00D8575B"/>
    <w:rsid w:val="00D860F5"/>
    <w:rsid w:val="00D863AF"/>
    <w:rsid w:val="00D86620"/>
    <w:rsid w:val="00D8714E"/>
    <w:rsid w:val="00D87581"/>
    <w:rsid w:val="00D87699"/>
    <w:rsid w:val="00D877C2"/>
    <w:rsid w:val="00D90517"/>
    <w:rsid w:val="00D90697"/>
    <w:rsid w:val="00D91A55"/>
    <w:rsid w:val="00D91AEF"/>
    <w:rsid w:val="00D92308"/>
    <w:rsid w:val="00D92757"/>
    <w:rsid w:val="00D94850"/>
    <w:rsid w:val="00D94E74"/>
    <w:rsid w:val="00D95AE1"/>
    <w:rsid w:val="00D95D23"/>
    <w:rsid w:val="00D95D5C"/>
    <w:rsid w:val="00D963A5"/>
    <w:rsid w:val="00D964BD"/>
    <w:rsid w:val="00D9684A"/>
    <w:rsid w:val="00D96952"/>
    <w:rsid w:val="00D96B7D"/>
    <w:rsid w:val="00D96EDB"/>
    <w:rsid w:val="00D97C9B"/>
    <w:rsid w:val="00D97CD6"/>
    <w:rsid w:val="00D97EE9"/>
    <w:rsid w:val="00DA086A"/>
    <w:rsid w:val="00DA0AA2"/>
    <w:rsid w:val="00DA1033"/>
    <w:rsid w:val="00DA12CA"/>
    <w:rsid w:val="00DA1C61"/>
    <w:rsid w:val="00DA1C7E"/>
    <w:rsid w:val="00DA2654"/>
    <w:rsid w:val="00DA2680"/>
    <w:rsid w:val="00DA2C52"/>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11BE"/>
    <w:rsid w:val="00DB1BEA"/>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537"/>
    <w:rsid w:val="00DC1B20"/>
    <w:rsid w:val="00DC233C"/>
    <w:rsid w:val="00DC3C7F"/>
    <w:rsid w:val="00DC3CC5"/>
    <w:rsid w:val="00DC3E7A"/>
    <w:rsid w:val="00DC3EE1"/>
    <w:rsid w:val="00DC4C60"/>
    <w:rsid w:val="00DC521D"/>
    <w:rsid w:val="00DC552F"/>
    <w:rsid w:val="00DC5F33"/>
    <w:rsid w:val="00DC5F57"/>
    <w:rsid w:val="00DC684D"/>
    <w:rsid w:val="00DC6BCD"/>
    <w:rsid w:val="00DC736D"/>
    <w:rsid w:val="00DC7E08"/>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F014F"/>
    <w:rsid w:val="00DF03E1"/>
    <w:rsid w:val="00DF0975"/>
    <w:rsid w:val="00DF0DA4"/>
    <w:rsid w:val="00DF140D"/>
    <w:rsid w:val="00DF166F"/>
    <w:rsid w:val="00DF1678"/>
    <w:rsid w:val="00DF185F"/>
    <w:rsid w:val="00DF231F"/>
    <w:rsid w:val="00DF24FC"/>
    <w:rsid w:val="00DF281F"/>
    <w:rsid w:val="00DF3081"/>
    <w:rsid w:val="00DF3B1B"/>
    <w:rsid w:val="00DF439C"/>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3978"/>
    <w:rsid w:val="00E23A53"/>
    <w:rsid w:val="00E23AF0"/>
    <w:rsid w:val="00E23E29"/>
    <w:rsid w:val="00E2421A"/>
    <w:rsid w:val="00E2451C"/>
    <w:rsid w:val="00E254F4"/>
    <w:rsid w:val="00E25667"/>
    <w:rsid w:val="00E25727"/>
    <w:rsid w:val="00E2588A"/>
    <w:rsid w:val="00E26015"/>
    <w:rsid w:val="00E264EF"/>
    <w:rsid w:val="00E26C3E"/>
    <w:rsid w:val="00E26CFC"/>
    <w:rsid w:val="00E26F00"/>
    <w:rsid w:val="00E274B0"/>
    <w:rsid w:val="00E27E0F"/>
    <w:rsid w:val="00E30880"/>
    <w:rsid w:val="00E308E3"/>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74"/>
    <w:rsid w:val="00E439C8"/>
    <w:rsid w:val="00E43A94"/>
    <w:rsid w:val="00E43FB6"/>
    <w:rsid w:val="00E440E2"/>
    <w:rsid w:val="00E44959"/>
    <w:rsid w:val="00E4522C"/>
    <w:rsid w:val="00E45E0E"/>
    <w:rsid w:val="00E46191"/>
    <w:rsid w:val="00E462CD"/>
    <w:rsid w:val="00E464D2"/>
    <w:rsid w:val="00E46775"/>
    <w:rsid w:val="00E46E2C"/>
    <w:rsid w:val="00E470D8"/>
    <w:rsid w:val="00E47768"/>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803C1"/>
    <w:rsid w:val="00E803FA"/>
    <w:rsid w:val="00E8089B"/>
    <w:rsid w:val="00E80B97"/>
    <w:rsid w:val="00E80DC8"/>
    <w:rsid w:val="00E810A5"/>
    <w:rsid w:val="00E818D4"/>
    <w:rsid w:val="00E81D74"/>
    <w:rsid w:val="00E82787"/>
    <w:rsid w:val="00E8278D"/>
    <w:rsid w:val="00E82A8D"/>
    <w:rsid w:val="00E82CFD"/>
    <w:rsid w:val="00E82E56"/>
    <w:rsid w:val="00E82F6D"/>
    <w:rsid w:val="00E83CA9"/>
    <w:rsid w:val="00E84540"/>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D90"/>
    <w:rsid w:val="00E93FE8"/>
    <w:rsid w:val="00E94165"/>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7"/>
    <w:rsid w:val="00EA2D53"/>
    <w:rsid w:val="00EA2E54"/>
    <w:rsid w:val="00EA3439"/>
    <w:rsid w:val="00EA3506"/>
    <w:rsid w:val="00EA38B1"/>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EE3"/>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71D8"/>
    <w:rsid w:val="00ED7449"/>
    <w:rsid w:val="00ED7455"/>
    <w:rsid w:val="00ED765E"/>
    <w:rsid w:val="00ED792F"/>
    <w:rsid w:val="00ED7AF6"/>
    <w:rsid w:val="00EE0645"/>
    <w:rsid w:val="00EE08F2"/>
    <w:rsid w:val="00EE0A9B"/>
    <w:rsid w:val="00EE1CE7"/>
    <w:rsid w:val="00EE1DBC"/>
    <w:rsid w:val="00EE24FB"/>
    <w:rsid w:val="00EE2730"/>
    <w:rsid w:val="00EE2948"/>
    <w:rsid w:val="00EE2A4C"/>
    <w:rsid w:val="00EE2B96"/>
    <w:rsid w:val="00EE32A9"/>
    <w:rsid w:val="00EE37CA"/>
    <w:rsid w:val="00EE3976"/>
    <w:rsid w:val="00EE39C2"/>
    <w:rsid w:val="00EE3A21"/>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DB"/>
    <w:rsid w:val="00EF0CFC"/>
    <w:rsid w:val="00EF0DD6"/>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D3D"/>
    <w:rsid w:val="00F10215"/>
    <w:rsid w:val="00F10356"/>
    <w:rsid w:val="00F10360"/>
    <w:rsid w:val="00F10E41"/>
    <w:rsid w:val="00F1112F"/>
    <w:rsid w:val="00F11ECF"/>
    <w:rsid w:val="00F12164"/>
    <w:rsid w:val="00F126DE"/>
    <w:rsid w:val="00F12A96"/>
    <w:rsid w:val="00F12F96"/>
    <w:rsid w:val="00F130E2"/>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2398"/>
    <w:rsid w:val="00F22596"/>
    <w:rsid w:val="00F2277B"/>
    <w:rsid w:val="00F2305F"/>
    <w:rsid w:val="00F231F4"/>
    <w:rsid w:val="00F236BA"/>
    <w:rsid w:val="00F2434F"/>
    <w:rsid w:val="00F245DF"/>
    <w:rsid w:val="00F24B34"/>
    <w:rsid w:val="00F265EB"/>
    <w:rsid w:val="00F26C36"/>
    <w:rsid w:val="00F26E90"/>
    <w:rsid w:val="00F27716"/>
    <w:rsid w:val="00F30A32"/>
    <w:rsid w:val="00F30DC1"/>
    <w:rsid w:val="00F30EA3"/>
    <w:rsid w:val="00F325C2"/>
    <w:rsid w:val="00F329DF"/>
    <w:rsid w:val="00F32C48"/>
    <w:rsid w:val="00F32E79"/>
    <w:rsid w:val="00F336C6"/>
    <w:rsid w:val="00F33DA4"/>
    <w:rsid w:val="00F3414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F86"/>
    <w:rsid w:val="00F54E20"/>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D7"/>
    <w:rsid w:val="00F70F75"/>
    <w:rsid w:val="00F7142D"/>
    <w:rsid w:val="00F71DDC"/>
    <w:rsid w:val="00F7234C"/>
    <w:rsid w:val="00F724BB"/>
    <w:rsid w:val="00F727FF"/>
    <w:rsid w:val="00F72AA3"/>
    <w:rsid w:val="00F72E3B"/>
    <w:rsid w:val="00F73084"/>
    <w:rsid w:val="00F735DD"/>
    <w:rsid w:val="00F7370F"/>
    <w:rsid w:val="00F742AA"/>
    <w:rsid w:val="00F7470B"/>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6159"/>
    <w:rsid w:val="00F8631E"/>
    <w:rsid w:val="00F869D6"/>
    <w:rsid w:val="00F86C98"/>
    <w:rsid w:val="00F86EF4"/>
    <w:rsid w:val="00F87331"/>
    <w:rsid w:val="00F87862"/>
    <w:rsid w:val="00F90AEB"/>
    <w:rsid w:val="00F911B8"/>
    <w:rsid w:val="00F914B8"/>
    <w:rsid w:val="00F927DC"/>
    <w:rsid w:val="00F92EAC"/>
    <w:rsid w:val="00F932C0"/>
    <w:rsid w:val="00F9447C"/>
    <w:rsid w:val="00F94560"/>
    <w:rsid w:val="00F9488B"/>
    <w:rsid w:val="00F961C8"/>
    <w:rsid w:val="00F9752E"/>
    <w:rsid w:val="00F97EC3"/>
    <w:rsid w:val="00FA031F"/>
    <w:rsid w:val="00FA0870"/>
    <w:rsid w:val="00FA0EF4"/>
    <w:rsid w:val="00FA1223"/>
    <w:rsid w:val="00FA1392"/>
    <w:rsid w:val="00FA13AF"/>
    <w:rsid w:val="00FA1E63"/>
    <w:rsid w:val="00FA1E9A"/>
    <w:rsid w:val="00FA2AFA"/>
    <w:rsid w:val="00FA2B8F"/>
    <w:rsid w:val="00FA3395"/>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228F"/>
    <w:rsid w:val="00FB2620"/>
    <w:rsid w:val="00FB29D5"/>
    <w:rsid w:val="00FB2B30"/>
    <w:rsid w:val="00FB2BD8"/>
    <w:rsid w:val="00FB3001"/>
    <w:rsid w:val="00FB31AA"/>
    <w:rsid w:val="00FB352B"/>
    <w:rsid w:val="00FB38E0"/>
    <w:rsid w:val="00FB3A41"/>
    <w:rsid w:val="00FB4AC0"/>
    <w:rsid w:val="00FB4ED2"/>
    <w:rsid w:val="00FB5014"/>
    <w:rsid w:val="00FB51A6"/>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4F2"/>
    <w:rsid w:val="00FE1BF2"/>
    <w:rsid w:val="00FE3692"/>
    <w:rsid w:val="00FE3A68"/>
    <w:rsid w:val="00FE3C37"/>
    <w:rsid w:val="00FE4C7F"/>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styleId="ListParagraph">
    <w:name w:val="List Paragraph"/>
    <w:basedOn w:val="Normal"/>
    <w:uiPriority w:val="34"/>
    <w:qFormat/>
    <w:rsid w:val="00284A13"/>
    <w:pPr>
      <w:ind w:left="720"/>
    </w:pPr>
    <w:rPr>
      <w:rFonts w:cs="Arial"/>
      <w:lang w:val="en-IE" w:eastAsia="en-IE"/>
    </w:rPr>
  </w:style>
  <w:style w:type="paragraph" w:styleId="Revision">
    <w:name w:val="Revision"/>
    <w:hidden/>
    <w:uiPriority w:val="99"/>
    <w:semiHidden/>
    <w:rsid w:val="00031DB0"/>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odificationDocuments/Mod_11_12%20Gaelectric.docx" TargetMode="External"/><Relationship Id="rId18" Type="http://schemas.openxmlformats.org/officeDocument/2006/relationships/hyperlink" Target="http://semopub/MarketDevelopment/ModificationDocuments/Mod_10_14%20MWPs%20for%20IC%20Units.docx" TargetMode="External"/><Relationship Id="rId26" Type="http://schemas.openxmlformats.org/officeDocument/2006/relationships/hyperlink" Target="http://semopub/MarketDevelopment/ModificationDocuments/Mod_09_14%20Amendment%20to%20MWPs%20for%20IC%20Units.docx"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12_14%20Amendment%20to%20Make%20Whole%20Mechanism%20to%20Remove%20Settlement%20Periods%20of%20Simultaneous%20Import%20and%20Export%20Flows.docx"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ifications%20Committee%20Presentation%2004%2012%2014.pptx" TargetMode="External"/><Relationship Id="rId25" Type="http://schemas.openxmlformats.org/officeDocument/2006/relationships/hyperlink" Target="http://semopub/MarketDevelopment/ModificationDocuments/Mod_08_12%20MIUNs.docx"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09_14%20Amendment%20to%20MWPs%20for%20IC%20Units.docx" TargetMode="External"/><Relationship Id="rId20" Type="http://schemas.openxmlformats.org/officeDocument/2006/relationships/hyperlink" Target="http://semopub/MarketDevelopment/ModificationDocuments/140905%20ElectroRoute%20Discussion%20Slides%20v1-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Publications/General/CMS%20Slides%20Meeting%2058.pptx"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Mod_08_14%20Collateral%20Reserve%20Accounts.docx" TargetMode="External"/><Relationship Id="rId23" Type="http://schemas.openxmlformats.org/officeDocument/2006/relationships/hyperlink" Target="http://semopub/MarketDevelopment/ModificationDocuments/EnerNOC_Proposal_DSU%20as%20Price%20Taker.ppt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mopub/MarketDevelopment/ModificationDocuments/Mod_11_14%20-%20Pay-As-Bid%20Paid-as-bid%20for%20Interconnector%20Units.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3_v2%20V1.0.docx" TargetMode="External"/><Relationship Id="rId22" Type="http://schemas.openxmlformats.org/officeDocument/2006/relationships/hyperlink" Target="http://semopub/MarketDevelopment/ModificationDocuments/Mod%2013_13%20DSUs.docx" TargetMode="External"/><Relationship Id="rId27" Type="http://schemas.openxmlformats.org/officeDocument/2006/relationships/hyperlink" Target="http://eur-lex.europa.eu/LexUriServ/LexUriServ.do?uri=CELEX:32006L0123:EN:NOT"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2013-04-10T00:00:00+00:00</MeetingDate>
    <MMTID xmlns="f69c7b9a-bbed-41f8-b24c-bbeb71979adf">278</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F1BAAFCB-2789-4865-B0D3-E72AE988591C}"/>
</file>

<file path=customXml/itemProps2.xml><?xml version="1.0" encoding="utf-8"?>
<ds:datastoreItem xmlns:ds="http://schemas.openxmlformats.org/officeDocument/2006/customXml" ds:itemID="{F6B3130B-7F9B-4F9F-ADC4-69CD36177A83}"/>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F758B248-96DD-4708-85A8-563CF8C88484}"/>
</file>

<file path=customXml/itemProps5.xml><?xml version="1.0" encoding="utf-8"?>
<ds:datastoreItem xmlns:ds="http://schemas.openxmlformats.org/officeDocument/2006/customXml" ds:itemID="{D81FD266-7E5C-4B8F-8813-266492D98B16}"/>
</file>

<file path=customXml/itemProps6.xml><?xml version="1.0" encoding="utf-8"?>
<ds:datastoreItem xmlns:ds="http://schemas.openxmlformats.org/officeDocument/2006/customXml" ds:itemID="{0522E21D-8230-4C57-9491-AA8EB42B364F}"/>
</file>

<file path=docProps/app.xml><?xml version="1.0" encoding="utf-8"?>
<Properties xmlns="http://schemas.openxmlformats.org/officeDocument/2006/extended-properties" xmlns:vt="http://schemas.openxmlformats.org/officeDocument/2006/docPropsVTypes">
  <Template>Normal</Template>
  <TotalTime>0</TotalTime>
  <Pages>18</Pages>
  <Words>5856</Words>
  <Characters>34511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40287</CharactersWithSpaces>
  <SharedDoc>false</SharedDoc>
  <HLinks>
    <vt:vector size="192" baseType="variant">
      <vt:variant>
        <vt:i4>4456449</vt:i4>
      </vt:variant>
      <vt:variant>
        <vt:i4>144</vt:i4>
      </vt:variant>
      <vt:variant>
        <vt:i4>0</vt:i4>
      </vt:variant>
      <vt:variant>
        <vt:i4>5</vt:i4>
      </vt:variant>
      <vt:variant>
        <vt:lpwstr>http://eur-lex.europa.eu/LexUriServ/LexUriServ.do?uri=CELEX:32006L0123:EN:NOT</vt:lpwstr>
      </vt:variant>
      <vt:variant>
        <vt:lpwstr/>
      </vt:variant>
      <vt:variant>
        <vt:i4>6029384</vt:i4>
      </vt:variant>
      <vt:variant>
        <vt:i4>141</vt:i4>
      </vt:variant>
      <vt:variant>
        <vt:i4>0</vt:i4>
      </vt:variant>
      <vt:variant>
        <vt:i4>5</vt:i4>
      </vt:variant>
      <vt:variant>
        <vt:lpwstr>http://www.sem-o.com/MarketDevelopment/ModificationDocuments/Mod_09_14 Amendment to MWPs for IC Units.docx</vt:lpwstr>
      </vt:variant>
      <vt:variant>
        <vt:lpwstr/>
      </vt:variant>
      <vt:variant>
        <vt:i4>6881337</vt:i4>
      </vt:variant>
      <vt:variant>
        <vt:i4>138</vt:i4>
      </vt:variant>
      <vt:variant>
        <vt:i4>0</vt:i4>
      </vt:variant>
      <vt:variant>
        <vt:i4>5</vt:i4>
      </vt:variant>
      <vt:variant>
        <vt:lpwstr>http://www.sem-o.com/MarketDevelopment/ModificationDocuments/Mod_08_12 MIUNs.docx</vt:lpwstr>
      </vt:variant>
      <vt:variant>
        <vt:lpwstr/>
      </vt:variant>
      <vt:variant>
        <vt:i4>720991</vt:i4>
      </vt:variant>
      <vt:variant>
        <vt:i4>135</vt:i4>
      </vt:variant>
      <vt:variant>
        <vt:i4>0</vt:i4>
      </vt:variant>
      <vt:variant>
        <vt:i4>5</vt:i4>
      </vt:variant>
      <vt:variant>
        <vt:lpwstr>http://www.sem-o.com/Publications/General/CMS Slides Meeting 58.pptx</vt:lpwstr>
      </vt:variant>
      <vt:variant>
        <vt:lpwstr/>
      </vt:variant>
      <vt:variant>
        <vt:i4>2556012</vt:i4>
      </vt:variant>
      <vt:variant>
        <vt:i4>132</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129</vt:i4>
      </vt:variant>
      <vt:variant>
        <vt:i4>0</vt:i4>
      </vt:variant>
      <vt:variant>
        <vt:i4>5</vt:i4>
      </vt:variant>
      <vt:variant>
        <vt:lpwstr>http://www.sem-o.com/MarketDevelopment/ModificationDocuments/Mod 13_13 DSUs.docx</vt:lpwstr>
      </vt:variant>
      <vt:variant>
        <vt:lpwstr/>
      </vt:variant>
      <vt:variant>
        <vt:i4>6094875</vt:i4>
      </vt:variant>
      <vt:variant>
        <vt:i4>126</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123</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120</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117</vt:i4>
      </vt:variant>
      <vt:variant>
        <vt:i4>0</vt:i4>
      </vt:variant>
      <vt:variant>
        <vt:i4>5</vt:i4>
      </vt:variant>
      <vt:variant>
        <vt:lpwstr>http://www.sem-o.com/MarketDevelopment/ModificationDocuments/Mod_10_14 MWPs for IC Units.docx</vt:lpwstr>
      </vt:variant>
      <vt:variant>
        <vt:lpwstr/>
      </vt:variant>
      <vt:variant>
        <vt:i4>6881336</vt:i4>
      </vt:variant>
      <vt:variant>
        <vt:i4>114</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111</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108</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105</vt:i4>
      </vt:variant>
      <vt:variant>
        <vt:i4>0</vt:i4>
      </vt:variant>
      <vt:variant>
        <vt:i4>5</vt:i4>
      </vt:variant>
      <vt:variant>
        <vt:lpwstr>http://www.sem-o.com/MarketDevelopment/ModificationDocuments/Mod_02_13_v2 V1.0.docx</vt:lpwstr>
      </vt:variant>
      <vt:variant>
        <vt:lpwstr/>
      </vt:variant>
      <vt:variant>
        <vt:i4>4653070</vt:i4>
      </vt:variant>
      <vt:variant>
        <vt:i4>102</vt:i4>
      </vt:variant>
      <vt:variant>
        <vt:i4>0</vt:i4>
      </vt:variant>
      <vt:variant>
        <vt:i4>5</vt:i4>
      </vt:variant>
      <vt:variant>
        <vt:lpwstr>http://www.sem-o.com/MarketDevelopment/ModificationDocuments/Mod_11_12 Gaelectric.docx</vt:lpwstr>
      </vt:variant>
      <vt:variant>
        <vt:lpwstr/>
      </vt:variant>
      <vt:variant>
        <vt:i4>3539000</vt:i4>
      </vt:variant>
      <vt:variant>
        <vt:i4>99</vt:i4>
      </vt:variant>
      <vt:variant>
        <vt:i4>0</vt:i4>
      </vt:variant>
      <vt:variant>
        <vt:i4>5</vt:i4>
      </vt:variant>
      <vt:variant>
        <vt:lpwstr>http://www.sem-o.com/MarketDevelopment/MarketRules/TSC.docx</vt:lpwstr>
      </vt:variant>
      <vt:variant>
        <vt:lpwstr/>
      </vt:variant>
      <vt:variant>
        <vt:i4>1507390</vt:i4>
      </vt:variant>
      <vt:variant>
        <vt:i4>92</vt:i4>
      </vt:variant>
      <vt:variant>
        <vt:i4>0</vt:i4>
      </vt:variant>
      <vt:variant>
        <vt:i4>5</vt:i4>
      </vt:variant>
      <vt:variant>
        <vt:lpwstr/>
      </vt:variant>
      <vt:variant>
        <vt:lpwstr>_Toc406084447</vt:lpwstr>
      </vt:variant>
      <vt:variant>
        <vt:i4>1507390</vt:i4>
      </vt:variant>
      <vt:variant>
        <vt:i4>86</vt:i4>
      </vt:variant>
      <vt:variant>
        <vt:i4>0</vt:i4>
      </vt:variant>
      <vt:variant>
        <vt:i4>5</vt:i4>
      </vt:variant>
      <vt:variant>
        <vt:lpwstr/>
      </vt:variant>
      <vt:variant>
        <vt:lpwstr>_Toc406084446</vt:lpwstr>
      </vt:variant>
      <vt:variant>
        <vt:i4>1507390</vt:i4>
      </vt:variant>
      <vt:variant>
        <vt:i4>80</vt:i4>
      </vt:variant>
      <vt:variant>
        <vt:i4>0</vt:i4>
      </vt:variant>
      <vt:variant>
        <vt:i4>5</vt:i4>
      </vt:variant>
      <vt:variant>
        <vt:lpwstr/>
      </vt:variant>
      <vt:variant>
        <vt:lpwstr>_Toc406084445</vt:lpwstr>
      </vt:variant>
      <vt:variant>
        <vt:i4>1507390</vt:i4>
      </vt:variant>
      <vt:variant>
        <vt:i4>74</vt:i4>
      </vt:variant>
      <vt:variant>
        <vt:i4>0</vt:i4>
      </vt:variant>
      <vt:variant>
        <vt:i4>5</vt:i4>
      </vt:variant>
      <vt:variant>
        <vt:lpwstr/>
      </vt:variant>
      <vt:variant>
        <vt:lpwstr>_Toc406084444</vt:lpwstr>
      </vt:variant>
      <vt:variant>
        <vt:i4>1507390</vt:i4>
      </vt:variant>
      <vt:variant>
        <vt:i4>68</vt:i4>
      </vt:variant>
      <vt:variant>
        <vt:i4>0</vt:i4>
      </vt:variant>
      <vt:variant>
        <vt:i4>5</vt:i4>
      </vt:variant>
      <vt:variant>
        <vt:lpwstr/>
      </vt:variant>
      <vt:variant>
        <vt:lpwstr>_Toc406084443</vt:lpwstr>
      </vt:variant>
      <vt:variant>
        <vt:i4>1507390</vt:i4>
      </vt:variant>
      <vt:variant>
        <vt:i4>62</vt:i4>
      </vt:variant>
      <vt:variant>
        <vt:i4>0</vt:i4>
      </vt:variant>
      <vt:variant>
        <vt:i4>5</vt:i4>
      </vt:variant>
      <vt:variant>
        <vt:lpwstr/>
      </vt:variant>
      <vt:variant>
        <vt:lpwstr>_Toc406084442</vt:lpwstr>
      </vt:variant>
      <vt:variant>
        <vt:i4>1507390</vt:i4>
      </vt:variant>
      <vt:variant>
        <vt:i4>56</vt:i4>
      </vt:variant>
      <vt:variant>
        <vt:i4>0</vt:i4>
      </vt:variant>
      <vt:variant>
        <vt:i4>5</vt:i4>
      </vt:variant>
      <vt:variant>
        <vt:lpwstr/>
      </vt:variant>
      <vt:variant>
        <vt:lpwstr>_Toc406084441</vt:lpwstr>
      </vt:variant>
      <vt:variant>
        <vt:i4>1507390</vt:i4>
      </vt:variant>
      <vt:variant>
        <vt:i4>50</vt:i4>
      </vt:variant>
      <vt:variant>
        <vt:i4>0</vt:i4>
      </vt:variant>
      <vt:variant>
        <vt:i4>5</vt:i4>
      </vt:variant>
      <vt:variant>
        <vt:lpwstr/>
      </vt:variant>
      <vt:variant>
        <vt:lpwstr>_Toc406084440</vt:lpwstr>
      </vt:variant>
      <vt:variant>
        <vt:i4>1048638</vt:i4>
      </vt:variant>
      <vt:variant>
        <vt:i4>44</vt:i4>
      </vt:variant>
      <vt:variant>
        <vt:i4>0</vt:i4>
      </vt:variant>
      <vt:variant>
        <vt:i4>5</vt:i4>
      </vt:variant>
      <vt:variant>
        <vt:lpwstr/>
      </vt:variant>
      <vt:variant>
        <vt:lpwstr>_Toc406084439</vt:lpwstr>
      </vt:variant>
      <vt:variant>
        <vt:i4>1048638</vt:i4>
      </vt:variant>
      <vt:variant>
        <vt:i4>38</vt:i4>
      </vt:variant>
      <vt:variant>
        <vt:i4>0</vt:i4>
      </vt:variant>
      <vt:variant>
        <vt:i4>5</vt:i4>
      </vt:variant>
      <vt:variant>
        <vt:lpwstr/>
      </vt:variant>
      <vt:variant>
        <vt:lpwstr>_Toc406084438</vt:lpwstr>
      </vt:variant>
      <vt:variant>
        <vt:i4>1048638</vt:i4>
      </vt:variant>
      <vt:variant>
        <vt:i4>32</vt:i4>
      </vt:variant>
      <vt:variant>
        <vt:i4>0</vt:i4>
      </vt:variant>
      <vt:variant>
        <vt:i4>5</vt:i4>
      </vt:variant>
      <vt:variant>
        <vt:lpwstr/>
      </vt:variant>
      <vt:variant>
        <vt:lpwstr>_Toc406084437</vt:lpwstr>
      </vt:variant>
      <vt:variant>
        <vt:i4>1048638</vt:i4>
      </vt:variant>
      <vt:variant>
        <vt:i4>26</vt:i4>
      </vt:variant>
      <vt:variant>
        <vt:i4>0</vt:i4>
      </vt:variant>
      <vt:variant>
        <vt:i4>5</vt:i4>
      </vt:variant>
      <vt:variant>
        <vt:lpwstr/>
      </vt:variant>
      <vt:variant>
        <vt:lpwstr>_Toc406084436</vt:lpwstr>
      </vt:variant>
      <vt:variant>
        <vt:i4>1048638</vt:i4>
      </vt:variant>
      <vt:variant>
        <vt:i4>20</vt:i4>
      </vt:variant>
      <vt:variant>
        <vt:i4>0</vt:i4>
      </vt:variant>
      <vt:variant>
        <vt:i4>5</vt:i4>
      </vt:variant>
      <vt:variant>
        <vt:lpwstr/>
      </vt:variant>
      <vt:variant>
        <vt:lpwstr>_Toc406084435</vt:lpwstr>
      </vt:variant>
      <vt:variant>
        <vt:i4>1048638</vt:i4>
      </vt:variant>
      <vt:variant>
        <vt:i4>14</vt:i4>
      </vt:variant>
      <vt:variant>
        <vt:i4>0</vt:i4>
      </vt:variant>
      <vt:variant>
        <vt:i4>5</vt:i4>
      </vt:variant>
      <vt:variant>
        <vt:lpwstr/>
      </vt:variant>
      <vt:variant>
        <vt:lpwstr>_Toc406084434</vt:lpwstr>
      </vt:variant>
      <vt:variant>
        <vt:i4>1048638</vt:i4>
      </vt:variant>
      <vt:variant>
        <vt:i4>8</vt:i4>
      </vt:variant>
      <vt:variant>
        <vt:i4>0</vt:i4>
      </vt:variant>
      <vt:variant>
        <vt:i4>5</vt:i4>
      </vt:variant>
      <vt:variant>
        <vt:lpwstr/>
      </vt:variant>
      <vt:variant>
        <vt:lpwstr>_Toc406084433</vt:lpwstr>
      </vt:variant>
      <vt:variant>
        <vt:i4>1048638</vt:i4>
      </vt:variant>
      <vt:variant>
        <vt:i4>2</vt:i4>
      </vt:variant>
      <vt:variant>
        <vt:i4>0</vt:i4>
      </vt:variant>
      <vt:variant>
        <vt:i4>5</vt:i4>
      </vt:variant>
      <vt:variant>
        <vt:lpwstr/>
      </vt:variant>
      <vt:variant>
        <vt:lpwstr>_Toc406084432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58 </dc:title>
  <dc:subject/>
  <dc:creator/>
  <cp:keywords/>
  <dc:description/>
  <cp:lastModifiedBy/>
  <cp:revision>1</cp:revision>
  <dcterms:created xsi:type="dcterms:W3CDTF">2015-02-16T11:51:00Z</dcterms:created>
  <dcterms:modified xsi:type="dcterms:W3CDTF">2015-02-16T11:51:00Z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167</vt:lpwstr>
  </property>
  <property fmtid="{D5CDD505-2E9C-101B-9397-08002B2CF9AE}" pid="8" name="Copy to Website">
    <vt:lpwstr>true</vt:lpwstr>
  </property>
  <property fmtid="{D5CDD505-2E9C-101B-9397-08002B2CF9AE}" pid="9" name="Meeting Type">
    <vt:lpwstr>Ordinary Meeting</vt:lpwstr>
  </property>
  <property fmtid="{D5CDD505-2E9C-101B-9397-08002B2CF9AE}" pid="10" name="Meeting Date">
    <vt:lpwstr>2013-04-09T23:00:00+00:00</vt:lpwstr>
  </property>
  <property fmtid="{D5CDD505-2E9C-101B-9397-08002B2CF9AE}" pid="11" name="Meeting Document Type">
    <vt:lpwstr>Minutes</vt:lpwstr>
  </property>
  <property fmtid="{D5CDD505-2E9C-101B-9397-08002B2CF9AE}" pid="12" name="_CopySource">
    <vt:lpwstr>Minutes Meeting 58.docx</vt:lpwstr>
  </property>
</Properties>
</file>