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D6E24" w14:textId="77777777"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598E68FB" w14:textId="77777777" w:rsidTr="0013032E">
        <w:tc>
          <w:tcPr>
            <w:tcW w:w="9450" w:type="dxa"/>
            <w:gridSpan w:val="6"/>
            <w:shd w:val="clear" w:color="auto" w:fill="548DD4"/>
            <w:vAlign w:val="center"/>
          </w:tcPr>
          <w:p w14:paraId="5226FE85" w14:textId="77777777" w:rsidR="004C53E7" w:rsidRPr="004C53E7" w:rsidRDefault="004C53E7" w:rsidP="00EE2B7C">
            <w:pPr>
              <w:jc w:val="center"/>
              <w:rPr>
                <w:rFonts w:ascii="Calibri" w:hAnsi="Calibri" w:cs="Arial"/>
                <w:lang w:val="en-IE"/>
              </w:rPr>
            </w:pPr>
          </w:p>
          <w:p w14:paraId="3CFF0AEF"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1F534BC4" w14:textId="77777777" w:rsidR="004C53E7" w:rsidRPr="004C53E7" w:rsidRDefault="004C53E7" w:rsidP="00EE2B7C">
            <w:pPr>
              <w:jc w:val="center"/>
              <w:rPr>
                <w:rFonts w:ascii="Calibri" w:hAnsi="Calibri" w:cs="Arial"/>
                <w:lang w:val="en-IE"/>
              </w:rPr>
            </w:pPr>
          </w:p>
        </w:tc>
      </w:tr>
      <w:tr w:rsidR="004C53E7" w:rsidRPr="004C53E7" w14:paraId="7C1AEE7D" w14:textId="77777777" w:rsidTr="0013032E">
        <w:tc>
          <w:tcPr>
            <w:tcW w:w="2070" w:type="dxa"/>
            <w:vAlign w:val="center"/>
          </w:tcPr>
          <w:p w14:paraId="475E49AA"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073CC87E"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41E4330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6A87A382"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7098A2F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2AB1D247"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02DCA5C5"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65D01DFA"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6928D0EF" w14:textId="77777777" w:rsidTr="0013032E">
        <w:tc>
          <w:tcPr>
            <w:tcW w:w="2070" w:type="dxa"/>
            <w:vAlign w:val="center"/>
          </w:tcPr>
          <w:p w14:paraId="303C2D1E" w14:textId="77777777" w:rsidR="004C53E7" w:rsidRPr="004C53E7" w:rsidRDefault="007D5BDA" w:rsidP="00EE2B7C">
            <w:pPr>
              <w:jc w:val="center"/>
              <w:rPr>
                <w:rFonts w:ascii="Calibri" w:hAnsi="Calibri" w:cs="Arial"/>
                <w:b/>
                <w:lang w:val="en-IE"/>
              </w:rPr>
            </w:pPr>
            <w:r>
              <w:rPr>
                <w:rFonts w:ascii="Calibri" w:hAnsi="Calibri" w:cs="Arial"/>
                <w:b/>
                <w:lang w:val="en-IE"/>
              </w:rPr>
              <w:t>UR &amp; CRU (RAs)</w:t>
            </w:r>
          </w:p>
        </w:tc>
        <w:tc>
          <w:tcPr>
            <w:tcW w:w="2533" w:type="dxa"/>
            <w:gridSpan w:val="2"/>
            <w:vAlign w:val="center"/>
          </w:tcPr>
          <w:p w14:paraId="0F9BAD8B" w14:textId="1E286873" w:rsidR="004C53E7" w:rsidRPr="004C53E7" w:rsidRDefault="00922A92" w:rsidP="00EE2B7C">
            <w:pPr>
              <w:jc w:val="center"/>
              <w:rPr>
                <w:rFonts w:ascii="Calibri" w:hAnsi="Calibri" w:cs="Arial"/>
                <w:b/>
                <w:lang w:val="en-IE"/>
              </w:rPr>
            </w:pPr>
            <w:r>
              <w:rPr>
                <w:rFonts w:ascii="Calibri" w:hAnsi="Calibri" w:cs="Arial"/>
                <w:b/>
                <w:lang w:val="en-IE"/>
              </w:rPr>
              <w:t>16 March 2020</w:t>
            </w:r>
          </w:p>
        </w:tc>
        <w:tc>
          <w:tcPr>
            <w:tcW w:w="2311" w:type="dxa"/>
            <w:gridSpan w:val="2"/>
            <w:vAlign w:val="center"/>
          </w:tcPr>
          <w:p w14:paraId="625D7893" w14:textId="77777777" w:rsidR="004C53E7" w:rsidRPr="004C53E7" w:rsidRDefault="00F64077" w:rsidP="00584447">
            <w:pPr>
              <w:jc w:val="center"/>
              <w:rPr>
                <w:rFonts w:ascii="Calibri" w:hAnsi="Calibri" w:cs="Arial"/>
                <w:b/>
                <w:lang w:val="en-IE"/>
              </w:rPr>
            </w:pPr>
            <w:r>
              <w:rPr>
                <w:rFonts w:ascii="Calibri" w:hAnsi="Calibri" w:cs="Arial"/>
                <w:b/>
                <w:lang w:val="en-IE"/>
              </w:rPr>
              <w:t>Standard</w:t>
            </w:r>
          </w:p>
        </w:tc>
        <w:tc>
          <w:tcPr>
            <w:tcW w:w="2536" w:type="dxa"/>
            <w:vAlign w:val="center"/>
          </w:tcPr>
          <w:p w14:paraId="36E77964" w14:textId="0F3BCC63" w:rsidR="004C53E7" w:rsidRPr="004C53E7" w:rsidRDefault="00922A92" w:rsidP="00EE2B7C">
            <w:pPr>
              <w:jc w:val="center"/>
              <w:rPr>
                <w:rFonts w:ascii="Calibri" w:hAnsi="Calibri" w:cs="Arial"/>
                <w:b/>
                <w:lang w:val="en-IE"/>
              </w:rPr>
            </w:pPr>
            <w:r>
              <w:rPr>
                <w:rFonts w:ascii="Calibri" w:hAnsi="Calibri" w:cs="Arial"/>
                <w:b/>
                <w:lang w:val="en-IE"/>
              </w:rPr>
              <w:t>CMC_05_20</w:t>
            </w:r>
          </w:p>
        </w:tc>
      </w:tr>
      <w:tr w:rsidR="004C53E7" w:rsidRPr="004C53E7" w14:paraId="1C1DAA38" w14:textId="77777777" w:rsidTr="0013032E">
        <w:trPr>
          <w:trHeight w:val="467"/>
        </w:trPr>
        <w:tc>
          <w:tcPr>
            <w:tcW w:w="9450" w:type="dxa"/>
            <w:gridSpan w:val="6"/>
            <w:shd w:val="clear" w:color="auto" w:fill="C6D9F1"/>
            <w:vAlign w:val="center"/>
          </w:tcPr>
          <w:p w14:paraId="5DE45855"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6C769B56" w14:textId="77777777" w:rsidTr="0013032E">
        <w:tc>
          <w:tcPr>
            <w:tcW w:w="2925" w:type="dxa"/>
            <w:gridSpan w:val="2"/>
            <w:vAlign w:val="center"/>
          </w:tcPr>
          <w:p w14:paraId="3917EB0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5A1413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764FBF9B"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028572BF" w14:textId="77777777" w:rsidTr="0013032E">
        <w:tc>
          <w:tcPr>
            <w:tcW w:w="2925" w:type="dxa"/>
            <w:gridSpan w:val="2"/>
            <w:vAlign w:val="center"/>
          </w:tcPr>
          <w:p w14:paraId="1D32202A" w14:textId="271A236A" w:rsidR="004C53E7" w:rsidRPr="004C53E7" w:rsidRDefault="00E21763" w:rsidP="00EE2B7C">
            <w:pPr>
              <w:jc w:val="center"/>
              <w:rPr>
                <w:rFonts w:ascii="Calibri" w:hAnsi="Calibri" w:cs="Arial"/>
                <w:b/>
                <w:lang w:val="en-IE"/>
              </w:rPr>
            </w:pPr>
            <w:r>
              <w:rPr>
                <w:rFonts w:ascii="Calibri" w:hAnsi="Calibri" w:cs="Arial"/>
                <w:b/>
                <w:lang w:val="en-IE"/>
              </w:rPr>
              <w:t>Utility Regulator</w:t>
            </w:r>
            <w:r w:rsidR="00CF199A">
              <w:rPr>
                <w:rFonts w:ascii="Calibri" w:hAnsi="Calibri" w:cs="Arial"/>
                <w:b/>
                <w:lang w:val="en-IE"/>
              </w:rPr>
              <w:t xml:space="preserve"> &amp; CRU</w:t>
            </w:r>
          </w:p>
        </w:tc>
        <w:tc>
          <w:tcPr>
            <w:tcW w:w="2925" w:type="dxa"/>
            <w:gridSpan w:val="2"/>
            <w:vAlign w:val="center"/>
          </w:tcPr>
          <w:p w14:paraId="2708B0B8" w14:textId="763EDF8A" w:rsidR="004C53E7" w:rsidRPr="004C53E7" w:rsidRDefault="004C53E7" w:rsidP="00EE2B7C">
            <w:pPr>
              <w:jc w:val="center"/>
              <w:rPr>
                <w:rFonts w:ascii="Calibri" w:hAnsi="Calibri" w:cs="Arial"/>
                <w:b/>
                <w:lang w:val="en-IE"/>
              </w:rPr>
            </w:pPr>
          </w:p>
        </w:tc>
        <w:tc>
          <w:tcPr>
            <w:tcW w:w="3600" w:type="dxa"/>
            <w:gridSpan w:val="2"/>
            <w:vAlign w:val="center"/>
          </w:tcPr>
          <w:p w14:paraId="6512AF4F" w14:textId="77777777" w:rsidR="00922A92" w:rsidRDefault="00922A92" w:rsidP="00355080">
            <w:pPr>
              <w:jc w:val="center"/>
            </w:pPr>
          </w:p>
          <w:p w14:paraId="137044EF" w14:textId="77777777" w:rsidR="00355080" w:rsidRDefault="00922A92" w:rsidP="00355080">
            <w:pPr>
              <w:jc w:val="center"/>
              <w:rPr>
                <w:rFonts w:ascii="Calibri" w:hAnsi="Calibri" w:cs="Arial"/>
                <w:b/>
                <w:lang w:val="en-IE"/>
              </w:rPr>
            </w:pPr>
            <w:hyperlink r:id="rId10" w:history="1">
              <w:r w:rsidR="007D5BDA" w:rsidRPr="00CC194A">
                <w:rPr>
                  <w:rStyle w:val="Hyperlink"/>
                  <w:rFonts w:ascii="Calibri" w:hAnsi="Calibri" w:cs="Arial"/>
                  <w:b/>
                  <w:lang w:val="en-IE"/>
                </w:rPr>
                <w:t>karen.shiels@uregni.gov.uk</w:t>
              </w:r>
            </w:hyperlink>
            <w:r w:rsidR="007D5BDA">
              <w:rPr>
                <w:rFonts w:ascii="Calibri" w:hAnsi="Calibri" w:cs="Arial"/>
                <w:b/>
                <w:lang w:val="en-IE"/>
              </w:rPr>
              <w:t xml:space="preserve"> </w:t>
            </w:r>
          </w:p>
          <w:p w14:paraId="11DA65F0" w14:textId="77777777" w:rsidR="00E21763" w:rsidRPr="004C53E7" w:rsidRDefault="00E21763" w:rsidP="00CF199A">
            <w:pPr>
              <w:jc w:val="center"/>
              <w:rPr>
                <w:rFonts w:ascii="Calibri" w:hAnsi="Calibri" w:cs="Arial"/>
                <w:b/>
                <w:lang w:val="en-IE"/>
              </w:rPr>
            </w:pPr>
          </w:p>
        </w:tc>
      </w:tr>
      <w:tr w:rsidR="004C53E7" w:rsidRPr="004C53E7" w14:paraId="27C36DAE" w14:textId="77777777" w:rsidTr="0013032E">
        <w:trPr>
          <w:trHeight w:val="327"/>
        </w:trPr>
        <w:tc>
          <w:tcPr>
            <w:tcW w:w="9450" w:type="dxa"/>
            <w:gridSpan w:val="6"/>
            <w:shd w:val="clear" w:color="auto" w:fill="C6D9F1"/>
            <w:vAlign w:val="center"/>
          </w:tcPr>
          <w:p w14:paraId="548FB29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0E4B2070" w14:textId="77777777" w:rsidTr="0013032E">
        <w:trPr>
          <w:trHeight w:val="323"/>
        </w:trPr>
        <w:tc>
          <w:tcPr>
            <w:tcW w:w="9450" w:type="dxa"/>
            <w:gridSpan w:val="6"/>
            <w:vAlign w:val="center"/>
          </w:tcPr>
          <w:p w14:paraId="0F536B61" w14:textId="77777777" w:rsidR="004C53E7" w:rsidRPr="00F2139A" w:rsidRDefault="007D5BDA" w:rsidP="007D5BDA">
            <w:pPr>
              <w:jc w:val="center"/>
              <w:rPr>
                <w:rFonts w:ascii="Calibri" w:hAnsi="Calibri" w:cs="Arial"/>
                <w:b/>
                <w:lang w:val="en-IE"/>
              </w:rPr>
            </w:pPr>
            <w:r>
              <w:rPr>
                <w:rFonts w:ascii="Calibri" w:hAnsi="Calibri" w:cs="Arial"/>
                <w:b/>
                <w:lang w:val="en-IE"/>
              </w:rPr>
              <w:t>Implement amendments as required by the Clean Energy Package Regulation EU 2019/943</w:t>
            </w:r>
          </w:p>
        </w:tc>
      </w:tr>
      <w:tr w:rsidR="004C53E7" w:rsidRPr="004C53E7" w14:paraId="5FCB7887" w14:textId="77777777" w:rsidTr="0013032E">
        <w:tc>
          <w:tcPr>
            <w:tcW w:w="2925" w:type="dxa"/>
            <w:gridSpan w:val="2"/>
            <w:shd w:val="clear" w:color="auto" w:fill="C6D9F1"/>
            <w:vAlign w:val="center"/>
          </w:tcPr>
          <w:p w14:paraId="7328250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62079AB"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06E87AF4"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1FC19059"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700B4548" w14:textId="77777777" w:rsidTr="0013032E">
        <w:tc>
          <w:tcPr>
            <w:tcW w:w="2925" w:type="dxa"/>
            <w:gridSpan w:val="2"/>
            <w:shd w:val="clear" w:color="auto" w:fill="FFFFFF"/>
            <w:vAlign w:val="center"/>
          </w:tcPr>
          <w:p w14:paraId="57027A92" w14:textId="49C17125" w:rsidR="007D5BDA" w:rsidRPr="004C53E7" w:rsidDel="00476388" w:rsidRDefault="007D5BDA" w:rsidP="00655845">
            <w:pPr>
              <w:jc w:val="center"/>
              <w:rPr>
                <w:rFonts w:ascii="Calibri" w:hAnsi="Calibri" w:cs="Arial"/>
                <w:b/>
                <w:lang w:val="en-IE"/>
              </w:rPr>
            </w:pPr>
            <w:r>
              <w:rPr>
                <w:rFonts w:ascii="Calibri" w:hAnsi="Calibri" w:cs="Arial"/>
                <w:b/>
                <w:lang w:val="en-IE"/>
              </w:rPr>
              <w:t>SEM Capacity Market Code</w:t>
            </w:r>
          </w:p>
        </w:tc>
        <w:tc>
          <w:tcPr>
            <w:tcW w:w="2925" w:type="dxa"/>
            <w:gridSpan w:val="2"/>
            <w:vAlign w:val="center"/>
          </w:tcPr>
          <w:p w14:paraId="152527C8" w14:textId="6321FB88" w:rsidR="004C53E7" w:rsidRPr="004C53E7" w:rsidRDefault="00655845" w:rsidP="000069DF">
            <w:pPr>
              <w:jc w:val="center"/>
              <w:rPr>
                <w:rFonts w:ascii="Calibri" w:hAnsi="Calibri" w:cs="Arial"/>
                <w:b/>
                <w:lang w:val="en-IE"/>
              </w:rPr>
            </w:pPr>
            <w:r w:rsidRPr="00655845">
              <w:rPr>
                <w:rFonts w:ascii="Calibri" w:hAnsi="Calibri" w:cs="Arial"/>
                <w:b/>
                <w:lang w:val="en-IE"/>
              </w:rPr>
              <w:t>Various</w:t>
            </w:r>
          </w:p>
        </w:tc>
        <w:tc>
          <w:tcPr>
            <w:tcW w:w="3600" w:type="dxa"/>
            <w:gridSpan w:val="2"/>
            <w:vAlign w:val="center"/>
          </w:tcPr>
          <w:p w14:paraId="4D73D6FB" w14:textId="77777777" w:rsidR="004C53E7" w:rsidRPr="004C53E7" w:rsidRDefault="007D5BDA" w:rsidP="00EE2B7C">
            <w:pPr>
              <w:jc w:val="center"/>
              <w:rPr>
                <w:rFonts w:ascii="Calibri" w:hAnsi="Calibri" w:cs="Arial"/>
                <w:b/>
                <w:lang w:val="en-IE"/>
              </w:rPr>
            </w:pPr>
            <w:r>
              <w:rPr>
                <w:rFonts w:ascii="Calibri" w:hAnsi="Calibri" w:cs="Arial"/>
                <w:b/>
                <w:lang w:val="en-IE"/>
              </w:rPr>
              <w:t>Version 3 10 October 2019</w:t>
            </w:r>
          </w:p>
        </w:tc>
      </w:tr>
      <w:tr w:rsidR="004C53E7" w:rsidRPr="004C53E7" w14:paraId="0F76D0AB" w14:textId="77777777" w:rsidTr="0013032E">
        <w:trPr>
          <w:trHeight w:val="375"/>
        </w:trPr>
        <w:tc>
          <w:tcPr>
            <w:tcW w:w="9450" w:type="dxa"/>
            <w:gridSpan w:val="6"/>
            <w:shd w:val="clear" w:color="auto" w:fill="C6D9F1"/>
            <w:vAlign w:val="center"/>
          </w:tcPr>
          <w:p w14:paraId="7B6DBCC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3BF05EEF"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5DD9A0B5" w14:textId="77777777" w:rsidTr="0013032E">
        <w:trPr>
          <w:trHeight w:val="467"/>
        </w:trPr>
        <w:tc>
          <w:tcPr>
            <w:tcW w:w="9450" w:type="dxa"/>
            <w:gridSpan w:val="6"/>
            <w:vAlign w:val="center"/>
          </w:tcPr>
          <w:p w14:paraId="5C2FDB6E" w14:textId="77777777" w:rsidR="007D5BDA" w:rsidRDefault="007D5BDA" w:rsidP="007D5BDA">
            <w:pPr>
              <w:pStyle w:val="Default"/>
              <w:rPr>
                <w:sz w:val="22"/>
                <w:szCs w:val="22"/>
              </w:rPr>
            </w:pPr>
            <w:r>
              <w:rPr>
                <w:sz w:val="22"/>
                <w:szCs w:val="22"/>
              </w:rPr>
              <w:t>The Energy Regulation (EU 2019/943), which forms part of the Clean Energy Package (CEP) came into force on 4 July 2019.  Chapter 4 of the Regulation sets</w:t>
            </w:r>
            <w:r w:rsidR="004566DA">
              <w:rPr>
                <w:sz w:val="22"/>
                <w:szCs w:val="22"/>
              </w:rPr>
              <w:t xml:space="preserve"> out specific requirements for resource a</w:t>
            </w:r>
            <w:r>
              <w:rPr>
                <w:sz w:val="22"/>
                <w:szCs w:val="22"/>
              </w:rPr>
              <w:t>dequacy, including the general principles and design principles of any capacity mechanism.</w:t>
            </w:r>
          </w:p>
          <w:p w14:paraId="3301E45A" w14:textId="77777777" w:rsidR="004566DA" w:rsidRDefault="004566DA" w:rsidP="007D5BDA">
            <w:pPr>
              <w:pStyle w:val="Default"/>
              <w:rPr>
                <w:sz w:val="22"/>
                <w:szCs w:val="22"/>
              </w:rPr>
            </w:pPr>
          </w:p>
          <w:p w14:paraId="6AA21EEB" w14:textId="1D1E7B6D" w:rsidR="004566DA" w:rsidRDefault="004566DA" w:rsidP="007D5BDA">
            <w:pPr>
              <w:pStyle w:val="Default"/>
              <w:rPr>
                <w:sz w:val="22"/>
                <w:szCs w:val="22"/>
              </w:rPr>
            </w:pPr>
            <w:r>
              <w:rPr>
                <w:sz w:val="22"/>
                <w:szCs w:val="22"/>
              </w:rPr>
              <w:t>This Regulation impacts on the capacity auctions which take place after 31 December 2019,</w:t>
            </w:r>
            <w:r w:rsidR="00655845">
              <w:rPr>
                <w:sz w:val="22"/>
                <w:szCs w:val="22"/>
              </w:rPr>
              <w:t xml:space="preserve"> </w:t>
            </w:r>
            <w:r>
              <w:rPr>
                <w:sz w:val="22"/>
                <w:szCs w:val="22"/>
              </w:rPr>
              <w:t xml:space="preserve"> commencing with the T-4 CY2023/24 capacity auction.  The process for this capacity auction is well un</w:t>
            </w:r>
            <w:r w:rsidR="003B465E">
              <w:rPr>
                <w:sz w:val="22"/>
                <w:szCs w:val="22"/>
              </w:rPr>
              <w:t>derway and so this modification</w:t>
            </w:r>
            <w:r>
              <w:rPr>
                <w:sz w:val="22"/>
                <w:szCs w:val="22"/>
              </w:rPr>
              <w:t xml:space="preserve"> is focused on </w:t>
            </w:r>
            <w:r w:rsidRPr="00FE3913">
              <w:rPr>
                <w:sz w:val="22"/>
                <w:szCs w:val="22"/>
              </w:rPr>
              <w:t>this imminent capacity auction</w:t>
            </w:r>
            <w:r w:rsidR="003B465E" w:rsidRPr="00FE3913">
              <w:rPr>
                <w:sz w:val="22"/>
                <w:szCs w:val="22"/>
              </w:rPr>
              <w:t xml:space="preserve"> together with updating the qualification requirements for future auctions.</w:t>
            </w:r>
            <w:r>
              <w:rPr>
                <w:sz w:val="22"/>
                <w:szCs w:val="22"/>
              </w:rPr>
              <w:t xml:space="preserve"> </w:t>
            </w:r>
          </w:p>
          <w:p w14:paraId="68890F7C" w14:textId="77777777" w:rsidR="007D5BDA" w:rsidRDefault="007D5BDA" w:rsidP="007D5BDA">
            <w:pPr>
              <w:pStyle w:val="Default"/>
              <w:rPr>
                <w:sz w:val="22"/>
                <w:szCs w:val="22"/>
              </w:rPr>
            </w:pPr>
          </w:p>
          <w:p w14:paraId="6D23FA63" w14:textId="77777777" w:rsidR="007D5BDA" w:rsidRDefault="007D5BDA" w:rsidP="007D5BDA">
            <w:pPr>
              <w:pStyle w:val="Default"/>
              <w:rPr>
                <w:sz w:val="22"/>
                <w:szCs w:val="22"/>
              </w:rPr>
            </w:pPr>
            <w:r>
              <w:rPr>
                <w:sz w:val="22"/>
                <w:szCs w:val="22"/>
              </w:rPr>
              <w:t>The key focus of this modification is in relation to Article 22 (4) and (5) of the Regulation which states:</w:t>
            </w:r>
          </w:p>
          <w:p w14:paraId="184988DA" w14:textId="77777777" w:rsidR="007D5BDA" w:rsidRDefault="007D5BDA" w:rsidP="007D5BDA">
            <w:pPr>
              <w:pStyle w:val="Default"/>
              <w:rPr>
                <w:sz w:val="22"/>
                <w:szCs w:val="22"/>
              </w:rPr>
            </w:pPr>
          </w:p>
          <w:p w14:paraId="5813C16D" w14:textId="77777777" w:rsidR="007D5BDA" w:rsidRPr="008A39C0" w:rsidRDefault="007D5BDA" w:rsidP="007D5BDA">
            <w:pPr>
              <w:pStyle w:val="Default"/>
              <w:rPr>
                <w:i/>
                <w:sz w:val="20"/>
                <w:szCs w:val="20"/>
              </w:rPr>
            </w:pPr>
            <w:r w:rsidRPr="008A39C0">
              <w:rPr>
                <w:i/>
                <w:sz w:val="20"/>
                <w:szCs w:val="20"/>
              </w:rPr>
              <w:t xml:space="preserve">“4.     Capacity mechanisms shall incorporate the following requirements regarding CO2   emission limits: </w:t>
            </w:r>
          </w:p>
          <w:p w14:paraId="08F04F36" w14:textId="77777777" w:rsidR="007D5BDA" w:rsidRPr="008A39C0" w:rsidRDefault="007D5BDA" w:rsidP="007D5BDA">
            <w:pPr>
              <w:pStyle w:val="Default"/>
              <w:rPr>
                <w:i/>
                <w:sz w:val="20"/>
                <w:szCs w:val="20"/>
              </w:rPr>
            </w:pPr>
          </w:p>
          <w:p w14:paraId="061B9194" w14:textId="77777777" w:rsidR="007D5BDA" w:rsidRPr="008A39C0" w:rsidRDefault="007D5BDA" w:rsidP="007D5BDA">
            <w:pPr>
              <w:pStyle w:val="Default"/>
              <w:numPr>
                <w:ilvl w:val="0"/>
                <w:numId w:val="41"/>
              </w:numPr>
              <w:rPr>
                <w:i/>
                <w:sz w:val="20"/>
                <w:szCs w:val="20"/>
              </w:rPr>
            </w:pPr>
            <w:r w:rsidRPr="008A39C0">
              <w:rPr>
                <w:i/>
                <w:sz w:val="20"/>
                <w:szCs w:val="20"/>
              </w:rPr>
              <w:t xml:space="preserve">from 4 July 2019 at the latest, generation capacity that started commercial production on or after that date and that emits more than 550 g of CO2 of fossil fuel origin per kWh of electricity shall not be committed or to receive payments or commitments for future payments under a capacity mechanism; </w:t>
            </w:r>
          </w:p>
          <w:p w14:paraId="6AAC8EC3" w14:textId="77777777" w:rsidR="007D5BDA" w:rsidRPr="008A39C0" w:rsidRDefault="007D5BDA" w:rsidP="007D5BDA">
            <w:pPr>
              <w:pStyle w:val="Default"/>
              <w:ind w:left="720"/>
              <w:rPr>
                <w:i/>
                <w:sz w:val="20"/>
                <w:szCs w:val="20"/>
              </w:rPr>
            </w:pPr>
          </w:p>
          <w:p w14:paraId="78EDD149" w14:textId="77777777" w:rsidR="007D5BDA" w:rsidRPr="008A39C0" w:rsidRDefault="007D5BDA" w:rsidP="007D5BDA">
            <w:pPr>
              <w:pStyle w:val="Default"/>
              <w:numPr>
                <w:ilvl w:val="0"/>
                <w:numId w:val="41"/>
              </w:numPr>
              <w:rPr>
                <w:i/>
                <w:sz w:val="20"/>
                <w:szCs w:val="20"/>
              </w:rPr>
            </w:pPr>
            <w:r w:rsidRPr="008A39C0">
              <w:rPr>
                <w:i/>
                <w:sz w:val="20"/>
                <w:szCs w:val="20"/>
              </w:rPr>
              <w:t xml:space="preserve">(b) from 1 July 2025 at the latest, generation capacity that started commercial production before 4 July 2019 and that emits more than 550 g of CO2 of fossil fuel origin per kWh of electricity and more than 350 kg CO2 of fossil fuel origin on average per year per installed kWe shall not be committed or receive payments or commitments for future payments under a capacity mechanism. </w:t>
            </w:r>
          </w:p>
          <w:p w14:paraId="5682E6C9" w14:textId="77777777" w:rsidR="007D5BDA" w:rsidRPr="008A39C0" w:rsidRDefault="007D5BDA" w:rsidP="007D5BDA">
            <w:pPr>
              <w:pStyle w:val="ListParagraph"/>
              <w:rPr>
                <w:i/>
              </w:rPr>
            </w:pPr>
          </w:p>
          <w:p w14:paraId="76DCA43A" w14:textId="77777777" w:rsidR="007D5BDA" w:rsidRPr="008A39C0" w:rsidRDefault="007D5BDA" w:rsidP="007D5BDA">
            <w:pPr>
              <w:pStyle w:val="Default"/>
              <w:rPr>
                <w:i/>
                <w:sz w:val="20"/>
                <w:szCs w:val="20"/>
              </w:rPr>
            </w:pPr>
            <w:r w:rsidRPr="008A39C0">
              <w:rPr>
                <w:i/>
                <w:sz w:val="20"/>
                <w:szCs w:val="20"/>
              </w:rPr>
              <w:t xml:space="preserve">The emission limit of 550 g CO2 of fossil fuel origin per kWh of electricity and the limit of 350 kg CO2 of fossil fuel origin on average per year per installed kWe referred to in points (a) and (b) of the first subparagraph shall be calculated on the basis of the design efficiency of the generation unit meaning the net efficiency at nominal capacity under the relevant standards provided for by the International Organization for Standardization. </w:t>
            </w:r>
          </w:p>
          <w:p w14:paraId="099544E7" w14:textId="77777777" w:rsidR="007D5BDA" w:rsidRPr="008A39C0" w:rsidRDefault="007D5BDA" w:rsidP="007D5BDA">
            <w:pPr>
              <w:pStyle w:val="ListParagraph"/>
              <w:rPr>
                <w:i/>
              </w:rPr>
            </w:pPr>
          </w:p>
          <w:p w14:paraId="3E8100E6" w14:textId="77777777" w:rsidR="007D5BDA" w:rsidRPr="008A39C0" w:rsidRDefault="007D5BDA" w:rsidP="007D5BDA">
            <w:pPr>
              <w:pStyle w:val="Default"/>
              <w:rPr>
                <w:i/>
                <w:sz w:val="20"/>
                <w:szCs w:val="20"/>
              </w:rPr>
            </w:pPr>
            <w:r w:rsidRPr="008A39C0">
              <w:rPr>
                <w:i/>
                <w:sz w:val="20"/>
                <w:szCs w:val="20"/>
              </w:rPr>
              <w:t xml:space="preserve">By 5 January 2020, ACER shall publish an opinion providing technical guidance related to the calculation of the values referred in the first subparagraph. </w:t>
            </w:r>
          </w:p>
          <w:p w14:paraId="760C4D1F" w14:textId="77777777" w:rsidR="007D5BDA" w:rsidRPr="008A39C0" w:rsidRDefault="007D5BDA" w:rsidP="007D5BDA">
            <w:pPr>
              <w:pStyle w:val="Default"/>
              <w:rPr>
                <w:i/>
                <w:sz w:val="20"/>
                <w:szCs w:val="20"/>
              </w:rPr>
            </w:pPr>
          </w:p>
          <w:p w14:paraId="50F788BC" w14:textId="77777777" w:rsidR="007D5BDA" w:rsidRPr="008A39C0" w:rsidRDefault="007D5BDA" w:rsidP="007D5BDA">
            <w:pPr>
              <w:pStyle w:val="Default"/>
              <w:rPr>
                <w:i/>
                <w:sz w:val="20"/>
                <w:szCs w:val="20"/>
              </w:rPr>
            </w:pPr>
            <w:r w:rsidRPr="008A39C0">
              <w:rPr>
                <w:i/>
                <w:sz w:val="20"/>
                <w:szCs w:val="20"/>
              </w:rPr>
              <w:lastRenderedPageBreak/>
              <w:t>5.       Member States that apply capacity mechanisms on 4 July 2019 shall adapt their mechanisms to comply with Chapter 4 without prejudice to commitments or contracts concluded by 31 December 2019.”</w:t>
            </w:r>
          </w:p>
          <w:p w14:paraId="4345727B" w14:textId="77777777" w:rsidR="007D5BDA" w:rsidRDefault="007D5BDA" w:rsidP="007D5BDA">
            <w:pPr>
              <w:pStyle w:val="Default"/>
              <w:rPr>
                <w:sz w:val="20"/>
                <w:szCs w:val="20"/>
              </w:rPr>
            </w:pPr>
          </w:p>
          <w:p w14:paraId="5A45BEE2" w14:textId="77777777" w:rsidR="007D5BDA" w:rsidRPr="008A39C0" w:rsidRDefault="003B465E" w:rsidP="007D5BDA">
            <w:pPr>
              <w:pStyle w:val="Default"/>
              <w:rPr>
                <w:sz w:val="22"/>
                <w:szCs w:val="22"/>
              </w:rPr>
            </w:pPr>
            <w:r>
              <w:rPr>
                <w:sz w:val="22"/>
                <w:szCs w:val="22"/>
              </w:rPr>
              <w:t xml:space="preserve">The ACER technical guidance referred to in the extract of the Regulations above was published on 19 December 2019.  </w:t>
            </w:r>
          </w:p>
          <w:p w14:paraId="40B8DB03" w14:textId="77777777" w:rsidR="00584447" w:rsidRDefault="00584447" w:rsidP="00584447">
            <w:pPr>
              <w:pStyle w:val="Default"/>
              <w:rPr>
                <w:sz w:val="22"/>
                <w:szCs w:val="22"/>
              </w:rPr>
            </w:pPr>
          </w:p>
          <w:p w14:paraId="0EB6E60C" w14:textId="77777777" w:rsidR="00212FCF" w:rsidRDefault="007C4D9E" w:rsidP="00584447">
            <w:pPr>
              <w:pStyle w:val="Default"/>
              <w:rPr>
                <w:sz w:val="22"/>
                <w:szCs w:val="22"/>
              </w:rPr>
            </w:pPr>
            <w:r w:rsidRPr="007C4D9E">
              <w:rPr>
                <w:sz w:val="22"/>
                <w:szCs w:val="22"/>
              </w:rPr>
              <w:t>The</w:t>
            </w:r>
            <w:r>
              <w:rPr>
                <w:sz w:val="22"/>
                <w:szCs w:val="22"/>
              </w:rPr>
              <w:t xml:space="preserve"> purpose of the Article 22 (4) of Regulation 2019/943 in the context of the EU Clean Energy Package, is to facilitate a transition towards a more environmentally sustainable electricity system. </w:t>
            </w:r>
          </w:p>
          <w:p w14:paraId="19A419AD" w14:textId="77777777" w:rsidR="007C4D9E" w:rsidRDefault="007C4D9E" w:rsidP="00584447">
            <w:pPr>
              <w:pStyle w:val="Default"/>
              <w:rPr>
                <w:sz w:val="22"/>
                <w:szCs w:val="22"/>
              </w:rPr>
            </w:pPr>
          </w:p>
          <w:p w14:paraId="2461D2DF" w14:textId="5104B369" w:rsidR="00FE3913" w:rsidRDefault="00FE3913" w:rsidP="00584447">
            <w:pPr>
              <w:pStyle w:val="Default"/>
              <w:rPr>
                <w:sz w:val="22"/>
                <w:szCs w:val="22"/>
              </w:rPr>
            </w:pPr>
            <w:r>
              <w:rPr>
                <w:sz w:val="22"/>
                <w:szCs w:val="22"/>
              </w:rPr>
              <w:t>As the T-4 CY2023/24 qualification process is due to be completed early April 2020, the focus for this auction is on the obligations for awarded capacity, minimum completion and substantial completion.</w:t>
            </w:r>
          </w:p>
          <w:p w14:paraId="3C63A6A6" w14:textId="77777777" w:rsidR="00FE3913" w:rsidRDefault="00FE3913" w:rsidP="00584447">
            <w:pPr>
              <w:pStyle w:val="Default"/>
              <w:rPr>
                <w:sz w:val="22"/>
                <w:szCs w:val="22"/>
              </w:rPr>
            </w:pPr>
          </w:p>
          <w:p w14:paraId="55FD1089" w14:textId="5390EAD4" w:rsidR="00FE3913" w:rsidRDefault="00FE3913" w:rsidP="00584447">
            <w:pPr>
              <w:pStyle w:val="Default"/>
              <w:rPr>
                <w:sz w:val="22"/>
                <w:szCs w:val="22"/>
              </w:rPr>
            </w:pPr>
            <w:r>
              <w:rPr>
                <w:sz w:val="22"/>
                <w:szCs w:val="22"/>
              </w:rPr>
              <w:t xml:space="preserve">To assist with future auctions, commencing with the T-4 CY2024/25 scheduled for January 2021, the focus of this modification is on the development of a CO2 Limits Methodology and various qualifications requirements. </w:t>
            </w:r>
          </w:p>
          <w:p w14:paraId="2DB8C4C7" w14:textId="77777777" w:rsidR="00FE3913" w:rsidRDefault="00FE3913" w:rsidP="00584447">
            <w:pPr>
              <w:pStyle w:val="Default"/>
              <w:rPr>
                <w:sz w:val="22"/>
                <w:szCs w:val="22"/>
              </w:rPr>
            </w:pPr>
          </w:p>
          <w:p w14:paraId="4779C7FB" w14:textId="144F3806" w:rsidR="007C4D9E" w:rsidRPr="007C4D9E" w:rsidRDefault="007C4D9E" w:rsidP="00584447">
            <w:pPr>
              <w:pStyle w:val="Default"/>
              <w:rPr>
                <w:sz w:val="22"/>
                <w:szCs w:val="22"/>
              </w:rPr>
            </w:pPr>
            <w:r>
              <w:rPr>
                <w:sz w:val="22"/>
                <w:szCs w:val="22"/>
              </w:rPr>
              <w:t>The Regulation impacts on a number of sections of the Code and each section is identified in the legal drafting section below.</w:t>
            </w:r>
            <w:r w:rsidR="00FE3913">
              <w:rPr>
                <w:sz w:val="22"/>
                <w:szCs w:val="22"/>
              </w:rPr>
              <w:t xml:space="preserve"> </w:t>
            </w:r>
          </w:p>
          <w:p w14:paraId="25F9C2A0" w14:textId="77777777" w:rsidR="00212FCF" w:rsidRDefault="00212FCF" w:rsidP="00584447">
            <w:pPr>
              <w:pStyle w:val="Default"/>
              <w:rPr>
                <w:sz w:val="22"/>
                <w:szCs w:val="22"/>
                <w:highlight w:val="yellow"/>
              </w:rPr>
            </w:pPr>
          </w:p>
          <w:p w14:paraId="79AC30D0" w14:textId="77777777" w:rsidR="00BC24D9" w:rsidRPr="0013032E" w:rsidRDefault="00BC24D9" w:rsidP="007C4D9E">
            <w:pPr>
              <w:pStyle w:val="Default"/>
              <w:rPr>
                <w:bCs/>
              </w:rPr>
            </w:pPr>
          </w:p>
        </w:tc>
      </w:tr>
      <w:tr w:rsidR="004C53E7" w:rsidRPr="004C53E7" w:rsidDel="00404964" w14:paraId="079D7DB5" w14:textId="77777777" w:rsidTr="0013032E">
        <w:tc>
          <w:tcPr>
            <w:tcW w:w="9450" w:type="dxa"/>
            <w:gridSpan w:val="6"/>
            <w:shd w:val="clear" w:color="auto" w:fill="C6D9F1"/>
            <w:vAlign w:val="center"/>
          </w:tcPr>
          <w:p w14:paraId="00F7376B"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2715BA6C"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69927FBC" w14:textId="77777777" w:rsidTr="0013032E">
        <w:tc>
          <w:tcPr>
            <w:tcW w:w="9450" w:type="dxa"/>
            <w:gridSpan w:val="6"/>
            <w:vAlign w:val="center"/>
          </w:tcPr>
          <w:p w14:paraId="37AE53D5" w14:textId="03416467" w:rsidR="00655845" w:rsidRPr="00072469" w:rsidRDefault="00655845" w:rsidP="00655845">
            <w:pPr>
              <w:rPr>
                <w:i/>
                <w:iCs/>
              </w:rPr>
            </w:pPr>
            <w:r w:rsidRPr="00072469">
              <w:rPr>
                <w:i/>
                <w:iCs/>
              </w:rPr>
              <w:t>Add to Glossary</w:t>
            </w:r>
          </w:p>
          <w:p w14:paraId="77DF7076" w14:textId="77777777" w:rsidR="004A4F21" w:rsidRDefault="00655845" w:rsidP="00655845">
            <w:pPr>
              <w:overflowPunct/>
              <w:autoSpaceDE/>
              <w:autoSpaceDN/>
              <w:adjustRightInd/>
              <w:spacing w:before="120" w:after="120"/>
              <w:ind w:left="1440" w:hanging="1440"/>
              <w:jc w:val="both"/>
              <w:textAlignment w:val="auto"/>
              <w:rPr>
                <w:rFonts w:ascii="Arial" w:hAnsi="Arial" w:cs="Arial"/>
              </w:rPr>
            </w:pPr>
            <w:r w:rsidRPr="00B94883">
              <w:rPr>
                <w:rFonts w:ascii="Arial" w:hAnsi="Arial" w:cs="Arial"/>
                <w:b/>
                <w:bCs/>
              </w:rPr>
              <w:t>CO2 Limits</w:t>
            </w:r>
            <w:r w:rsidRPr="00B94883">
              <w:rPr>
                <w:rFonts w:ascii="Arial" w:hAnsi="Arial" w:cs="Arial"/>
                <w:b/>
                <w:bCs/>
              </w:rPr>
              <w:tab/>
            </w:r>
            <w:r w:rsidRPr="00B94883">
              <w:rPr>
                <w:rFonts w:ascii="Arial" w:hAnsi="Arial" w:cs="Arial"/>
              </w:rPr>
              <w:t>means the limits on CO2 emissions which apply in relation to participation in capacity mechanisms as set out in Article 22(4) of Regulation 2019/943/EU and as further elaborated in ACER Opinion 22/2019.</w:t>
            </w:r>
          </w:p>
          <w:p w14:paraId="0EC2856B" w14:textId="77777777" w:rsidR="008674D9" w:rsidRDefault="008674D9" w:rsidP="008674D9">
            <w:pPr>
              <w:rPr>
                <w:i/>
                <w:iCs/>
              </w:rPr>
            </w:pPr>
          </w:p>
          <w:p w14:paraId="57850F12" w14:textId="77777777" w:rsidR="008674D9" w:rsidRDefault="008674D9" w:rsidP="00655845">
            <w:pPr>
              <w:ind w:left="1440" w:hanging="1440"/>
              <w:rPr>
                <w:i/>
                <w:iCs/>
              </w:rPr>
            </w:pPr>
          </w:p>
          <w:p w14:paraId="6EB6EBC5" w14:textId="77777777" w:rsidR="00655845" w:rsidRPr="00072469" w:rsidRDefault="00655845" w:rsidP="00655845">
            <w:pPr>
              <w:ind w:left="1440" w:hanging="1440"/>
              <w:rPr>
                <w:i/>
                <w:iCs/>
              </w:rPr>
            </w:pPr>
            <w:r w:rsidRPr="00072469">
              <w:rPr>
                <w:i/>
                <w:iCs/>
              </w:rPr>
              <w:t>Add new para E.2.1.6:</w:t>
            </w:r>
          </w:p>
          <w:p w14:paraId="51EA5388" w14:textId="7A7FC871" w:rsidR="00655845" w:rsidRDefault="00655845" w:rsidP="00E56EC7">
            <w:pPr>
              <w:overflowPunct/>
              <w:autoSpaceDE/>
              <w:autoSpaceDN/>
              <w:adjustRightInd/>
              <w:spacing w:before="120" w:after="120"/>
              <w:ind w:left="862" w:hanging="851"/>
              <w:jc w:val="both"/>
              <w:textAlignment w:val="auto"/>
              <w:rPr>
                <w:rFonts w:ascii="Arial" w:hAnsi="Arial" w:cs="Arial"/>
              </w:rPr>
            </w:pPr>
            <w:bookmarkStart w:id="1" w:name="_Ref467493626"/>
            <w:bookmarkStart w:id="2" w:name="_Ref482520789"/>
            <w:r w:rsidRPr="00E56EC7">
              <w:rPr>
                <w:rFonts w:ascii="Arial" w:hAnsi="Arial" w:cs="Arial"/>
                <w:lang w:val="en-IE"/>
              </w:rPr>
              <w:t>E.2.1.6</w:t>
            </w:r>
            <w:r>
              <w:rPr>
                <w:lang w:val="en-IE"/>
              </w:rPr>
              <w:tab/>
            </w:r>
            <w:r w:rsidRPr="00655845">
              <w:rPr>
                <w:rFonts w:ascii="Arial" w:hAnsi="Arial" w:cs="Arial"/>
                <w:lang w:val="en-IE"/>
              </w:rPr>
              <w:t>A Participant with a Candidate Unit that does not, or will not, comply with the CO2 Limits</w:t>
            </w:r>
            <w:bookmarkEnd w:id="1"/>
            <w:bookmarkEnd w:id="2"/>
            <w:r w:rsidRPr="00655845">
              <w:rPr>
                <w:rFonts w:ascii="Arial" w:hAnsi="Arial" w:cs="Arial"/>
                <w:lang w:val="en-IE"/>
              </w:rPr>
              <w:t xml:space="preserve"> shall not </w:t>
            </w:r>
            <w:r w:rsidRPr="00655845">
              <w:rPr>
                <w:rFonts w:ascii="Arial" w:hAnsi="Arial" w:cs="Arial"/>
              </w:rPr>
              <w:t>apply for the Candidate Unit to be Qualified in a Qualification Process.</w:t>
            </w:r>
          </w:p>
          <w:p w14:paraId="27867F8D" w14:textId="77777777" w:rsidR="00E56EC7" w:rsidRDefault="00E56EC7" w:rsidP="00655845">
            <w:pPr>
              <w:overflowPunct/>
              <w:autoSpaceDE/>
              <w:autoSpaceDN/>
              <w:adjustRightInd/>
              <w:spacing w:before="120" w:after="120"/>
              <w:ind w:left="1440" w:hanging="1440"/>
              <w:jc w:val="both"/>
              <w:textAlignment w:val="auto"/>
              <w:rPr>
                <w:rFonts w:ascii="Arial" w:hAnsi="Arial" w:cs="Arial"/>
              </w:rPr>
            </w:pPr>
          </w:p>
          <w:p w14:paraId="7B153FCE" w14:textId="77777777" w:rsidR="00E56EC7" w:rsidRDefault="00E56EC7" w:rsidP="00E56EC7">
            <w:pPr>
              <w:ind w:left="1440" w:hanging="1440"/>
              <w:rPr>
                <w:i/>
                <w:iCs/>
              </w:rPr>
            </w:pPr>
            <w:r w:rsidRPr="00072469">
              <w:rPr>
                <w:i/>
                <w:iCs/>
              </w:rPr>
              <w:t>Add a new para E.7.2.3:</w:t>
            </w:r>
          </w:p>
          <w:p w14:paraId="6DD7FB25" w14:textId="793DBF6A" w:rsidR="00E56EC7" w:rsidRDefault="00E56EC7" w:rsidP="00E56EC7">
            <w:pPr>
              <w:overflowPunct/>
              <w:autoSpaceDE/>
              <w:autoSpaceDN/>
              <w:adjustRightInd/>
              <w:spacing w:before="120" w:after="120"/>
              <w:ind w:left="862" w:hanging="862"/>
              <w:jc w:val="both"/>
              <w:textAlignment w:val="auto"/>
              <w:rPr>
                <w:rFonts w:ascii="Arial" w:hAnsi="Arial" w:cs="Arial"/>
                <w:lang w:val="en-GB"/>
              </w:rPr>
            </w:pPr>
            <w:r w:rsidRPr="00E56EC7">
              <w:rPr>
                <w:rFonts w:ascii="Arial" w:hAnsi="Arial" w:cs="Arial"/>
                <w:lang w:val="en-GB"/>
              </w:rPr>
              <w:t>E.7.2.3</w:t>
            </w:r>
            <w:r>
              <w:rPr>
                <w:lang w:val="en-GB"/>
              </w:rPr>
              <w:tab/>
            </w:r>
            <w:r w:rsidRPr="00E56EC7">
              <w:rPr>
                <w:rFonts w:ascii="Arial" w:hAnsi="Arial" w:cs="Arial"/>
                <w:lang w:val="en-GB"/>
              </w:rPr>
              <w:t>The System Operators shall reject an Application for Qualification for a Capacity Year in respect of each Candidate Unit, or each Generator Unit forming part of each Candidate Unit, which does not, or will not, comply with the CO2 Limits</w:t>
            </w:r>
            <w:r>
              <w:rPr>
                <w:rFonts w:ascii="Arial" w:hAnsi="Arial" w:cs="Arial"/>
                <w:lang w:val="en-GB"/>
              </w:rPr>
              <w:t>.</w:t>
            </w:r>
          </w:p>
          <w:p w14:paraId="164B771A" w14:textId="77777777" w:rsidR="00E56EC7" w:rsidRDefault="00E56EC7" w:rsidP="00E56EC7">
            <w:pPr>
              <w:ind w:left="1440" w:hanging="1440"/>
              <w:rPr>
                <w:i/>
                <w:iCs/>
              </w:rPr>
            </w:pPr>
          </w:p>
          <w:p w14:paraId="33151C08" w14:textId="77777777" w:rsidR="00E56EC7" w:rsidRDefault="00E56EC7" w:rsidP="00E56EC7">
            <w:pPr>
              <w:ind w:left="1440" w:hanging="1440"/>
              <w:rPr>
                <w:i/>
                <w:iCs/>
              </w:rPr>
            </w:pPr>
            <w:r w:rsidRPr="00072469">
              <w:rPr>
                <w:i/>
                <w:iCs/>
              </w:rPr>
              <w:t>Add new para</w:t>
            </w:r>
            <w:r>
              <w:rPr>
                <w:i/>
                <w:iCs/>
              </w:rPr>
              <w:t>s</w:t>
            </w:r>
            <w:r w:rsidRPr="00072469">
              <w:rPr>
                <w:i/>
                <w:iCs/>
              </w:rPr>
              <w:t xml:space="preserve"> E.7.</w:t>
            </w:r>
            <w:r>
              <w:rPr>
                <w:i/>
                <w:iCs/>
              </w:rPr>
              <w:t>4.4</w:t>
            </w:r>
            <w:r w:rsidRPr="00072469">
              <w:rPr>
                <w:i/>
                <w:iCs/>
              </w:rPr>
              <w:t>:</w:t>
            </w:r>
          </w:p>
          <w:p w14:paraId="4631D1A3" w14:textId="004442E5" w:rsidR="008C4DE3" w:rsidRDefault="00E56EC7" w:rsidP="008C4DE3">
            <w:pPr>
              <w:pStyle w:val="CERLEVEL4"/>
              <w:numPr>
                <w:ilvl w:val="0"/>
                <w:numId w:val="0"/>
              </w:numPr>
              <w:ind w:left="851" w:hanging="851"/>
              <w:rPr>
                <w:rFonts w:cs="Arial"/>
                <w:sz w:val="20"/>
                <w:szCs w:val="20"/>
                <w:lang w:val="en-GB"/>
              </w:rPr>
            </w:pPr>
            <w:r w:rsidRPr="00E56EC7">
              <w:rPr>
                <w:rFonts w:cs="Arial"/>
                <w:sz w:val="20"/>
                <w:szCs w:val="20"/>
              </w:rPr>
              <w:t>E.7.4.4</w:t>
            </w:r>
            <w:r w:rsidRPr="00E56EC7">
              <w:rPr>
                <w:rFonts w:cs="Arial"/>
                <w:sz w:val="20"/>
                <w:szCs w:val="20"/>
              </w:rPr>
              <w:tab/>
              <w:t xml:space="preserve">The System Operators shall reject an Application for Qualification for a Capacity Year for an Aggregated Generator Unit where any of the Generators comprising it </w:t>
            </w:r>
            <w:r w:rsidRPr="00E56EC7">
              <w:rPr>
                <w:rFonts w:cs="Arial"/>
                <w:sz w:val="20"/>
                <w:szCs w:val="20"/>
                <w:lang w:val="en-GB"/>
              </w:rPr>
              <w:t>do not, or will not, comply with the CO2 Limits.</w:t>
            </w:r>
          </w:p>
          <w:p w14:paraId="56259872" w14:textId="77777777" w:rsidR="008C4DE3" w:rsidRDefault="008C4DE3" w:rsidP="008C4DE3">
            <w:pPr>
              <w:pStyle w:val="CERLEVEL5"/>
              <w:numPr>
                <w:ilvl w:val="0"/>
                <w:numId w:val="0"/>
              </w:numPr>
              <w:rPr>
                <w:lang w:val="en-GB"/>
              </w:rPr>
            </w:pPr>
          </w:p>
          <w:p w14:paraId="7B564320" w14:textId="77777777" w:rsidR="008C4DE3" w:rsidRPr="008C4DE3" w:rsidRDefault="008C4DE3" w:rsidP="008C4DE3">
            <w:pPr>
              <w:pStyle w:val="CERLEVEL4"/>
              <w:numPr>
                <w:ilvl w:val="0"/>
                <w:numId w:val="0"/>
              </w:numPr>
              <w:ind w:left="851" w:hanging="851"/>
              <w:rPr>
                <w:sz w:val="20"/>
                <w:szCs w:val="20"/>
                <w:lang w:val="en-GB"/>
              </w:rPr>
            </w:pPr>
            <w:r w:rsidRPr="008C4DE3">
              <w:rPr>
                <w:sz w:val="20"/>
                <w:szCs w:val="20"/>
              </w:rPr>
              <w:t>E.7.4.5</w:t>
            </w:r>
            <w:r w:rsidRPr="008C4DE3">
              <w:rPr>
                <w:sz w:val="20"/>
                <w:szCs w:val="20"/>
              </w:rPr>
              <w:tab/>
              <w:t xml:space="preserve">The System Operators shall reject an Application for Qualification for a Capacity Year for a Demand Side Unit where any of the Demand Sites comprising it </w:t>
            </w:r>
            <w:r w:rsidRPr="008C4DE3">
              <w:rPr>
                <w:sz w:val="20"/>
                <w:szCs w:val="20"/>
                <w:lang w:val="en-GB"/>
              </w:rPr>
              <w:t>do not, or will not, comply with the CO2 Limits.</w:t>
            </w:r>
          </w:p>
          <w:p w14:paraId="58596B1E" w14:textId="77777777" w:rsidR="008C4DE3" w:rsidRDefault="008C4DE3" w:rsidP="008C4DE3">
            <w:pPr>
              <w:pStyle w:val="CERLEVEL5"/>
              <w:numPr>
                <w:ilvl w:val="0"/>
                <w:numId w:val="0"/>
              </w:numPr>
              <w:rPr>
                <w:rFonts w:asciiTheme="minorHAnsi" w:hAnsiTheme="minorHAnsi" w:cstheme="minorHAnsi"/>
                <w:i/>
                <w:iCs/>
                <w:lang w:val="en-GB"/>
              </w:rPr>
            </w:pPr>
          </w:p>
          <w:p w14:paraId="404505B8" w14:textId="77777777" w:rsidR="008C4DE3" w:rsidRPr="008C4DE3" w:rsidRDefault="008C4DE3" w:rsidP="008C4DE3">
            <w:pPr>
              <w:pStyle w:val="CERLEVEL5"/>
              <w:numPr>
                <w:ilvl w:val="0"/>
                <w:numId w:val="0"/>
              </w:numPr>
              <w:rPr>
                <w:rFonts w:ascii="Times New Roman" w:hAnsi="Times New Roman"/>
                <w:i/>
                <w:iCs/>
                <w:lang w:val="en-GB"/>
              </w:rPr>
            </w:pPr>
            <w:r w:rsidRPr="008C4DE3">
              <w:rPr>
                <w:rFonts w:ascii="Times New Roman" w:hAnsi="Times New Roman"/>
                <w:i/>
                <w:iCs/>
                <w:lang w:val="en-GB"/>
              </w:rPr>
              <w:t>Modify para E.7.5.1 as follows:</w:t>
            </w:r>
          </w:p>
          <w:p w14:paraId="32F948A0" w14:textId="77777777" w:rsidR="008C4DE3" w:rsidRPr="009A2A83" w:rsidRDefault="008C4DE3" w:rsidP="008C4DE3">
            <w:pPr>
              <w:pStyle w:val="CERLEVEL5"/>
              <w:numPr>
                <w:ilvl w:val="0"/>
                <w:numId w:val="0"/>
              </w:numPr>
              <w:rPr>
                <w:rFonts w:asciiTheme="minorHAnsi" w:hAnsiTheme="minorHAnsi" w:cstheme="minorHAnsi"/>
                <w:lang w:val="en-GB"/>
              </w:rPr>
            </w:pPr>
          </w:p>
          <w:p w14:paraId="2063E15E" w14:textId="77777777" w:rsidR="008C4DE3" w:rsidRPr="009F5B4E" w:rsidRDefault="008C4DE3" w:rsidP="008C4DE3">
            <w:pPr>
              <w:pStyle w:val="CERLEVEL4"/>
              <w:numPr>
                <w:ilvl w:val="0"/>
                <w:numId w:val="0"/>
              </w:numPr>
              <w:ind w:left="992" w:hanging="992"/>
              <w:outlineLvl w:val="4"/>
              <w:rPr>
                <w:sz w:val="20"/>
                <w:szCs w:val="20"/>
                <w:lang w:val="en-IE"/>
              </w:rPr>
            </w:pPr>
            <w:bookmarkStart w:id="3" w:name="_Ref465361464"/>
            <w:r w:rsidRPr="009F5B4E">
              <w:rPr>
                <w:sz w:val="20"/>
                <w:szCs w:val="20"/>
                <w:lang w:val="en-IE"/>
              </w:rPr>
              <w:t>E.7.5.1</w:t>
            </w:r>
            <w:r w:rsidRPr="009F5B4E">
              <w:rPr>
                <w:sz w:val="20"/>
                <w:szCs w:val="20"/>
                <w:lang w:val="en-IE"/>
              </w:rPr>
              <w:tab/>
              <w:t xml:space="preserve">The System Operators shall reject an Application for Qualification for a Capacity Year in respect of New Capacity for a Generator Unit or Interconnector </w:t>
            </w:r>
            <w:r w:rsidRPr="009F5B4E">
              <w:rPr>
                <w:rFonts w:cs="Arial"/>
                <w:sz w:val="20"/>
                <w:szCs w:val="20"/>
              </w:rPr>
              <w:t>comprising a Candidate Unit</w:t>
            </w:r>
            <w:r w:rsidRPr="009F5B4E">
              <w:rPr>
                <w:sz w:val="20"/>
                <w:szCs w:val="20"/>
                <w:lang w:val="en-IE"/>
              </w:rPr>
              <w:t xml:space="preserve"> unless they consider that:</w:t>
            </w:r>
            <w:bookmarkEnd w:id="3"/>
            <w:r w:rsidRPr="009F5B4E">
              <w:rPr>
                <w:sz w:val="20"/>
                <w:szCs w:val="20"/>
                <w:lang w:val="en-IE"/>
              </w:rPr>
              <w:t xml:space="preserve">  </w:t>
            </w:r>
          </w:p>
          <w:p w14:paraId="32C99250" w14:textId="77777777" w:rsidR="008C4DE3" w:rsidRPr="009F5B4E" w:rsidRDefault="008C4DE3" w:rsidP="009F5B4E">
            <w:pPr>
              <w:pStyle w:val="CERLEVEL5"/>
              <w:ind w:left="1712"/>
              <w:rPr>
                <w:sz w:val="20"/>
                <w:szCs w:val="20"/>
              </w:rPr>
            </w:pPr>
            <w:r w:rsidRPr="009F5B4E">
              <w:rPr>
                <w:sz w:val="20"/>
                <w:szCs w:val="20"/>
              </w:rPr>
              <w:t>where New Capacity is under development, the information provided reflects an accurate view of the state of that development;</w:t>
            </w:r>
          </w:p>
          <w:p w14:paraId="79FEE59E" w14:textId="77777777" w:rsidR="008C4DE3" w:rsidRPr="009F5B4E" w:rsidRDefault="008C4DE3" w:rsidP="008C4DE3">
            <w:pPr>
              <w:pStyle w:val="CERLevel50"/>
              <w:numPr>
                <w:ilvl w:val="4"/>
                <w:numId w:val="39"/>
              </w:numPr>
              <w:ind w:left="1702"/>
              <w:rPr>
                <w:sz w:val="20"/>
                <w:szCs w:val="20"/>
              </w:rPr>
            </w:pPr>
            <w:r w:rsidRPr="009F5B4E">
              <w:rPr>
                <w:sz w:val="20"/>
                <w:szCs w:val="20"/>
              </w:rPr>
              <w:t>the Implementation Plan dates are achievable;</w:t>
            </w:r>
          </w:p>
          <w:p w14:paraId="42BBE771" w14:textId="77777777" w:rsidR="008C4DE3" w:rsidRPr="009F5B4E" w:rsidRDefault="008C4DE3" w:rsidP="008C4DE3">
            <w:pPr>
              <w:pStyle w:val="CERLevel50"/>
              <w:numPr>
                <w:ilvl w:val="4"/>
                <w:numId w:val="39"/>
              </w:numPr>
              <w:ind w:left="1702"/>
              <w:rPr>
                <w:sz w:val="20"/>
                <w:szCs w:val="20"/>
              </w:rPr>
            </w:pPr>
            <w:r w:rsidRPr="009F5B4E">
              <w:rPr>
                <w:sz w:val="20"/>
                <w:szCs w:val="20"/>
              </w:rPr>
              <w:t>Substantial Completion of the Generator Unit or Interconnector can be achieved prior to the start of the relevant Capacity Year;</w:t>
            </w:r>
            <w:r w:rsidRPr="009F5B4E">
              <w:rPr>
                <w:strike/>
                <w:color w:val="FF0000"/>
                <w:sz w:val="20"/>
                <w:szCs w:val="20"/>
              </w:rPr>
              <w:t xml:space="preserve"> and</w:t>
            </w:r>
          </w:p>
          <w:p w14:paraId="3DAABC6F" w14:textId="77777777" w:rsidR="008C4DE3" w:rsidRPr="009F5B4E" w:rsidRDefault="008C4DE3" w:rsidP="008C4DE3">
            <w:pPr>
              <w:pStyle w:val="CERLevel50"/>
              <w:numPr>
                <w:ilvl w:val="4"/>
                <w:numId w:val="39"/>
              </w:numPr>
              <w:ind w:left="1702"/>
              <w:rPr>
                <w:color w:val="FF0000"/>
                <w:sz w:val="20"/>
                <w:szCs w:val="20"/>
              </w:rPr>
            </w:pPr>
            <w:r w:rsidRPr="009F5B4E">
              <w:rPr>
                <w:sz w:val="20"/>
                <w:szCs w:val="20"/>
              </w:rPr>
              <w:t>all Qualification Data required to be provided in the Application for Qualification is provided and is accurate</w:t>
            </w:r>
            <w:r w:rsidRPr="009F5B4E">
              <w:rPr>
                <w:strike/>
                <w:sz w:val="20"/>
                <w:szCs w:val="20"/>
              </w:rPr>
              <w:t>.</w:t>
            </w:r>
            <w:r w:rsidRPr="009F5B4E">
              <w:rPr>
                <w:color w:val="FF0000"/>
                <w:sz w:val="20"/>
                <w:szCs w:val="20"/>
              </w:rPr>
              <w:t>; and</w:t>
            </w:r>
          </w:p>
          <w:p w14:paraId="5A0BB4C1" w14:textId="77777777" w:rsidR="008C4DE3" w:rsidRPr="009F5B4E" w:rsidRDefault="008C4DE3" w:rsidP="008C4DE3">
            <w:pPr>
              <w:pStyle w:val="CERLevel50"/>
              <w:numPr>
                <w:ilvl w:val="4"/>
                <w:numId w:val="39"/>
              </w:numPr>
              <w:ind w:left="1702"/>
              <w:rPr>
                <w:color w:val="FF0000"/>
                <w:sz w:val="20"/>
                <w:szCs w:val="20"/>
              </w:rPr>
            </w:pPr>
            <w:r w:rsidRPr="009F5B4E">
              <w:rPr>
                <w:color w:val="FF0000"/>
                <w:sz w:val="20"/>
                <w:szCs w:val="20"/>
              </w:rPr>
              <w:t>the New Capacity will comply with the CO2 Limits.</w:t>
            </w:r>
          </w:p>
          <w:p w14:paraId="55C6F526" w14:textId="77777777" w:rsidR="008C4DE3" w:rsidRDefault="008C4DE3" w:rsidP="008C4DE3">
            <w:pPr>
              <w:pStyle w:val="CERLEVEL5"/>
              <w:numPr>
                <w:ilvl w:val="0"/>
                <w:numId w:val="0"/>
              </w:numPr>
              <w:rPr>
                <w:lang w:val="en-GB"/>
              </w:rPr>
            </w:pPr>
          </w:p>
          <w:p w14:paraId="0C273D85" w14:textId="77777777" w:rsidR="009F5B4E" w:rsidRPr="009F5B4E" w:rsidRDefault="009F5B4E" w:rsidP="009F5B4E">
            <w:pPr>
              <w:pStyle w:val="CERLEVEL5"/>
              <w:numPr>
                <w:ilvl w:val="0"/>
                <w:numId w:val="0"/>
              </w:numPr>
              <w:rPr>
                <w:rFonts w:ascii="Times New Roman" w:hAnsi="Times New Roman"/>
                <w:i/>
                <w:iCs/>
                <w:sz w:val="20"/>
                <w:szCs w:val="20"/>
              </w:rPr>
            </w:pPr>
            <w:r w:rsidRPr="009F5B4E">
              <w:rPr>
                <w:rFonts w:ascii="Times New Roman" w:hAnsi="Times New Roman"/>
                <w:i/>
                <w:iCs/>
                <w:sz w:val="20"/>
                <w:szCs w:val="20"/>
              </w:rPr>
              <w:t>Modify I.1.2 as follows:</w:t>
            </w:r>
          </w:p>
          <w:p w14:paraId="586FC433" w14:textId="77777777" w:rsidR="009F5B4E" w:rsidRPr="000D2B50" w:rsidRDefault="009F5B4E" w:rsidP="009F5B4E">
            <w:pPr>
              <w:pStyle w:val="CERLEVEL5"/>
              <w:numPr>
                <w:ilvl w:val="0"/>
                <w:numId w:val="0"/>
              </w:numPr>
            </w:pPr>
          </w:p>
          <w:p w14:paraId="52C6AACC" w14:textId="77777777" w:rsidR="009F5B4E" w:rsidRPr="00384F13" w:rsidRDefault="009F5B4E" w:rsidP="009F5B4E">
            <w:pPr>
              <w:pStyle w:val="CERLEVEL4"/>
              <w:numPr>
                <w:ilvl w:val="0"/>
                <w:numId w:val="0"/>
              </w:numPr>
              <w:ind w:left="1134" w:hanging="1134"/>
              <w:outlineLvl w:val="4"/>
              <w:rPr>
                <w:sz w:val="20"/>
                <w:szCs w:val="20"/>
                <w:lang w:val="en-IE"/>
              </w:rPr>
            </w:pPr>
            <w:r w:rsidRPr="00384F13">
              <w:rPr>
                <w:sz w:val="20"/>
                <w:szCs w:val="20"/>
                <w:lang w:val="en-IE"/>
              </w:rPr>
              <w:t>I.1.2.1</w:t>
            </w:r>
            <w:r w:rsidRPr="00384F13">
              <w:rPr>
                <w:sz w:val="20"/>
                <w:szCs w:val="20"/>
                <w:lang w:val="en-IE"/>
              </w:rPr>
              <w:tab/>
              <w:t>In addition to its other obligations under this Code, a Participant shall, with respect to each of its Capacity Market Units:</w:t>
            </w:r>
          </w:p>
          <w:p w14:paraId="2A933EE2" w14:textId="77777777" w:rsidR="009F5B4E" w:rsidRPr="00384F13" w:rsidRDefault="009F5B4E" w:rsidP="009F5B4E">
            <w:pPr>
              <w:pStyle w:val="CERLEVEL5"/>
              <w:numPr>
                <w:ilvl w:val="4"/>
                <w:numId w:val="40"/>
              </w:numPr>
              <w:ind w:left="1702" w:hanging="568"/>
              <w:rPr>
                <w:sz w:val="20"/>
                <w:szCs w:val="20"/>
              </w:rPr>
            </w:pPr>
            <w:r w:rsidRPr="00384F13">
              <w:rPr>
                <w:sz w:val="20"/>
                <w:szCs w:val="20"/>
              </w:rPr>
              <w:t>in respect of Awarded New Capacity:</w:t>
            </w:r>
          </w:p>
          <w:p w14:paraId="6DE037B8" w14:textId="77777777" w:rsidR="009F5B4E" w:rsidRPr="00384F13" w:rsidRDefault="009F5B4E" w:rsidP="009F5B4E">
            <w:pPr>
              <w:pStyle w:val="CERLEVEL6"/>
              <w:rPr>
                <w:sz w:val="20"/>
                <w:szCs w:val="20"/>
                <w:lang w:val="en-IE"/>
              </w:rPr>
            </w:pPr>
            <w:r w:rsidRPr="00384F13">
              <w:rPr>
                <w:sz w:val="20"/>
                <w:szCs w:val="20"/>
                <w:lang w:val="en-IE"/>
              </w:rPr>
              <w:t xml:space="preserve">use reasonable endeavours to </w:t>
            </w:r>
            <w:r w:rsidRPr="00384F13">
              <w:rPr>
                <w:sz w:val="20"/>
                <w:szCs w:val="20"/>
              </w:rPr>
              <w:t>achieve each Milestone by the date indicated in respect of that Milestone in the relevant</w:t>
            </w:r>
            <w:r w:rsidRPr="00384F13">
              <w:rPr>
                <w:i/>
                <w:sz w:val="20"/>
                <w:szCs w:val="20"/>
              </w:rPr>
              <w:t xml:space="preserve"> </w:t>
            </w:r>
            <w:r w:rsidRPr="00384F13">
              <w:rPr>
                <w:sz w:val="20"/>
                <w:szCs w:val="20"/>
                <w:lang w:val="en-IE"/>
              </w:rPr>
              <w:t>Implementation Plan for delivery of the Awarded New Capacity;</w:t>
            </w:r>
          </w:p>
          <w:p w14:paraId="4DC682F5" w14:textId="54CF7561" w:rsidR="009F5B4E" w:rsidRPr="00384F13" w:rsidRDefault="009F5B4E" w:rsidP="009F5B4E">
            <w:pPr>
              <w:pStyle w:val="CERLEVEL6"/>
              <w:rPr>
                <w:sz w:val="20"/>
                <w:szCs w:val="20"/>
                <w:lang w:val="en-IE"/>
              </w:rPr>
            </w:pPr>
            <w:r w:rsidRPr="00384F13">
              <w:rPr>
                <w:sz w:val="20"/>
                <w:szCs w:val="20"/>
                <w:lang w:val="en-IE"/>
              </w:rPr>
              <w:t>provide Implementation Progress Reports to the System Operators in accordance with section</w:t>
            </w:r>
            <w:r w:rsidR="00384F13">
              <w:rPr>
                <w:sz w:val="20"/>
                <w:szCs w:val="20"/>
              </w:rPr>
              <w:t xml:space="preserve"> J.4</w:t>
            </w:r>
            <w:r w:rsidRPr="00384F13">
              <w:rPr>
                <w:sz w:val="20"/>
                <w:szCs w:val="20"/>
                <w:lang w:val="en-IE"/>
              </w:rPr>
              <w:t>;</w:t>
            </w:r>
          </w:p>
          <w:p w14:paraId="539AC73F" w14:textId="0F324DDD" w:rsidR="009F5B4E" w:rsidRPr="00384F13" w:rsidRDefault="009F5B4E" w:rsidP="009F5B4E">
            <w:pPr>
              <w:pStyle w:val="CERLEVEL6"/>
              <w:rPr>
                <w:sz w:val="20"/>
                <w:szCs w:val="20"/>
                <w:lang w:val="en-IE"/>
              </w:rPr>
            </w:pPr>
            <w:r w:rsidRPr="00384F13">
              <w:rPr>
                <w:sz w:val="20"/>
                <w:szCs w:val="20"/>
                <w:lang w:val="en-IE"/>
              </w:rPr>
              <w:t>maintain adequate Performance Security in accordance with section</w:t>
            </w:r>
            <w:r w:rsidR="00384F13">
              <w:rPr>
                <w:sz w:val="20"/>
                <w:szCs w:val="20"/>
              </w:rPr>
              <w:t xml:space="preserve"> J.3</w:t>
            </w:r>
            <w:r w:rsidRPr="00384F13">
              <w:rPr>
                <w:sz w:val="20"/>
                <w:szCs w:val="20"/>
                <w:lang w:val="en-IE"/>
              </w:rPr>
              <w:t>;</w:t>
            </w:r>
          </w:p>
          <w:p w14:paraId="73DA9858" w14:textId="77777777" w:rsidR="009F5B4E" w:rsidRPr="00384F13" w:rsidRDefault="009F5B4E" w:rsidP="009F5B4E">
            <w:pPr>
              <w:pStyle w:val="CERLevel50"/>
              <w:numPr>
                <w:ilvl w:val="4"/>
                <w:numId w:val="39"/>
              </w:numPr>
              <w:ind w:left="1702" w:hanging="568"/>
              <w:rPr>
                <w:sz w:val="20"/>
                <w:szCs w:val="20"/>
              </w:rPr>
            </w:pPr>
            <w:r w:rsidRPr="00384F13">
              <w:rPr>
                <w:sz w:val="20"/>
                <w:szCs w:val="20"/>
              </w:rPr>
              <w:t>dedicate and use its reasonable endeavours to make available the Awarded Capacity;</w:t>
            </w:r>
          </w:p>
          <w:p w14:paraId="24136DB8" w14:textId="77777777" w:rsidR="009F5B4E" w:rsidRPr="00384F13" w:rsidRDefault="009F5B4E" w:rsidP="009F5B4E">
            <w:pPr>
              <w:pStyle w:val="CERLevel50"/>
              <w:numPr>
                <w:ilvl w:val="4"/>
                <w:numId w:val="39"/>
              </w:numPr>
              <w:ind w:left="1702" w:hanging="568"/>
              <w:rPr>
                <w:sz w:val="20"/>
                <w:szCs w:val="20"/>
              </w:rPr>
            </w:pPr>
            <w:r w:rsidRPr="00384F13">
              <w:rPr>
                <w:sz w:val="20"/>
                <w:szCs w:val="20"/>
              </w:rPr>
              <w:t xml:space="preserve">for each Imbalance Settlement Period within the Capacity Year: </w:t>
            </w:r>
          </w:p>
          <w:p w14:paraId="1864E82A" w14:textId="77777777" w:rsidR="009F5B4E" w:rsidRPr="00384F13" w:rsidRDefault="009F5B4E" w:rsidP="009F5B4E">
            <w:pPr>
              <w:pStyle w:val="CERLEVEL6"/>
              <w:rPr>
                <w:sz w:val="20"/>
                <w:szCs w:val="20"/>
              </w:rPr>
            </w:pPr>
            <w:r w:rsidRPr="00384F13">
              <w:rPr>
                <w:sz w:val="20"/>
                <w:szCs w:val="20"/>
                <w:lang w:val="en-IE"/>
              </w:rPr>
              <w:t xml:space="preserve">for each Capacity Market Unit that is an Interconnector, </w:t>
            </w:r>
            <w:r w:rsidRPr="00384F13">
              <w:rPr>
                <w:sz w:val="20"/>
                <w:szCs w:val="20"/>
              </w:rPr>
              <w:t xml:space="preserve">maintain a level of availability for imports into the SEM for each Imbalance Settlement Period not less than the Obligated Capacity Quantity and be subject to Difference Charges in accordance with the Trading and Settlement Code;   </w:t>
            </w:r>
          </w:p>
          <w:p w14:paraId="722B4F33" w14:textId="77777777" w:rsidR="009F5B4E" w:rsidRPr="00384F13" w:rsidRDefault="009F5B4E" w:rsidP="009F5B4E">
            <w:pPr>
              <w:pStyle w:val="CERLEVEL6"/>
              <w:rPr>
                <w:color w:val="FF0000"/>
                <w:sz w:val="20"/>
                <w:szCs w:val="20"/>
              </w:rPr>
            </w:pPr>
            <w:r w:rsidRPr="00384F13">
              <w:rPr>
                <w:sz w:val="20"/>
                <w:szCs w:val="20"/>
                <w:lang w:val="en-IE"/>
              </w:rPr>
              <w:t xml:space="preserve">for each Capacity Market Unit comprising one or more Generator Units, </w:t>
            </w:r>
            <w:r w:rsidRPr="00384F13">
              <w:rPr>
                <w:sz w:val="20"/>
                <w:szCs w:val="20"/>
              </w:rPr>
              <w:t>through its participation in the day-ahead market, intraday trade and/or Balancing Market, schedule or provide sufficient energy for each Imbalance Settlement Period to satisfy its Obligated Capacity Quantity and be subject to Difference Charges in accordance with the Trading and Settlement Code</w:t>
            </w:r>
            <w:r w:rsidRPr="00384F13">
              <w:rPr>
                <w:strike/>
                <w:sz w:val="20"/>
                <w:szCs w:val="20"/>
              </w:rPr>
              <w:t>.</w:t>
            </w:r>
            <w:r w:rsidRPr="00384F13">
              <w:rPr>
                <w:color w:val="FF0000"/>
                <w:sz w:val="20"/>
                <w:szCs w:val="20"/>
              </w:rPr>
              <w:t>; and</w:t>
            </w:r>
          </w:p>
          <w:p w14:paraId="4CB7A838" w14:textId="4E79B200" w:rsidR="008C4DE3" w:rsidRPr="00384F13" w:rsidRDefault="009F5B4E" w:rsidP="00384F13">
            <w:pPr>
              <w:pStyle w:val="CERLEVEL5"/>
              <w:rPr>
                <w:color w:val="FF0000"/>
                <w:sz w:val="20"/>
                <w:szCs w:val="20"/>
                <w:lang w:val="en-GB"/>
              </w:rPr>
            </w:pPr>
            <w:r w:rsidRPr="00384F13">
              <w:rPr>
                <w:color w:val="FF0000"/>
                <w:sz w:val="20"/>
                <w:szCs w:val="20"/>
              </w:rPr>
              <w:t>comply with the CO2 Limits.</w:t>
            </w:r>
          </w:p>
          <w:p w14:paraId="75667F5E" w14:textId="77777777" w:rsidR="00E56EC7" w:rsidRDefault="00E56EC7" w:rsidP="00E56EC7">
            <w:pPr>
              <w:pStyle w:val="CERLEVEL5"/>
              <w:numPr>
                <w:ilvl w:val="0"/>
                <w:numId w:val="0"/>
              </w:numPr>
              <w:rPr>
                <w:lang w:val="en-GB"/>
              </w:rPr>
            </w:pPr>
          </w:p>
          <w:p w14:paraId="349AD5C1" w14:textId="77777777" w:rsidR="00384F13" w:rsidRPr="00384F13" w:rsidRDefault="00384F13" w:rsidP="00384F13">
            <w:pPr>
              <w:pStyle w:val="CERLEVEL5"/>
              <w:numPr>
                <w:ilvl w:val="0"/>
                <w:numId w:val="0"/>
              </w:numPr>
              <w:rPr>
                <w:rFonts w:ascii="Times New Roman" w:hAnsi="Times New Roman"/>
                <w:i/>
                <w:iCs/>
                <w:sz w:val="20"/>
                <w:szCs w:val="20"/>
              </w:rPr>
            </w:pPr>
            <w:r w:rsidRPr="00384F13">
              <w:rPr>
                <w:rFonts w:ascii="Times New Roman" w:hAnsi="Times New Roman"/>
                <w:i/>
                <w:iCs/>
                <w:sz w:val="20"/>
                <w:szCs w:val="20"/>
              </w:rPr>
              <w:t>Modify J.2.1.1(c) as follows:</w:t>
            </w:r>
          </w:p>
          <w:p w14:paraId="330719C4" w14:textId="77777777" w:rsidR="00384F13" w:rsidRPr="00384F13" w:rsidRDefault="00384F13" w:rsidP="00384F13">
            <w:pPr>
              <w:pStyle w:val="CERLEVEL5"/>
              <w:numPr>
                <w:ilvl w:val="4"/>
                <w:numId w:val="43"/>
              </w:numPr>
              <w:ind w:left="1702"/>
              <w:rPr>
                <w:rFonts w:cs="Arial"/>
                <w:sz w:val="20"/>
                <w:szCs w:val="20"/>
              </w:rPr>
            </w:pPr>
            <w:bookmarkStart w:id="4" w:name="_Ref462257718"/>
            <w:r w:rsidRPr="00384F13">
              <w:rPr>
                <w:rFonts w:cs="Arial"/>
                <w:b/>
                <w:sz w:val="20"/>
                <w:szCs w:val="20"/>
              </w:rPr>
              <w:t xml:space="preserve">Substantial Completion:  </w:t>
            </w:r>
            <w:r w:rsidRPr="00384F13">
              <w:rPr>
                <w:rFonts w:cs="Arial"/>
                <w:sz w:val="20"/>
                <w:szCs w:val="20"/>
              </w:rPr>
              <w:t>this milestone is achieved when:</w:t>
            </w:r>
            <w:bookmarkEnd w:id="4"/>
          </w:p>
          <w:p w14:paraId="32744713" w14:textId="77777777" w:rsidR="00384F13" w:rsidRPr="00384F13" w:rsidRDefault="00384F13" w:rsidP="00384F13">
            <w:pPr>
              <w:pStyle w:val="CERLEVEL6"/>
              <w:rPr>
                <w:rFonts w:cs="Arial"/>
                <w:sz w:val="20"/>
                <w:szCs w:val="20"/>
                <w:lang w:val="en-IE"/>
              </w:rPr>
            </w:pPr>
            <w:r w:rsidRPr="00384F13">
              <w:rPr>
                <w:rFonts w:cs="Arial"/>
                <w:sz w:val="20"/>
                <w:szCs w:val="20"/>
                <w:lang w:val="en-IE"/>
              </w:rPr>
              <w:t xml:space="preserve">all the </w:t>
            </w:r>
            <w:r w:rsidRPr="00384F13">
              <w:rPr>
                <w:rFonts w:cs="Arial"/>
                <w:sz w:val="20"/>
                <w:szCs w:val="20"/>
              </w:rPr>
              <w:t xml:space="preserve">construction, repowering or refurbishment </w:t>
            </w:r>
            <w:r w:rsidRPr="00384F13">
              <w:rPr>
                <w:rFonts w:cs="Arial"/>
                <w:sz w:val="20"/>
                <w:szCs w:val="20"/>
                <w:lang w:val="en-IE"/>
              </w:rPr>
              <w:t>works associated with providing the Awarded New Capacity are substantially complete (subject only to snag or punch list items or any other matters which do not prevent substantial completion or taking over the works taking place under the applicable Major Contracts);</w:t>
            </w:r>
          </w:p>
          <w:p w14:paraId="31D779B2" w14:textId="77777777" w:rsidR="00384F13" w:rsidRPr="00384F13" w:rsidRDefault="00384F13" w:rsidP="00384F13">
            <w:pPr>
              <w:pStyle w:val="CERLEVEL6"/>
              <w:rPr>
                <w:rFonts w:cs="Arial"/>
                <w:sz w:val="20"/>
                <w:szCs w:val="20"/>
                <w:lang w:val="en-IE"/>
              </w:rPr>
            </w:pPr>
            <w:r w:rsidRPr="00384F13">
              <w:rPr>
                <w:rFonts w:cs="Arial"/>
                <w:sz w:val="20"/>
                <w:szCs w:val="20"/>
                <w:lang w:val="en-IE"/>
              </w:rPr>
              <w:t xml:space="preserve">a Final Compliance Certificate, Operational Certificate or Final Operational </w:t>
            </w:r>
            <w:r w:rsidRPr="00384F13">
              <w:rPr>
                <w:rFonts w:cs="Arial"/>
                <w:sz w:val="20"/>
                <w:szCs w:val="20"/>
                <w:lang w:val="en-IE"/>
              </w:rPr>
              <w:lastRenderedPageBreak/>
              <w:t>Notification has been issued under the applicable Grid Code in respect of each new or refurbished Generator Unit or Interconnector providing the Awarded New Capacity;</w:t>
            </w:r>
          </w:p>
          <w:p w14:paraId="32647AAE" w14:textId="77777777" w:rsidR="00384F13" w:rsidRPr="00384F13" w:rsidRDefault="00384F13" w:rsidP="00384F13">
            <w:pPr>
              <w:pStyle w:val="CERLEVEL6"/>
              <w:rPr>
                <w:rFonts w:cs="Arial"/>
                <w:sz w:val="20"/>
                <w:szCs w:val="20"/>
                <w:lang w:val="en-IE"/>
              </w:rPr>
            </w:pPr>
            <w:r w:rsidRPr="00384F13">
              <w:rPr>
                <w:rFonts w:cs="Arial"/>
                <w:sz w:val="20"/>
                <w:szCs w:val="20"/>
                <w:lang w:val="en-IE"/>
              </w:rPr>
              <w:t xml:space="preserve">the Proportion of Delivered Capacity in respect of the Awarded New Capacity is not less than 90%; </w:t>
            </w:r>
            <w:r w:rsidRPr="00384F13">
              <w:rPr>
                <w:rFonts w:cs="Arial"/>
                <w:strike/>
                <w:color w:val="FF0000"/>
                <w:sz w:val="20"/>
                <w:szCs w:val="20"/>
                <w:lang w:val="en-IE"/>
              </w:rPr>
              <w:t>and</w:t>
            </w:r>
          </w:p>
          <w:p w14:paraId="53C336F5" w14:textId="77777777" w:rsidR="00384F13" w:rsidRPr="00384F13" w:rsidRDefault="00384F13" w:rsidP="00384F13">
            <w:pPr>
              <w:pStyle w:val="CERLEVEL6"/>
              <w:rPr>
                <w:rFonts w:cs="Arial"/>
                <w:sz w:val="20"/>
                <w:szCs w:val="20"/>
                <w:lang w:val="en-IE"/>
              </w:rPr>
            </w:pPr>
            <w:r w:rsidRPr="00384F13">
              <w:rPr>
                <w:rFonts w:cs="Arial"/>
                <w:sz w:val="20"/>
                <w:szCs w:val="20"/>
                <w:lang w:val="en-IE"/>
              </w:rPr>
              <w:t xml:space="preserve">each </w:t>
            </w:r>
            <w:r w:rsidRPr="00384F13">
              <w:rPr>
                <w:rFonts w:cs="Arial"/>
                <w:sz w:val="20"/>
                <w:szCs w:val="20"/>
              </w:rPr>
              <w:t xml:space="preserve">new or refurbished </w:t>
            </w:r>
            <w:r w:rsidRPr="00384F13">
              <w:rPr>
                <w:rFonts w:cs="Arial"/>
                <w:sz w:val="20"/>
                <w:szCs w:val="20"/>
                <w:lang w:val="en-IE"/>
              </w:rPr>
              <w:t xml:space="preserve">Generator Unit or Interconnector  </w:t>
            </w:r>
            <w:r w:rsidRPr="00384F13">
              <w:rPr>
                <w:rFonts w:cs="Arial"/>
                <w:sz w:val="20"/>
                <w:szCs w:val="20"/>
              </w:rPr>
              <w:t xml:space="preserve"> providing </w:t>
            </w:r>
            <w:r w:rsidRPr="00384F13">
              <w:rPr>
                <w:rFonts w:cs="Arial"/>
                <w:sz w:val="20"/>
                <w:szCs w:val="20"/>
                <w:lang w:val="en-IE"/>
              </w:rPr>
              <w:t>the Awarded New Capacity has met all Trading and Settlement Code and Grid Code requirements for participating in the Balancing Market</w:t>
            </w:r>
            <w:r w:rsidRPr="00384F13">
              <w:rPr>
                <w:rFonts w:cs="Arial"/>
                <w:strike/>
                <w:sz w:val="20"/>
                <w:szCs w:val="20"/>
                <w:lang w:val="en-IE"/>
              </w:rPr>
              <w:t>.;</w:t>
            </w:r>
            <w:r w:rsidRPr="00384F13">
              <w:rPr>
                <w:rFonts w:cs="Arial"/>
                <w:color w:val="FF0000"/>
                <w:sz w:val="20"/>
                <w:szCs w:val="20"/>
                <w:lang w:val="en-IE"/>
              </w:rPr>
              <w:t xml:space="preserve"> and</w:t>
            </w:r>
          </w:p>
          <w:p w14:paraId="76E11977" w14:textId="0BDA857A" w:rsidR="00384F13" w:rsidRPr="00384F13" w:rsidRDefault="00384F13" w:rsidP="00384F13">
            <w:pPr>
              <w:pStyle w:val="CERLEVEL6"/>
              <w:rPr>
                <w:color w:val="FF0000"/>
                <w:sz w:val="20"/>
                <w:szCs w:val="20"/>
                <w:lang w:val="en-GB"/>
              </w:rPr>
            </w:pPr>
            <w:r w:rsidRPr="00384F13">
              <w:rPr>
                <w:color w:val="FF0000"/>
                <w:sz w:val="20"/>
                <w:szCs w:val="20"/>
              </w:rPr>
              <w:t>each new or refurbished Generator Unit providing Awarded New Capacity complies with the CO2 Limits.</w:t>
            </w:r>
          </w:p>
          <w:p w14:paraId="77A3B192" w14:textId="62457E52" w:rsidR="00384F13" w:rsidRPr="00384F13" w:rsidRDefault="00384F13" w:rsidP="00384F13">
            <w:pPr>
              <w:pStyle w:val="CERLEVEL4"/>
              <w:numPr>
                <w:ilvl w:val="0"/>
                <w:numId w:val="0"/>
              </w:numPr>
              <w:ind w:left="992" w:hanging="992"/>
              <w:rPr>
                <w:rFonts w:ascii="Times New Roman" w:hAnsi="Times New Roman"/>
                <w:i/>
                <w:iCs/>
                <w:sz w:val="20"/>
                <w:szCs w:val="20"/>
              </w:rPr>
            </w:pPr>
            <w:r w:rsidRPr="00384F13">
              <w:rPr>
                <w:rFonts w:ascii="Times New Roman" w:hAnsi="Times New Roman"/>
                <w:i/>
                <w:iCs/>
                <w:sz w:val="20"/>
                <w:szCs w:val="20"/>
              </w:rPr>
              <w:t>Modify J.6.1.1(a) as follows:</w:t>
            </w:r>
          </w:p>
          <w:p w14:paraId="5DE01C2F" w14:textId="77777777" w:rsidR="00384F13" w:rsidRPr="00384F13" w:rsidRDefault="00384F13" w:rsidP="00384F13">
            <w:pPr>
              <w:pStyle w:val="CERLEVEL5"/>
              <w:numPr>
                <w:ilvl w:val="4"/>
                <w:numId w:val="40"/>
              </w:numPr>
              <w:ind w:left="1702" w:hanging="568"/>
              <w:rPr>
                <w:sz w:val="20"/>
                <w:szCs w:val="20"/>
              </w:rPr>
            </w:pPr>
            <w:bookmarkStart w:id="5" w:name="_Ref462240340"/>
            <w:r w:rsidRPr="00384F13">
              <w:rPr>
                <w:b/>
                <w:sz w:val="20"/>
                <w:szCs w:val="20"/>
              </w:rPr>
              <w:t>Minimum Completion:</w:t>
            </w:r>
            <w:r w:rsidRPr="00384F13">
              <w:rPr>
                <w:sz w:val="20"/>
                <w:szCs w:val="20"/>
              </w:rPr>
              <w:t xml:space="preserve"> Awarded New Capacity achieves Minimum Completion when:</w:t>
            </w:r>
            <w:bookmarkEnd w:id="5"/>
            <w:r w:rsidRPr="00384F13">
              <w:rPr>
                <w:b/>
                <w:sz w:val="20"/>
                <w:szCs w:val="20"/>
                <w:highlight w:val="lightGray"/>
              </w:rPr>
              <w:t xml:space="preserve"> </w:t>
            </w:r>
          </w:p>
          <w:p w14:paraId="79A61182" w14:textId="77777777" w:rsidR="00384F13" w:rsidRPr="00384F13" w:rsidRDefault="00384F13" w:rsidP="00384F13">
            <w:pPr>
              <w:pStyle w:val="CERLEVEL6"/>
              <w:rPr>
                <w:sz w:val="20"/>
                <w:szCs w:val="20"/>
                <w:lang w:val="en-IE"/>
              </w:rPr>
            </w:pPr>
            <w:r w:rsidRPr="00384F13">
              <w:rPr>
                <w:sz w:val="20"/>
                <w:szCs w:val="20"/>
                <w:lang w:val="en-IE"/>
              </w:rPr>
              <w:t xml:space="preserve">all the </w:t>
            </w:r>
            <w:r w:rsidRPr="00384F13">
              <w:rPr>
                <w:sz w:val="20"/>
                <w:szCs w:val="20"/>
              </w:rPr>
              <w:t xml:space="preserve">construction, repowering or refurbishment </w:t>
            </w:r>
            <w:r w:rsidRPr="00384F13">
              <w:rPr>
                <w:sz w:val="20"/>
                <w:szCs w:val="20"/>
                <w:lang w:val="en-IE"/>
              </w:rPr>
              <w:t>works associated with providing the Awarded New Capacity are substantially complete (subject only to snag or punch list items or any other matters which do not prevent substantial completion or taking over taking place under the applicable Major Contracts);</w:t>
            </w:r>
          </w:p>
          <w:p w14:paraId="72FAB1A4" w14:textId="77777777" w:rsidR="00384F13" w:rsidRPr="00384F13" w:rsidRDefault="00384F13" w:rsidP="00384F13">
            <w:pPr>
              <w:pStyle w:val="CERLEVEL6"/>
              <w:rPr>
                <w:sz w:val="20"/>
                <w:szCs w:val="20"/>
                <w:lang w:val="en-IE"/>
              </w:rPr>
            </w:pPr>
            <w:r w:rsidRPr="00384F13">
              <w:rPr>
                <w:sz w:val="20"/>
                <w:szCs w:val="20"/>
                <w:lang w:val="en-IE"/>
              </w:rPr>
              <w:t>each new or refurbished Generator Unit or Interconnector providing the Awarded New Capacity has undergone commissioning testing;</w:t>
            </w:r>
          </w:p>
          <w:p w14:paraId="167DE5E1" w14:textId="77777777" w:rsidR="00384F13" w:rsidRPr="00384F13" w:rsidRDefault="00384F13" w:rsidP="00384F13">
            <w:pPr>
              <w:pStyle w:val="CERLEVEL6"/>
              <w:rPr>
                <w:sz w:val="20"/>
                <w:szCs w:val="20"/>
              </w:rPr>
            </w:pPr>
            <w:r w:rsidRPr="00384F13">
              <w:rPr>
                <w:sz w:val="20"/>
                <w:szCs w:val="20"/>
              </w:rPr>
              <w:t>a Final Compliance Certificate, Operational Certificate or Final Operational Notification has been issued under the applicable Grid Code in respect of each new or refurbished Generator Unit or Interconnector providing the Awarded New Capacity;</w:t>
            </w:r>
          </w:p>
          <w:p w14:paraId="76E8A19B" w14:textId="77777777" w:rsidR="00384F13" w:rsidRPr="00384F13" w:rsidRDefault="00384F13" w:rsidP="00384F13">
            <w:pPr>
              <w:pStyle w:val="CERLEVEL6"/>
              <w:rPr>
                <w:sz w:val="20"/>
                <w:szCs w:val="20"/>
                <w:lang w:val="en-IE"/>
              </w:rPr>
            </w:pPr>
            <w:r w:rsidRPr="00384F13">
              <w:rPr>
                <w:sz w:val="20"/>
                <w:szCs w:val="20"/>
                <w:lang w:val="en-IE"/>
              </w:rPr>
              <w:t>the Proportion of Delivered Capacity in respect of the Awarded New Capacity is not less than 50%;</w:t>
            </w:r>
            <w:r w:rsidRPr="00384F13">
              <w:rPr>
                <w:strike/>
                <w:color w:val="FF0000"/>
                <w:sz w:val="20"/>
                <w:szCs w:val="20"/>
                <w:lang w:val="en-IE"/>
              </w:rPr>
              <w:t xml:space="preserve"> and</w:t>
            </w:r>
          </w:p>
          <w:p w14:paraId="558CB257" w14:textId="77777777" w:rsidR="00384F13" w:rsidRPr="00A2557D" w:rsidRDefault="00384F13" w:rsidP="00384F13">
            <w:pPr>
              <w:pStyle w:val="CERLEVEL6"/>
              <w:rPr>
                <w:color w:val="FF0000"/>
                <w:sz w:val="20"/>
                <w:szCs w:val="20"/>
                <w:lang w:val="en-IE"/>
              </w:rPr>
            </w:pPr>
            <w:r w:rsidRPr="00384F13">
              <w:rPr>
                <w:sz w:val="20"/>
                <w:szCs w:val="20"/>
                <w:lang w:val="en-IE"/>
              </w:rPr>
              <w:t xml:space="preserve">each </w:t>
            </w:r>
            <w:r w:rsidRPr="00384F13">
              <w:rPr>
                <w:sz w:val="20"/>
                <w:szCs w:val="20"/>
              </w:rPr>
              <w:t xml:space="preserve">new or refurbished </w:t>
            </w:r>
            <w:r w:rsidRPr="00384F13">
              <w:rPr>
                <w:sz w:val="20"/>
                <w:szCs w:val="20"/>
                <w:lang w:val="en-IE"/>
              </w:rPr>
              <w:t xml:space="preserve">Generator Unit or Interconnector </w:t>
            </w:r>
            <w:r w:rsidRPr="00384F13">
              <w:rPr>
                <w:sz w:val="20"/>
                <w:szCs w:val="20"/>
              </w:rPr>
              <w:t xml:space="preserve">providing </w:t>
            </w:r>
            <w:r w:rsidRPr="00384F13">
              <w:rPr>
                <w:sz w:val="20"/>
                <w:szCs w:val="20"/>
                <w:lang w:val="en-IE"/>
              </w:rPr>
              <w:t>the Awarded New Capacity has met all Trading and Settlement Code and Grid Code requirements for participating in the Balancing Market; and</w:t>
            </w:r>
          </w:p>
          <w:p w14:paraId="1E79D6E3" w14:textId="1DFA6045" w:rsidR="00384F13" w:rsidRPr="00BC36C1" w:rsidRDefault="00384F13" w:rsidP="00A2557D">
            <w:pPr>
              <w:pStyle w:val="CERLEVEL6"/>
              <w:rPr>
                <w:color w:val="FF0000"/>
                <w:sz w:val="20"/>
                <w:szCs w:val="20"/>
                <w:lang w:val="en-GB"/>
              </w:rPr>
            </w:pPr>
            <w:r w:rsidRPr="00A2557D">
              <w:rPr>
                <w:color w:val="FF0000"/>
                <w:sz w:val="20"/>
                <w:szCs w:val="20"/>
              </w:rPr>
              <w:t>each new or refurbished Generator Unit providing Awarded New Capacity complies with the CO2 Limits; and</w:t>
            </w:r>
          </w:p>
          <w:p w14:paraId="41202FAC" w14:textId="77777777" w:rsidR="00BC36C1" w:rsidRDefault="00BC36C1" w:rsidP="00BC36C1">
            <w:pPr>
              <w:pStyle w:val="CERLEVEL6"/>
              <w:numPr>
                <w:ilvl w:val="0"/>
                <w:numId w:val="0"/>
              </w:numPr>
              <w:rPr>
                <w:color w:val="FF0000"/>
                <w:sz w:val="20"/>
                <w:szCs w:val="20"/>
              </w:rPr>
            </w:pPr>
          </w:p>
          <w:p w14:paraId="027E6E30" w14:textId="77777777" w:rsidR="0081106D" w:rsidRDefault="0081106D" w:rsidP="0081106D">
            <w:pPr>
              <w:ind w:left="1440" w:hanging="1440"/>
              <w:rPr>
                <w:i/>
                <w:iCs/>
              </w:rPr>
            </w:pPr>
            <w:r w:rsidRPr="00CF1790">
              <w:rPr>
                <w:i/>
                <w:iCs/>
              </w:rPr>
              <w:t>Add a new Section D.4 as follows:</w:t>
            </w:r>
          </w:p>
          <w:p w14:paraId="4755D54B" w14:textId="77777777" w:rsidR="0081106D" w:rsidRPr="00CF1790" w:rsidRDefault="0081106D" w:rsidP="0081106D">
            <w:pPr>
              <w:ind w:left="1440" w:hanging="1440"/>
              <w:rPr>
                <w:i/>
                <w:iCs/>
              </w:rPr>
            </w:pPr>
          </w:p>
          <w:p w14:paraId="42E47E62" w14:textId="77777777" w:rsidR="0081106D" w:rsidRPr="008674D9" w:rsidRDefault="0081106D" w:rsidP="0081106D">
            <w:pPr>
              <w:ind w:left="1134" w:hanging="1134"/>
              <w:rPr>
                <w:rFonts w:ascii="Arial" w:hAnsi="Arial" w:cs="Arial"/>
                <w:b/>
                <w:bCs/>
                <w:sz w:val="22"/>
                <w:szCs w:val="22"/>
              </w:rPr>
            </w:pPr>
            <w:r w:rsidRPr="008674D9">
              <w:rPr>
                <w:rFonts w:ascii="Arial" w:hAnsi="Arial" w:cs="Arial"/>
                <w:b/>
                <w:bCs/>
                <w:sz w:val="22"/>
                <w:szCs w:val="22"/>
              </w:rPr>
              <w:t>D.4</w:t>
            </w:r>
            <w:r w:rsidRPr="008674D9">
              <w:rPr>
                <w:rFonts w:ascii="Arial" w:hAnsi="Arial" w:cs="Arial"/>
                <w:b/>
                <w:bCs/>
                <w:sz w:val="22"/>
                <w:szCs w:val="22"/>
              </w:rPr>
              <w:tab/>
              <w:t>Compliance with CO2 Limits</w:t>
            </w:r>
          </w:p>
          <w:p w14:paraId="52D141CE" w14:textId="77777777" w:rsidR="0081106D" w:rsidRPr="002D15C8" w:rsidRDefault="0081106D" w:rsidP="0081106D">
            <w:pPr>
              <w:ind w:left="1134" w:hanging="1134"/>
              <w:rPr>
                <w:rFonts w:ascii="Arial" w:hAnsi="Arial" w:cs="Arial"/>
                <w:b/>
                <w:bCs/>
                <w:sz w:val="24"/>
                <w:szCs w:val="24"/>
              </w:rPr>
            </w:pPr>
          </w:p>
          <w:p w14:paraId="40D64B43" w14:textId="77777777" w:rsidR="0081106D" w:rsidRDefault="0081106D" w:rsidP="0081106D">
            <w:pPr>
              <w:ind w:left="1134" w:hanging="1134"/>
              <w:rPr>
                <w:rFonts w:ascii="Arial" w:hAnsi="Arial" w:cs="Arial"/>
              </w:rPr>
            </w:pPr>
            <w:r w:rsidRPr="008674D9">
              <w:rPr>
                <w:rFonts w:ascii="Arial" w:hAnsi="Arial" w:cs="Arial"/>
              </w:rPr>
              <w:t>D.4.1.1</w:t>
            </w:r>
            <w:r w:rsidRPr="008674D9">
              <w:rPr>
                <w:rFonts w:ascii="Arial" w:hAnsi="Arial" w:cs="Arial"/>
              </w:rPr>
              <w:tab/>
              <w:t>From time to time the Regulatory Authorities may request the System Operators to prepare a proposed methodology for determining whether a Candidate Unit complies, or will comply, with the CO2 Limits (the ‘</w:t>
            </w:r>
            <w:r w:rsidRPr="008674D9">
              <w:rPr>
                <w:rFonts w:ascii="Arial" w:hAnsi="Arial" w:cs="Arial"/>
                <w:b/>
                <w:bCs/>
              </w:rPr>
              <w:t>CO2 Limits Methodology</w:t>
            </w:r>
            <w:r w:rsidRPr="008674D9">
              <w:rPr>
                <w:rFonts w:ascii="Arial" w:hAnsi="Arial" w:cs="Arial"/>
              </w:rPr>
              <w:t>’).</w:t>
            </w:r>
          </w:p>
          <w:p w14:paraId="7812117E" w14:textId="77777777" w:rsidR="0081106D" w:rsidRPr="008674D9" w:rsidRDefault="0081106D" w:rsidP="0081106D">
            <w:pPr>
              <w:ind w:left="1134" w:hanging="1134"/>
              <w:rPr>
                <w:rFonts w:ascii="Arial" w:hAnsi="Arial" w:cs="Arial"/>
              </w:rPr>
            </w:pPr>
          </w:p>
          <w:p w14:paraId="68360BE7" w14:textId="77777777" w:rsidR="0081106D" w:rsidRDefault="0081106D" w:rsidP="0081106D">
            <w:pPr>
              <w:ind w:left="1134" w:hanging="1134"/>
              <w:rPr>
                <w:rFonts w:ascii="Arial" w:hAnsi="Arial" w:cs="Arial"/>
              </w:rPr>
            </w:pPr>
            <w:r w:rsidRPr="008674D9">
              <w:rPr>
                <w:rFonts w:ascii="Arial" w:hAnsi="Arial" w:cs="Arial"/>
              </w:rPr>
              <w:t>D.4.1.2</w:t>
            </w:r>
            <w:r w:rsidRPr="008674D9">
              <w:rPr>
                <w:rFonts w:ascii="Arial" w:hAnsi="Arial" w:cs="Arial"/>
              </w:rPr>
              <w:tab/>
              <w:t>For a Demand Side Unit, the CO2 Limits Methodology shall set out the methodology that would apply to the individual Demand Sites comprising it.</w:t>
            </w:r>
          </w:p>
          <w:p w14:paraId="7C7383F1" w14:textId="77777777" w:rsidR="0081106D" w:rsidRPr="008674D9" w:rsidRDefault="0081106D" w:rsidP="0081106D">
            <w:pPr>
              <w:ind w:left="1134" w:hanging="1134"/>
              <w:rPr>
                <w:rFonts w:ascii="Arial" w:hAnsi="Arial" w:cs="Arial"/>
              </w:rPr>
            </w:pPr>
          </w:p>
          <w:p w14:paraId="7699AB62" w14:textId="77777777" w:rsidR="0081106D" w:rsidRPr="008674D9" w:rsidRDefault="0081106D" w:rsidP="0081106D">
            <w:pPr>
              <w:ind w:left="1134" w:hanging="1134"/>
              <w:rPr>
                <w:rFonts w:ascii="Arial" w:hAnsi="Arial" w:cs="Arial"/>
              </w:rPr>
            </w:pPr>
            <w:r w:rsidRPr="008674D9">
              <w:rPr>
                <w:rFonts w:ascii="Arial" w:hAnsi="Arial" w:cs="Arial"/>
              </w:rPr>
              <w:t>D.4.1.3</w:t>
            </w:r>
            <w:r w:rsidRPr="008674D9">
              <w:rPr>
                <w:rFonts w:ascii="Arial" w:hAnsi="Arial" w:cs="Arial"/>
              </w:rPr>
              <w:tab/>
              <w:t>For an Aggregated Generator Unit, the CO2 Limits Methodology shall set out the methodology that would apply to the individual Generators comprising it.</w:t>
            </w:r>
          </w:p>
          <w:p w14:paraId="0050D21B" w14:textId="77777777" w:rsidR="0081106D" w:rsidRPr="008674D9" w:rsidRDefault="0081106D" w:rsidP="0081106D">
            <w:pPr>
              <w:pStyle w:val="CERLEVEL4"/>
              <w:numPr>
                <w:ilvl w:val="0"/>
                <w:numId w:val="0"/>
              </w:numPr>
              <w:ind w:left="1145" w:hanging="1134"/>
              <w:rPr>
                <w:rFonts w:cs="Arial"/>
                <w:sz w:val="20"/>
                <w:szCs w:val="20"/>
                <w:lang w:val="en-IE"/>
              </w:rPr>
            </w:pPr>
            <w:r w:rsidRPr="008674D9">
              <w:rPr>
                <w:rFonts w:cs="Arial"/>
                <w:sz w:val="20"/>
                <w:szCs w:val="20"/>
              </w:rPr>
              <w:t>D.4.1.4</w:t>
            </w:r>
            <w:r w:rsidRPr="008674D9">
              <w:rPr>
                <w:rFonts w:cs="Arial"/>
                <w:sz w:val="20"/>
                <w:szCs w:val="20"/>
              </w:rPr>
              <w:tab/>
            </w:r>
            <w:bookmarkStart w:id="6" w:name="_Ref469142299"/>
            <w:r w:rsidRPr="008674D9">
              <w:rPr>
                <w:rFonts w:cs="Arial"/>
                <w:sz w:val="20"/>
                <w:szCs w:val="20"/>
                <w:lang w:val="en-IE"/>
              </w:rPr>
              <w:t xml:space="preserve">The System Operators shall submit the proposed CO2 Limits Methodology to the Regulatory </w:t>
            </w:r>
            <w:r>
              <w:rPr>
                <w:rFonts w:cs="Arial"/>
                <w:sz w:val="20"/>
                <w:szCs w:val="20"/>
                <w:lang w:val="en-IE"/>
              </w:rPr>
              <w:t xml:space="preserve">       </w:t>
            </w:r>
            <w:r w:rsidRPr="008674D9">
              <w:rPr>
                <w:rFonts w:cs="Arial"/>
                <w:sz w:val="20"/>
                <w:szCs w:val="20"/>
                <w:lang w:val="en-IE"/>
              </w:rPr>
              <w:t>Authorities</w:t>
            </w:r>
            <w:bookmarkEnd w:id="6"/>
            <w:r w:rsidRPr="008674D9">
              <w:rPr>
                <w:rFonts w:cs="Arial"/>
                <w:sz w:val="20"/>
                <w:szCs w:val="20"/>
                <w:lang w:val="en-IE"/>
              </w:rPr>
              <w:t xml:space="preserve"> for approval.</w:t>
            </w:r>
          </w:p>
          <w:p w14:paraId="379900E5" w14:textId="77777777" w:rsidR="0081106D" w:rsidRDefault="0081106D" w:rsidP="0081106D">
            <w:pPr>
              <w:ind w:left="1145" w:hanging="1145"/>
              <w:rPr>
                <w:rFonts w:ascii="Arial" w:hAnsi="Arial" w:cs="Arial"/>
              </w:rPr>
            </w:pPr>
            <w:bookmarkStart w:id="7" w:name="_Ref469142874"/>
            <w:r w:rsidRPr="008674D9">
              <w:rPr>
                <w:rFonts w:ascii="Arial" w:hAnsi="Arial" w:cs="Arial"/>
              </w:rPr>
              <w:t>D.4.1.5</w:t>
            </w:r>
            <w:r w:rsidRPr="008674D9">
              <w:rPr>
                <w:rFonts w:ascii="Arial" w:hAnsi="Arial" w:cs="Arial"/>
              </w:rPr>
              <w:tab/>
              <w:t xml:space="preserve">The Regulatory Authorities may by written notice to the System Operators approve or reject </w:t>
            </w:r>
            <w:r w:rsidRPr="008674D9">
              <w:rPr>
                <w:rFonts w:ascii="Arial" w:hAnsi="Arial" w:cs="Arial"/>
                <w:lang w:val="en-IE"/>
              </w:rPr>
              <w:t xml:space="preserve">the proposed CO2 Limits Methodology </w:t>
            </w:r>
            <w:r w:rsidRPr="008674D9">
              <w:rPr>
                <w:rFonts w:ascii="Arial" w:hAnsi="Arial" w:cs="Arial"/>
              </w:rPr>
              <w:t>submitted by the System Operators under paragraph D.4.1.4 and shall in the notice give reasons in case of rejection.</w:t>
            </w:r>
            <w:bookmarkEnd w:id="7"/>
          </w:p>
          <w:p w14:paraId="03C415AE" w14:textId="77777777" w:rsidR="0081106D" w:rsidRDefault="0081106D" w:rsidP="0081106D">
            <w:pPr>
              <w:ind w:left="1145" w:hanging="1145"/>
              <w:rPr>
                <w:rFonts w:ascii="Arial" w:hAnsi="Arial" w:cs="Arial"/>
              </w:rPr>
            </w:pPr>
          </w:p>
          <w:p w14:paraId="148076D3" w14:textId="77777777" w:rsidR="0081106D" w:rsidRPr="00BC36C1" w:rsidRDefault="0081106D" w:rsidP="0081106D">
            <w:pPr>
              <w:pStyle w:val="CERLEVEL4"/>
              <w:numPr>
                <w:ilvl w:val="0"/>
                <w:numId w:val="0"/>
              </w:numPr>
              <w:ind w:left="992" w:hanging="992"/>
              <w:rPr>
                <w:sz w:val="20"/>
                <w:szCs w:val="20"/>
              </w:rPr>
            </w:pPr>
            <w:bookmarkStart w:id="8" w:name="_Ref469142922"/>
            <w:r w:rsidRPr="00BC36C1">
              <w:rPr>
                <w:sz w:val="20"/>
                <w:szCs w:val="20"/>
              </w:rPr>
              <w:lastRenderedPageBreak/>
              <w:t>D.4.1.6</w:t>
            </w:r>
            <w:r w:rsidRPr="00BC36C1">
              <w:rPr>
                <w:sz w:val="20"/>
                <w:szCs w:val="20"/>
              </w:rPr>
              <w:tab/>
              <w:t xml:space="preserve">If the Regulatory Authorities reject </w:t>
            </w:r>
            <w:r w:rsidRPr="00BC36C1">
              <w:rPr>
                <w:sz w:val="20"/>
                <w:szCs w:val="20"/>
                <w:lang w:val="en-IE"/>
              </w:rPr>
              <w:t xml:space="preserve">the proposed CO2 Limits Methodology </w:t>
            </w:r>
            <w:r w:rsidRPr="00BC36C1">
              <w:rPr>
                <w:sz w:val="20"/>
                <w:szCs w:val="20"/>
              </w:rPr>
              <w:t>submitted by the System Operators, then the Regulatory Authorities may by written notice to the System Operators determine an alternative CO2 Limits Methodology</w:t>
            </w:r>
            <w:r w:rsidRPr="00BC36C1">
              <w:rPr>
                <w:sz w:val="20"/>
                <w:szCs w:val="20"/>
                <w:lang w:val="en-IE"/>
              </w:rPr>
              <w:t xml:space="preserve"> </w:t>
            </w:r>
            <w:r w:rsidRPr="00BC36C1">
              <w:rPr>
                <w:sz w:val="20"/>
                <w:szCs w:val="20"/>
              </w:rPr>
              <w:t>in substitution for that submitted by the System Operators.</w:t>
            </w:r>
            <w:bookmarkEnd w:id="8"/>
          </w:p>
          <w:p w14:paraId="1F5B427D" w14:textId="77777777" w:rsidR="0081106D" w:rsidRPr="00BC36C1" w:rsidRDefault="0081106D" w:rsidP="0081106D">
            <w:pPr>
              <w:pStyle w:val="CERLEVEL4"/>
              <w:numPr>
                <w:ilvl w:val="0"/>
                <w:numId w:val="0"/>
              </w:numPr>
              <w:ind w:left="992" w:hanging="992"/>
              <w:rPr>
                <w:sz w:val="20"/>
                <w:szCs w:val="20"/>
                <w:lang w:val="en-IE"/>
              </w:rPr>
            </w:pPr>
            <w:r w:rsidRPr="00BC36C1">
              <w:rPr>
                <w:sz w:val="20"/>
                <w:szCs w:val="20"/>
              </w:rPr>
              <w:t>D.4.1.7</w:t>
            </w:r>
            <w:r w:rsidRPr="00BC36C1">
              <w:rPr>
                <w:sz w:val="20"/>
                <w:szCs w:val="20"/>
              </w:rPr>
              <w:tab/>
              <w:t>The System Operators shall publish the CO2 Limits Methodology</w:t>
            </w:r>
            <w:r w:rsidRPr="00BC36C1">
              <w:rPr>
                <w:sz w:val="20"/>
                <w:szCs w:val="20"/>
                <w:lang w:val="en-IE"/>
              </w:rPr>
              <w:t xml:space="preserve"> or an amended CO2 Limits Methodology within two Working Days of it being approved, determined or amended by the Regulatory Authorities under this section D.4.</w:t>
            </w:r>
          </w:p>
          <w:p w14:paraId="0AD1A8B0" w14:textId="77777777" w:rsidR="00BC36C1" w:rsidRDefault="00BC36C1" w:rsidP="00BC36C1">
            <w:pPr>
              <w:pStyle w:val="CERLEVEL6"/>
              <w:numPr>
                <w:ilvl w:val="0"/>
                <w:numId w:val="0"/>
              </w:numPr>
              <w:rPr>
                <w:color w:val="FF0000"/>
                <w:sz w:val="20"/>
                <w:szCs w:val="20"/>
              </w:rPr>
            </w:pPr>
          </w:p>
          <w:p w14:paraId="627D4937" w14:textId="77777777" w:rsidR="00BC36C1" w:rsidRDefault="00BC36C1" w:rsidP="00BC36C1">
            <w:pPr>
              <w:ind w:left="1134" w:hanging="1134"/>
              <w:rPr>
                <w:i/>
                <w:iCs/>
              </w:rPr>
            </w:pPr>
            <w:r w:rsidRPr="00105C1F">
              <w:rPr>
                <w:i/>
                <w:iCs/>
              </w:rPr>
              <w:t>Add new sub-para to Appendix D (4)</w:t>
            </w:r>
          </w:p>
          <w:p w14:paraId="2570C5D9" w14:textId="77777777" w:rsidR="00BC36C1" w:rsidRPr="00105C1F" w:rsidRDefault="00BC36C1" w:rsidP="00BC36C1">
            <w:pPr>
              <w:ind w:left="1134" w:hanging="1134"/>
              <w:rPr>
                <w:i/>
                <w:iCs/>
              </w:rPr>
            </w:pPr>
          </w:p>
          <w:p w14:paraId="7B6EA3B6" w14:textId="58550DDF" w:rsidR="00BC36C1" w:rsidRPr="00BC36C1" w:rsidRDefault="00BC36C1" w:rsidP="00BC36C1">
            <w:pPr>
              <w:ind w:left="1145" w:hanging="1134"/>
              <w:rPr>
                <w:rFonts w:ascii="Arial" w:hAnsi="Arial" w:cs="Arial"/>
              </w:rPr>
            </w:pPr>
            <w:r w:rsidRPr="00105C1F">
              <w:rPr>
                <w:rFonts w:ascii="Arial" w:hAnsi="Arial" w:cs="Arial"/>
              </w:rPr>
              <w:t>(n</w:t>
            </w:r>
            <w:r w:rsidRPr="00BC36C1">
              <w:rPr>
                <w:rFonts w:ascii="Arial" w:hAnsi="Arial" w:cs="Arial"/>
              </w:rPr>
              <w:t>)        evidence that the Candidate Unit complies with the CO2 Limits;</w:t>
            </w:r>
          </w:p>
          <w:p w14:paraId="0A94A317" w14:textId="1FC6FC49" w:rsidR="00E56EC7" w:rsidRPr="00BC36C1" w:rsidRDefault="00BC36C1" w:rsidP="00BC36C1">
            <w:pPr>
              <w:pStyle w:val="CERLEVEL6"/>
              <w:numPr>
                <w:ilvl w:val="0"/>
                <w:numId w:val="0"/>
              </w:numPr>
              <w:ind w:left="720" w:hanging="709"/>
              <w:rPr>
                <w:color w:val="FF0000"/>
                <w:sz w:val="20"/>
                <w:szCs w:val="20"/>
              </w:rPr>
            </w:pPr>
            <w:r w:rsidRPr="00BC36C1">
              <w:rPr>
                <w:rFonts w:cs="Arial"/>
                <w:sz w:val="20"/>
                <w:szCs w:val="20"/>
              </w:rPr>
              <w:t>(o)</w:t>
            </w:r>
            <w:r w:rsidRPr="00BC36C1">
              <w:rPr>
                <w:rFonts w:cs="Arial"/>
                <w:sz w:val="20"/>
                <w:szCs w:val="20"/>
              </w:rPr>
              <w:tab/>
              <w:t>in the case of Candidate Units using bioliquids and/or biomass fuels (as defined in Article 2 of Directive 2018/2001/EU), evidence that they meet the criteria set out in Article 29 of Directive 2018/2001/EU to be eligible for financial support.</w:t>
            </w:r>
          </w:p>
          <w:p w14:paraId="4889CD37" w14:textId="35D2ED1E" w:rsidR="00655845" w:rsidRPr="004A4F21" w:rsidDel="00404964" w:rsidRDefault="00655845" w:rsidP="00655845">
            <w:pPr>
              <w:overflowPunct/>
              <w:autoSpaceDE/>
              <w:autoSpaceDN/>
              <w:adjustRightInd/>
              <w:spacing w:before="120" w:after="120"/>
              <w:ind w:left="1440" w:hanging="1440"/>
              <w:jc w:val="both"/>
              <w:textAlignment w:val="auto"/>
              <w:rPr>
                <w:rFonts w:ascii="Arial" w:hAnsi="Arial" w:cs="Arial"/>
                <w:sz w:val="22"/>
                <w:szCs w:val="22"/>
              </w:rPr>
            </w:pPr>
          </w:p>
        </w:tc>
      </w:tr>
      <w:tr w:rsidR="00C22D11" w:rsidRPr="004C53E7" w14:paraId="5ECAFCAF" w14:textId="77777777" w:rsidTr="0013032E">
        <w:tc>
          <w:tcPr>
            <w:tcW w:w="9450" w:type="dxa"/>
            <w:gridSpan w:val="6"/>
            <w:shd w:val="clear" w:color="auto" w:fill="C6D9F1"/>
            <w:vAlign w:val="center"/>
          </w:tcPr>
          <w:p w14:paraId="343B3773" w14:textId="77777777" w:rsidR="00C22D11" w:rsidRPr="004C53E7" w:rsidRDefault="003571FF" w:rsidP="00EE2B7C">
            <w:pPr>
              <w:jc w:val="center"/>
              <w:rPr>
                <w:rFonts w:ascii="Calibri" w:hAnsi="Calibri" w:cs="Arial"/>
                <w:lang w:val="en-IE"/>
              </w:rPr>
            </w:pPr>
            <w:r>
              <w:rPr>
                <w:rFonts w:ascii="Calibri" w:hAnsi="Calibri" w:cs="Arial"/>
                <w:b/>
                <w:bCs/>
                <w:lang w:val="en-IE"/>
              </w:rPr>
              <w:lastRenderedPageBreak/>
              <w:t xml:space="preserve">  </w:t>
            </w:r>
          </w:p>
        </w:tc>
      </w:tr>
      <w:tr w:rsidR="00C22D11" w:rsidRPr="00AB28DB" w14:paraId="076CA98A" w14:textId="77777777" w:rsidTr="0013032E">
        <w:tc>
          <w:tcPr>
            <w:tcW w:w="9450" w:type="dxa"/>
            <w:gridSpan w:val="6"/>
            <w:vAlign w:val="center"/>
          </w:tcPr>
          <w:p w14:paraId="2C4CB179" w14:textId="77777777" w:rsidR="00584447" w:rsidRDefault="003B465E" w:rsidP="00584447">
            <w:pPr>
              <w:pStyle w:val="Default"/>
              <w:rPr>
                <w:sz w:val="22"/>
                <w:szCs w:val="22"/>
              </w:rPr>
            </w:pPr>
            <w:r>
              <w:rPr>
                <w:sz w:val="22"/>
                <w:szCs w:val="22"/>
              </w:rPr>
              <w:t>The CMC requires modification to capture the requirements for capacity mechanisms set out in Regulation 2019/943 which forms part of the European Cl</w:t>
            </w:r>
            <w:r w:rsidR="009123C4">
              <w:rPr>
                <w:sz w:val="22"/>
                <w:szCs w:val="22"/>
              </w:rPr>
              <w:t>ean Energy Package arrangements, as currently there is a disconnect between the CMC and the legal requirement within Regulation 2019/943.</w:t>
            </w:r>
          </w:p>
          <w:p w14:paraId="15413804" w14:textId="77777777" w:rsidR="003B465E" w:rsidRDefault="003B465E" w:rsidP="00584447">
            <w:pPr>
              <w:pStyle w:val="Default"/>
              <w:rPr>
                <w:sz w:val="22"/>
                <w:szCs w:val="22"/>
              </w:rPr>
            </w:pPr>
          </w:p>
          <w:p w14:paraId="020EA8C1" w14:textId="77777777" w:rsidR="00C22D11" w:rsidRPr="00AB28DB" w:rsidRDefault="00C22D11" w:rsidP="008A331A">
            <w:pPr>
              <w:pStyle w:val="Default"/>
              <w:rPr>
                <w:sz w:val="22"/>
                <w:szCs w:val="22"/>
                <w:lang w:val="en-IE"/>
              </w:rPr>
            </w:pPr>
          </w:p>
        </w:tc>
      </w:tr>
      <w:tr w:rsidR="00C22D11" w:rsidRPr="004C53E7" w14:paraId="6CE1BB41" w14:textId="77777777" w:rsidTr="0013032E">
        <w:tc>
          <w:tcPr>
            <w:tcW w:w="9450" w:type="dxa"/>
            <w:gridSpan w:val="6"/>
            <w:shd w:val="clear" w:color="auto" w:fill="C6D9F1"/>
            <w:vAlign w:val="center"/>
          </w:tcPr>
          <w:p w14:paraId="6EB0DA2A"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11AE7596"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2D51C778" w14:textId="77777777" w:rsidTr="0013032E">
        <w:tc>
          <w:tcPr>
            <w:tcW w:w="9450" w:type="dxa"/>
            <w:gridSpan w:val="6"/>
            <w:vAlign w:val="center"/>
          </w:tcPr>
          <w:p w14:paraId="2AD99C8F" w14:textId="77777777" w:rsidR="00651926" w:rsidRDefault="00651926" w:rsidP="00651926">
            <w:pPr>
              <w:pStyle w:val="CERLEVEL5"/>
              <w:ind w:left="578"/>
              <w:rPr>
                <w:i/>
              </w:rPr>
            </w:pPr>
            <w:r w:rsidRPr="00651926">
              <w:rPr>
                <w:i/>
              </w:rPr>
              <w:t xml:space="preserve">to facilitate the efficient, economic and coordinated operation, administration and development of the Capacity Market and the provision of adequate future capacity in a financially secure manner; </w:t>
            </w:r>
          </w:p>
          <w:p w14:paraId="7957DBCF" w14:textId="77777777" w:rsidR="00881AE6" w:rsidRDefault="00376B9F" w:rsidP="00881AE6">
            <w:pPr>
              <w:pStyle w:val="CERLEVEL5"/>
              <w:numPr>
                <w:ilvl w:val="0"/>
                <w:numId w:val="0"/>
              </w:numPr>
              <w:ind w:left="-131"/>
            </w:pPr>
            <w:r>
              <w:t>This modification is to bring the Code up to date with the legal requirements for capacity mechanisms as set out in Regulation 2019/943.  Having the Code aligned with these Regulations will allow for the application, qualification and overall auction process to be carried out in a coordinated way and ensure that adequate future capacity is secured which meets the emissions limits specified in the Regulation 2019/943.</w:t>
            </w:r>
          </w:p>
          <w:p w14:paraId="3A988771" w14:textId="77777777" w:rsidR="00657A29" w:rsidRDefault="00657A29" w:rsidP="00881AE6">
            <w:pPr>
              <w:pStyle w:val="CERLEVEL5"/>
              <w:numPr>
                <w:ilvl w:val="0"/>
                <w:numId w:val="0"/>
              </w:numPr>
              <w:ind w:left="-131"/>
            </w:pPr>
          </w:p>
          <w:p w14:paraId="0890BB9E" w14:textId="77777777" w:rsidR="00881AE6" w:rsidRPr="00657A29" w:rsidRDefault="00881AE6" w:rsidP="00881AE6">
            <w:pPr>
              <w:pStyle w:val="CERLEVEL5"/>
              <w:ind w:left="578"/>
              <w:rPr>
                <w:i/>
              </w:rPr>
            </w:pPr>
            <w:r w:rsidRPr="00657A29">
              <w:rPr>
                <w:i/>
              </w:rPr>
              <w:t>to facilitate the participation of undertakings including electricity undertakings engaged or seeking to be engaged in the provision of electricity capacity in the Capacity Market;</w:t>
            </w:r>
          </w:p>
          <w:p w14:paraId="337A4D67" w14:textId="77777777" w:rsidR="00657A29" w:rsidRPr="00881AE6" w:rsidRDefault="00657A29" w:rsidP="00657A29">
            <w:pPr>
              <w:pStyle w:val="CERLEVEL5"/>
              <w:numPr>
                <w:ilvl w:val="0"/>
                <w:numId w:val="0"/>
              </w:numPr>
              <w:ind w:left="11"/>
            </w:pPr>
            <w:r>
              <w:t>This modification seeks to ensure that those capacity providers already engaged or seeking to engage in the provision of electricity capacity in the Capacity Market do so in a manner which meets the requirements set out in Regulation 2019/943, predominantly relating to adherence of the emissions limits specified.</w:t>
            </w:r>
            <w:r w:rsidRPr="00881AE6">
              <w:t xml:space="preserve"> </w:t>
            </w:r>
          </w:p>
          <w:p w14:paraId="75F83A50" w14:textId="77777777" w:rsidR="00881AE6" w:rsidRDefault="00881AE6" w:rsidP="00376B9F">
            <w:pPr>
              <w:pStyle w:val="CERLEVEL5"/>
              <w:numPr>
                <w:ilvl w:val="0"/>
                <w:numId w:val="0"/>
              </w:numPr>
              <w:ind w:left="-131"/>
            </w:pPr>
          </w:p>
          <w:p w14:paraId="4EE1FD5B" w14:textId="77777777" w:rsidR="00651926" w:rsidRPr="00651926" w:rsidRDefault="00651926" w:rsidP="00651926">
            <w:pPr>
              <w:pStyle w:val="CERLEVEL5"/>
              <w:numPr>
                <w:ilvl w:val="0"/>
                <w:numId w:val="0"/>
              </w:numPr>
              <w:ind w:left="578" w:hanging="709"/>
              <w:rPr>
                <w:i/>
              </w:rPr>
            </w:pPr>
            <w:r>
              <w:rPr>
                <w:i/>
                <w:lang w:val="en-IE"/>
              </w:rPr>
              <w:t xml:space="preserve">(g)       </w:t>
            </w:r>
            <w:r w:rsidRPr="00651926">
              <w:rPr>
                <w:i/>
                <w:lang w:val="en-IE"/>
              </w:rPr>
              <w:t>through the development of the Capacity Market, to promote the short-term and long-term interests of consumers of electricity with respect to price, quality, reliability, and security of supply of electricity across the Island of Ireland.</w:t>
            </w:r>
          </w:p>
          <w:p w14:paraId="4EC17449" w14:textId="77777777" w:rsidR="004169DD" w:rsidRDefault="00376B9F" w:rsidP="00657A29">
            <w:pPr>
              <w:pStyle w:val="CERLEVEL5"/>
              <w:numPr>
                <w:ilvl w:val="0"/>
                <w:numId w:val="0"/>
              </w:numPr>
              <w:ind w:left="-131"/>
            </w:pPr>
            <w:r>
              <w:t xml:space="preserve">This modification seeks to develop the Capacity Market in line with the requirements set out in Regulation 2019/943 and will promote the interests of consumers of electricity with respect to the quality of the electricity supplied due </w:t>
            </w:r>
            <w:r w:rsidR="0039274D">
              <w:t xml:space="preserve">to the </w:t>
            </w:r>
            <w:r>
              <w:t>environmental benefits of lower emissions.</w:t>
            </w:r>
          </w:p>
          <w:p w14:paraId="6E96E165" w14:textId="77777777" w:rsidR="00F76C97" w:rsidRPr="003B1258" w:rsidRDefault="00F76C97" w:rsidP="008A331A">
            <w:pPr>
              <w:pStyle w:val="CERLEVEL5"/>
              <w:numPr>
                <w:ilvl w:val="0"/>
                <w:numId w:val="0"/>
              </w:numPr>
            </w:pPr>
          </w:p>
        </w:tc>
      </w:tr>
      <w:tr w:rsidR="00C22D11" w:rsidRPr="004C53E7" w14:paraId="3088CADD" w14:textId="77777777" w:rsidTr="0013032E">
        <w:tc>
          <w:tcPr>
            <w:tcW w:w="9450" w:type="dxa"/>
            <w:gridSpan w:val="6"/>
            <w:shd w:val="clear" w:color="auto" w:fill="C6D9F1"/>
            <w:vAlign w:val="center"/>
          </w:tcPr>
          <w:p w14:paraId="355E1019"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49C7030"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lastRenderedPageBreak/>
              <w:t>(State the possible outcomes should the Modification Proposal not be implemented</w:t>
            </w:r>
            <w:r w:rsidRPr="004C53E7">
              <w:rPr>
                <w:rFonts w:ascii="Calibri" w:hAnsi="Calibri" w:cs="Arial"/>
                <w:i/>
                <w:lang w:val="en-IE" w:eastAsia="en-US"/>
              </w:rPr>
              <w:t>)</w:t>
            </w:r>
          </w:p>
        </w:tc>
      </w:tr>
      <w:tr w:rsidR="00C22D11" w:rsidRPr="004C53E7" w14:paraId="6072ADA4" w14:textId="77777777" w:rsidTr="0013032E">
        <w:tc>
          <w:tcPr>
            <w:tcW w:w="9450" w:type="dxa"/>
            <w:gridSpan w:val="6"/>
            <w:vAlign w:val="center"/>
          </w:tcPr>
          <w:p w14:paraId="0ADB49A5" w14:textId="77777777" w:rsidR="0068173F" w:rsidRDefault="007831CD" w:rsidP="008F38E6">
            <w:pPr>
              <w:rPr>
                <w:rFonts w:ascii="Arial" w:hAnsi="Arial" w:cs="Arial"/>
                <w:sz w:val="22"/>
                <w:szCs w:val="22"/>
                <w:lang w:val="en-IE"/>
              </w:rPr>
            </w:pPr>
            <w:r>
              <w:rPr>
                <w:rFonts w:ascii="Arial" w:hAnsi="Arial" w:cs="Arial"/>
                <w:sz w:val="22"/>
                <w:szCs w:val="22"/>
                <w:lang w:val="en-IE"/>
              </w:rPr>
              <w:lastRenderedPageBreak/>
              <w:t>If this Modification Proposal were not to be implemented then the CMC would continue not to reflect the Clean Energy Package requirements which relate spe</w:t>
            </w:r>
            <w:r w:rsidR="00036633">
              <w:rPr>
                <w:rFonts w:ascii="Arial" w:hAnsi="Arial" w:cs="Arial"/>
                <w:sz w:val="22"/>
                <w:szCs w:val="22"/>
                <w:lang w:val="en-IE"/>
              </w:rPr>
              <w:t xml:space="preserve">cifically to Capacity Mechanism and risk being in conflict with the Regulation 2019/943. </w:t>
            </w:r>
            <w:r>
              <w:rPr>
                <w:rFonts w:ascii="Arial" w:hAnsi="Arial" w:cs="Arial"/>
                <w:sz w:val="22"/>
                <w:szCs w:val="22"/>
                <w:lang w:val="en-IE"/>
              </w:rPr>
              <w:t xml:space="preserve"> </w:t>
            </w:r>
          </w:p>
          <w:p w14:paraId="19A4EBC0" w14:textId="77777777" w:rsidR="0068173F" w:rsidRDefault="0068173F" w:rsidP="008F38E6">
            <w:pPr>
              <w:rPr>
                <w:rFonts w:ascii="Arial" w:hAnsi="Arial" w:cs="Arial"/>
                <w:sz w:val="22"/>
                <w:szCs w:val="22"/>
                <w:lang w:val="en-IE"/>
              </w:rPr>
            </w:pPr>
          </w:p>
          <w:p w14:paraId="66F4F00D" w14:textId="77777777" w:rsidR="00650489" w:rsidRDefault="0068173F" w:rsidP="008F38E6">
            <w:pPr>
              <w:rPr>
                <w:rFonts w:ascii="Arial" w:hAnsi="Arial" w:cs="Arial"/>
                <w:sz w:val="22"/>
                <w:szCs w:val="22"/>
                <w:lang w:val="en-IE"/>
              </w:rPr>
            </w:pPr>
            <w:r>
              <w:rPr>
                <w:rFonts w:ascii="Arial" w:hAnsi="Arial" w:cs="Arial"/>
                <w:sz w:val="22"/>
                <w:szCs w:val="22"/>
                <w:lang w:val="en-IE"/>
              </w:rPr>
              <w:t>In practical terms, t</w:t>
            </w:r>
            <w:r w:rsidR="00EC3CB1">
              <w:rPr>
                <w:rFonts w:ascii="Arial" w:hAnsi="Arial" w:cs="Arial"/>
                <w:sz w:val="22"/>
                <w:szCs w:val="22"/>
                <w:lang w:val="en-IE"/>
              </w:rPr>
              <w:t>he risk of not implementing this modification is that the Capacity Market process may award new capacity contr</w:t>
            </w:r>
            <w:r>
              <w:rPr>
                <w:rFonts w:ascii="Arial" w:hAnsi="Arial" w:cs="Arial"/>
                <w:sz w:val="22"/>
                <w:szCs w:val="22"/>
                <w:lang w:val="en-IE"/>
              </w:rPr>
              <w:t>acts to capacity providers who</w:t>
            </w:r>
            <w:r w:rsidR="00EC3CB1">
              <w:rPr>
                <w:rFonts w:ascii="Arial" w:hAnsi="Arial" w:cs="Arial"/>
                <w:sz w:val="22"/>
                <w:szCs w:val="22"/>
                <w:lang w:val="en-IE"/>
              </w:rPr>
              <w:t xml:space="preserve"> emit more than is allowed for within the Regulation 2019/943.</w:t>
            </w:r>
          </w:p>
          <w:p w14:paraId="5DAA119D" w14:textId="77777777" w:rsidR="00F76C97" w:rsidRPr="003B7AB6" w:rsidRDefault="00F76C97" w:rsidP="008A331A">
            <w:pPr>
              <w:rPr>
                <w:rFonts w:ascii="Arial" w:hAnsi="Arial" w:cs="Arial"/>
                <w:sz w:val="22"/>
                <w:szCs w:val="22"/>
                <w:lang w:val="en-IE"/>
              </w:rPr>
            </w:pPr>
          </w:p>
        </w:tc>
      </w:tr>
      <w:tr w:rsidR="009342A5" w:rsidRPr="004C53E7" w14:paraId="1D45D6F3" w14:textId="77777777" w:rsidTr="00390C49">
        <w:trPr>
          <w:trHeight w:val="507"/>
        </w:trPr>
        <w:tc>
          <w:tcPr>
            <w:tcW w:w="9450" w:type="dxa"/>
            <w:gridSpan w:val="6"/>
            <w:shd w:val="clear" w:color="auto" w:fill="C6D9F1"/>
            <w:vAlign w:val="center"/>
          </w:tcPr>
          <w:p w14:paraId="2A7C6537"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0143B365"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5C6FE129" w14:textId="77777777" w:rsidTr="00932C15">
        <w:trPr>
          <w:trHeight w:val="507"/>
        </w:trPr>
        <w:tc>
          <w:tcPr>
            <w:tcW w:w="9450" w:type="dxa"/>
            <w:gridSpan w:val="6"/>
            <w:vAlign w:val="center"/>
          </w:tcPr>
          <w:p w14:paraId="1B53F708" w14:textId="77777777" w:rsidR="00EC3CB1" w:rsidRDefault="00EC3CB1" w:rsidP="00CE0E27">
            <w:pPr>
              <w:pStyle w:val="Default"/>
              <w:rPr>
                <w:sz w:val="22"/>
                <w:szCs w:val="22"/>
                <w:lang w:val="en-IE"/>
              </w:rPr>
            </w:pPr>
          </w:p>
          <w:p w14:paraId="7F38A935" w14:textId="77777777" w:rsidR="0068173F" w:rsidRDefault="00CE0E27" w:rsidP="00CE0E27">
            <w:pPr>
              <w:pStyle w:val="Default"/>
              <w:rPr>
                <w:sz w:val="22"/>
                <w:szCs w:val="22"/>
                <w:lang w:val="en-IE"/>
              </w:rPr>
            </w:pPr>
            <w:r w:rsidRPr="00CE0E27">
              <w:rPr>
                <w:sz w:val="22"/>
                <w:szCs w:val="22"/>
                <w:lang w:val="en-IE"/>
              </w:rPr>
              <w:t>T</w:t>
            </w:r>
            <w:r>
              <w:rPr>
                <w:sz w:val="22"/>
                <w:szCs w:val="22"/>
                <w:lang w:val="en-IE"/>
              </w:rPr>
              <w:t>he requirement that only capacity providers who meet the emissions limits set out in the Regulation</w:t>
            </w:r>
            <w:r w:rsidRPr="00CE0E27">
              <w:rPr>
                <w:sz w:val="22"/>
                <w:szCs w:val="22"/>
                <w:lang w:val="en-IE"/>
              </w:rPr>
              <w:t xml:space="preserve"> </w:t>
            </w:r>
            <w:r w:rsidR="0068173F">
              <w:rPr>
                <w:sz w:val="22"/>
                <w:szCs w:val="22"/>
                <w:lang w:val="en-IE"/>
              </w:rPr>
              <w:t xml:space="preserve">can participate in the Capacity Market </w:t>
            </w:r>
            <w:r w:rsidRPr="00CE0E27">
              <w:rPr>
                <w:sz w:val="22"/>
                <w:szCs w:val="22"/>
                <w:lang w:val="en-IE"/>
              </w:rPr>
              <w:t xml:space="preserve">will require </w:t>
            </w:r>
            <w:r>
              <w:rPr>
                <w:sz w:val="22"/>
                <w:szCs w:val="22"/>
                <w:lang w:val="en-IE"/>
              </w:rPr>
              <w:t xml:space="preserve">revisions </w:t>
            </w:r>
            <w:r w:rsidRPr="00CE0E27">
              <w:rPr>
                <w:sz w:val="22"/>
                <w:szCs w:val="22"/>
                <w:lang w:val="en-IE"/>
              </w:rPr>
              <w:t>to the TSOs Capacity Market application</w:t>
            </w:r>
            <w:r>
              <w:rPr>
                <w:sz w:val="22"/>
                <w:szCs w:val="22"/>
                <w:lang w:val="en-IE"/>
              </w:rPr>
              <w:t xml:space="preserve"> and</w:t>
            </w:r>
            <w:r w:rsidRPr="00CE0E27">
              <w:rPr>
                <w:sz w:val="22"/>
                <w:szCs w:val="22"/>
                <w:lang w:val="en-IE"/>
              </w:rPr>
              <w:t xml:space="preserve"> qualification processes.</w:t>
            </w:r>
          </w:p>
          <w:p w14:paraId="3BC060C2" w14:textId="77777777" w:rsidR="0068173F" w:rsidRDefault="0068173F" w:rsidP="00CE0E27">
            <w:pPr>
              <w:pStyle w:val="Default"/>
              <w:rPr>
                <w:sz w:val="22"/>
                <w:szCs w:val="22"/>
                <w:lang w:val="en-IE"/>
              </w:rPr>
            </w:pPr>
          </w:p>
          <w:p w14:paraId="5E4CD681" w14:textId="77777777" w:rsidR="00CE0E27" w:rsidRDefault="0068173F" w:rsidP="00CE0E27">
            <w:pPr>
              <w:pStyle w:val="Default"/>
              <w:rPr>
                <w:sz w:val="22"/>
                <w:szCs w:val="22"/>
                <w:lang w:val="en-IE"/>
              </w:rPr>
            </w:pPr>
            <w:r>
              <w:rPr>
                <w:sz w:val="22"/>
                <w:szCs w:val="22"/>
                <w:lang w:val="en-IE"/>
              </w:rPr>
              <w:t>The RAs will also need to update their exception application templates for New Capacity and possibly Unit Specific Price Cap applicants.</w:t>
            </w:r>
          </w:p>
          <w:p w14:paraId="44CDFF82" w14:textId="77777777" w:rsidR="0068173F" w:rsidRDefault="0068173F" w:rsidP="00CE0E27">
            <w:pPr>
              <w:pStyle w:val="Default"/>
              <w:rPr>
                <w:sz w:val="22"/>
                <w:szCs w:val="22"/>
                <w:lang w:val="en-IE"/>
              </w:rPr>
            </w:pPr>
          </w:p>
          <w:p w14:paraId="2DD0069A" w14:textId="77777777" w:rsidR="00C00A34" w:rsidRDefault="00CE0E27" w:rsidP="00CE0E27">
            <w:pPr>
              <w:pStyle w:val="Default"/>
              <w:rPr>
                <w:sz w:val="22"/>
                <w:szCs w:val="22"/>
                <w:lang w:val="en-IE"/>
              </w:rPr>
            </w:pPr>
            <w:r w:rsidRPr="00CE0E27">
              <w:rPr>
                <w:sz w:val="22"/>
                <w:szCs w:val="22"/>
                <w:lang w:val="en-IE"/>
              </w:rPr>
              <w:t>Specifically in respect of new capacity the TSOs processes will need to be updated to capture the additional emission limit requirements for assessing the Substantial Completion st</w:t>
            </w:r>
            <w:r>
              <w:rPr>
                <w:sz w:val="22"/>
                <w:szCs w:val="22"/>
                <w:lang w:val="en-IE"/>
              </w:rPr>
              <w:t>age for new capacity in advance of Reliability Option payments being made.</w:t>
            </w:r>
          </w:p>
          <w:p w14:paraId="209A1CC3" w14:textId="77777777" w:rsidR="0068173F" w:rsidRDefault="0068173F" w:rsidP="00CE0E27">
            <w:pPr>
              <w:pStyle w:val="Default"/>
              <w:rPr>
                <w:sz w:val="22"/>
                <w:szCs w:val="22"/>
                <w:lang w:val="en-IE"/>
              </w:rPr>
            </w:pPr>
          </w:p>
          <w:p w14:paraId="534E1E02" w14:textId="77777777" w:rsidR="0068173F" w:rsidRDefault="0068173F" w:rsidP="0068173F">
            <w:pPr>
              <w:pStyle w:val="Default"/>
              <w:rPr>
                <w:sz w:val="22"/>
                <w:szCs w:val="22"/>
                <w:lang w:val="en-IE"/>
              </w:rPr>
            </w:pPr>
            <w:r>
              <w:rPr>
                <w:sz w:val="22"/>
                <w:szCs w:val="22"/>
                <w:lang w:val="en-IE"/>
              </w:rPr>
              <w:t>The RAs will also seek to be reassured that the emissions limits are being adhered and sufficient information has been provided to the TSOs and/or RAs in advance of the SEM Committee approving both the qualification results and the auction results.</w:t>
            </w:r>
          </w:p>
          <w:p w14:paraId="76E22344" w14:textId="1EC0CB59" w:rsidR="00651926" w:rsidRPr="00CE0E27" w:rsidDel="00404964" w:rsidRDefault="00651926" w:rsidP="0068173F">
            <w:pPr>
              <w:pStyle w:val="Default"/>
              <w:rPr>
                <w:sz w:val="22"/>
                <w:szCs w:val="22"/>
                <w:lang w:val="en-IE"/>
              </w:rPr>
            </w:pPr>
          </w:p>
        </w:tc>
      </w:tr>
      <w:tr w:rsidR="00C22D11" w:rsidRPr="004C53E7" w14:paraId="51418FBE" w14:textId="77777777" w:rsidTr="0013032E">
        <w:tc>
          <w:tcPr>
            <w:tcW w:w="9450" w:type="dxa"/>
            <w:gridSpan w:val="6"/>
            <w:vAlign w:val="center"/>
          </w:tcPr>
          <w:p w14:paraId="4B1DCCAB"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1"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5B343AC6"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7DBF9418"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39A15893"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7DCFE2FB"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2B43A062"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5C6CAA57" w14:textId="77777777" w:rsidR="008A331A" w:rsidRDefault="008A331A" w:rsidP="008A331A">
      <w:pPr>
        <w:jc w:val="center"/>
        <w:rPr>
          <w:rFonts w:ascii="Calibri" w:hAnsi="Calibri" w:cs="Arial"/>
          <w:b/>
        </w:rPr>
      </w:pPr>
    </w:p>
    <w:p w14:paraId="4FCFA42C"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6BD9FA48"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2463953E"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1B613362"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7AFCF17E" w14:textId="77777777" w:rsidR="008A331A" w:rsidRDefault="008A331A" w:rsidP="008A331A">
      <w:pPr>
        <w:jc w:val="both"/>
        <w:rPr>
          <w:rFonts w:ascii="Arial" w:hAnsi="Arial" w:cs="Arial"/>
          <w:b/>
          <w:sz w:val="16"/>
          <w:szCs w:val="16"/>
          <w:lang w:val="en-IE"/>
        </w:rPr>
      </w:pPr>
    </w:p>
    <w:p w14:paraId="54C96622"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4D600DD4"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78FF51EF"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75F72872" w14:textId="77777777" w:rsidR="008A331A" w:rsidRDefault="008A331A" w:rsidP="008A331A">
      <w:pPr>
        <w:jc w:val="both"/>
        <w:rPr>
          <w:rFonts w:ascii="Arial" w:hAnsi="Arial" w:cs="Arial"/>
          <w:b/>
          <w:sz w:val="16"/>
          <w:szCs w:val="16"/>
          <w:lang w:val="en-IE"/>
        </w:rPr>
      </w:pPr>
    </w:p>
    <w:p w14:paraId="25D7898A"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58C42ACE" w14:textId="77777777" w:rsidR="008A331A" w:rsidRDefault="008A331A" w:rsidP="008A331A">
      <w:pPr>
        <w:tabs>
          <w:tab w:val="left" w:pos="360"/>
        </w:tabs>
        <w:ind w:left="720"/>
        <w:jc w:val="both"/>
        <w:rPr>
          <w:rFonts w:ascii="Arial" w:hAnsi="Arial" w:cs="Arial"/>
          <w:b/>
          <w:sz w:val="16"/>
          <w:szCs w:val="16"/>
          <w:lang w:val="en-IE"/>
        </w:rPr>
      </w:pPr>
    </w:p>
    <w:p w14:paraId="78AAF919"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5223333C" w14:textId="77777777" w:rsidR="008A331A" w:rsidRDefault="008A331A" w:rsidP="008A331A">
      <w:pPr>
        <w:tabs>
          <w:tab w:val="left" w:pos="360"/>
        </w:tabs>
        <w:ind w:left="720" w:hanging="360"/>
        <w:jc w:val="both"/>
        <w:rPr>
          <w:rFonts w:ascii="Arial" w:hAnsi="Arial" w:cs="Arial"/>
          <w:b/>
          <w:sz w:val="16"/>
          <w:szCs w:val="16"/>
          <w:lang w:val="en-IE"/>
        </w:rPr>
      </w:pPr>
    </w:p>
    <w:p w14:paraId="2B71681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38B29498" w14:textId="77777777" w:rsidR="008A331A" w:rsidRDefault="008A331A" w:rsidP="008A331A">
      <w:pPr>
        <w:tabs>
          <w:tab w:val="left" w:pos="360"/>
        </w:tabs>
        <w:ind w:left="1080" w:hanging="360"/>
        <w:jc w:val="both"/>
        <w:rPr>
          <w:rFonts w:ascii="Arial" w:hAnsi="Arial" w:cs="Arial"/>
          <w:b/>
          <w:sz w:val="16"/>
          <w:szCs w:val="16"/>
          <w:lang w:val="en-IE"/>
        </w:rPr>
      </w:pPr>
    </w:p>
    <w:p w14:paraId="35FB5014"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053BE656" w14:textId="77777777" w:rsidR="008A331A" w:rsidRDefault="008A331A" w:rsidP="008A331A">
      <w:pPr>
        <w:tabs>
          <w:tab w:val="left" w:pos="360"/>
        </w:tabs>
        <w:ind w:left="1440" w:hanging="360"/>
        <w:jc w:val="both"/>
        <w:rPr>
          <w:rFonts w:ascii="Arial" w:hAnsi="Arial" w:cs="Arial"/>
          <w:b/>
          <w:sz w:val="16"/>
          <w:szCs w:val="16"/>
          <w:lang w:val="en-IE"/>
        </w:rPr>
      </w:pPr>
    </w:p>
    <w:p w14:paraId="66002743"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2EEF341F" w14:textId="77777777" w:rsidR="008A331A" w:rsidRDefault="008A331A" w:rsidP="008A331A">
      <w:pPr>
        <w:tabs>
          <w:tab w:val="left" w:pos="360"/>
        </w:tabs>
        <w:ind w:left="1440" w:hanging="360"/>
        <w:jc w:val="both"/>
        <w:rPr>
          <w:rFonts w:ascii="Arial" w:hAnsi="Arial" w:cs="Arial"/>
          <w:b/>
          <w:sz w:val="16"/>
          <w:szCs w:val="16"/>
          <w:lang w:val="en-IE"/>
        </w:rPr>
      </w:pPr>
    </w:p>
    <w:p w14:paraId="29AF49A0"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44A85A17" w14:textId="77777777" w:rsidR="008A331A" w:rsidRDefault="008A331A" w:rsidP="008A331A">
      <w:pPr>
        <w:tabs>
          <w:tab w:val="left" w:pos="360"/>
        </w:tabs>
        <w:ind w:left="1440" w:hanging="360"/>
        <w:jc w:val="both"/>
        <w:rPr>
          <w:rFonts w:ascii="Arial" w:hAnsi="Arial" w:cs="Arial"/>
          <w:b/>
          <w:sz w:val="16"/>
          <w:szCs w:val="16"/>
          <w:lang w:val="en-IE"/>
        </w:rPr>
      </w:pPr>
    </w:p>
    <w:p w14:paraId="0994EB77"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3119F62B" w14:textId="77777777" w:rsidR="008A331A" w:rsidRDefault="008A331A" w:rsidP="008A331A">
      <w:pPr>
        <w:tabs>
          <w:tab w:val="left" w:pos="360"/>
        </w:tabs>
        <w:ind w:left="1440" w:hanging="360"/>
        <w:jc w:val="both"/>
        <w:rPr>
          <w:rFonts w:ascii="Arial" w:hAnsi="Arial" w:cs="Arial"/>
          <w:b/>
          <w:sz w:val="16"/>
          <w:szCs w:val="16"/>
          <w:lang w:val="en-IE"/>
        </w:rPr>
      </w:pPr>
    </w:p>
    <w:p w14:paraId="4C05A377"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0F5CEFE3" w14:textId="77777777" w:rsidR="008A331A" w:rsidRDefault="008A331A" w:rsidP="008A331A">
      <w:pPr>
        <w:tabs>
          <w:tab w:val="left" w:pos="360"/>
        </w:tabs>
        <w:ind w:left="1080" w:hanging="360"/>
        <w:jc w:val="both"/>
        <w:rPr>
          <w:rFonts w:ascii="Arial" w:hAnsi="Arial" w:cs="Arial"/>
          <w:b/>
          <w:sz w:val="16"/>
          <w:szCs w:val="16"/>
          <w:lang w:val="en-IE"/>
        </w:rPr>
      </w:pPr>
    </w:p>
    <w:p w14:paraId="7B6BA14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6B16AAAE" w14:textId="77777777" w:rsidR="008A331A" w:rsidRDefault="008A331A" w:rsidP="008A331A">
      <w:pPr>
        <w:tabs>
          <w:tab w:val="left" w:pos="360"/>
        </w:tabs>
        <w:ind w:left="1080" w:hanging="360"/>
        <w:jc w:val="both"/>
        <w:rPr>
          <w:rFonts w:ascii="Arial" w:hAnsi="Arial" w:cs="Arial"/>
          <w:b/>
          <w:sz w:val="16"/>
          <w:szCs w:val="16"/>
          <w:lang w:val="en-IE"/>
        </w:rPr>
      </w:pPr>
    </w:p>
    <w:p w14:paraId="5F9ED483"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6B4B96CE" w14:textId="77777777" w:rsidR="008A331A" w:rsidRDefault="008A331A" w:rsidP="008A331A">
      <w:pPr>
        <w:tabs>
          <w:tab w:val="left" w:pos="360"/>
        </w:tabs>
        <w:ind w:left="1080" w:hanging="360"/>
        <w:jc w:val="both"/>
        <w:rPr>
          <w:rFonts w:ascii="Arial" w:hAnsi="Arial" w:cs="Arial"/>
          <w:b/>
          <w:sz w:val="16"/>
          <w:szCs w:val="16"/>
          <w:lang w:val="en-IE"/>
        </w:rPr>
      </w:pPr>
    </w:p>
    <w:p w14:paraId="4DE54848"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7012DE46" w14:textId="77777777" w:rsidR="004C53E7" w:rsidRPr="003F225F" w:rsidRDefault="004C53E7" w:rsidP="004C53E7">
      <w:pPr>
        <w:rPr>
          <w:rFonts w:ascii="Arial" w:hAnsi="Arial" w:cs="Arial"/>
          <w:sz w:val="22"/>
          <w:szCs w:val="22"/>
          <w:lang w:val="en-IE"/>
        </w:rPr>
      </w:pPr>
    </w:p>
    <w:p w14:paraId="1EE627C1"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F550CA"/>
    <w:multiLevelType w:val="multilevel"/>
    <w:tmpl w:val="28C0B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1">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1C79EB"/>
    <w:multiLevelType w:val="multilevel"/>
    <w:tmpl w:val="017C38CE"/>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i/>
        <w:sz w:val="20"/>
        <w:szCs w:val="20"/>
      </w:rPr>
    </w:lvl>
    <w:lvl w:ilvl="5">
      <w:start w:val="1"/>
      <w:numFmt w:val="lowerRoman"/>
      <w:pStyle w:val="CERLEVEL6"/>
      <w:lvlText w:val="(%6)"/>
      <w:lvlJc w:val="left"/>
      <w:pPr>
        <w:ind w:left="2410" w:hanging="709"/>
      </w:pPr>
      <w:rPr>
        <w:rFonts w:hint="default"/>
        <w:b w:val="0"/>
        <w:color w:val="auto"/>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7">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4B63A68"/>
    <w:multiLevelType w:val="hybridMultilevel"/>
    <w:tmpl w:val="4C6AF2C2"/>
    <w:lvl w:ilvl="0" w:tplc="8D465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9"/>
  </w:num>
  <w:num w:numId="6">
    <w:abstractNumId w:val="1"/>
  </w:num>
  <w:num w:numId="7">
    <w:abstractNumId w:val="3"/>
  </w:num>
  <w:num w:numId="8">
    <w:abstractNumId w:val="10"/>
    <w:lvlOverride w:ilvl="0">
      <w:startOverride w:val="1"/>
    </w:lvlOverride>
  </w:num>
  <w:num w:numId="9">
    <w:abstractNumId w:val="11"/>
  </w:num>
  <w:num w:numId="10">
    <w:abstractNumId w:val="2"/>
  </w:num>
  <w:num w:numId="11">
    <w:abstractNumId w:val="22"/>
  </w:num>
  <w:num w:numId="12">
    <w:abstractNumId w:val="25"/>
  </w:num>
  <w:num w:numId="13">
    <w:abstractNumId w:val="6"/>
  </w:num>
  <w:num w:numId="14">
    <w:abstractNumId w:val="24"/>
  </w:num>
  <w:num w:numId="15">
    <w:abstractNumId w:val="21"/>
  </w:num>
  <w:num w:numId="16">
    <w:abstractNumId w:val="12"/>
  </w:num>
  <w:num w:numId="17">
    <w:abstractNumId w:val="23"/>
  </w:num>
  <w:num w:numId="18">
    <w:abstractNumId w:val="19"/>
  </w:num>
  <w:num w:numId="19">
    <w:abstractNumId w:val="10"/>
    <w:lvlOverride w:ilvl="0">
      <w:startOverride w:val="1"/>
    </w:lvlOverride>
  </w:num>
  <w:num w:numId="20">
    <w:abstractNumId w:val="15"/>
  </w:num>
  <w:num w:numId="21">
    <w:abstractNumId w:val="10"/>
    <w:lvlOverride w:ilvl="0">
      <w:startOverride w:val="1"/>
    </w:lvlOverride>
  </w:num>
  <w:num w:numId="22">
    <w:abstractNumId w:val="18"/>
  </w:num>
  <w:num w:numId="23">
    <w:abstractNumId w:val="10"/>
    <w:lvlOverride w:ilvl="0">
      <w:startOverride w:val="1"/>
    </w:lvlOverride>
  </w:num>
  <w:num w:numId="24">
    <w:abstractNumId w:val="27"/>
  </w:num>
  <w:num w:numId="25">
    <w:abstractNumId w:val="10"/>
    <w:lvlOverride w:ilvl="0">
      <w:startOverride w:val="1"/>
    </w:lvlOverride>
  </w:num>
  <w:num w:numId="26">
    <w:abstractNumId w:val="10"/>
    <w:lvlOverride w:ilvl="0">
      <w:startOverride w:val="1"/>
    </w:lvlOverride>
  </w:num>
  <w:num w:numId="27">
    <w:abstractNumId w:val="5"/>
  </w:num>
  <w:num w:numId="28">
    <w:abstractNumId w:val="20"/>
  </w:num>
  <w:num w:numId="29">
    <w:abstractNumId w:val="10"/>
    <w:lvlOverride w:ilvl="0">
      <w:startOverride w:val="1"/>
    </w:lvlOverride>
  </w:num>
  <w:num w:numId="30">
    <w:abstractNumId w:val="13"/>
  </w:num>
  <w:num w:numId="31">
    <w:abstractNumId w:val="10"/>
    <w:lvlOverride w:ilvl="0">
      <w:startOverride w:val="1"/>
    </w:lvlOverride>
  </w:num>
  <w:num w:numId="32">
    <w:abstractNumId w:val="4"/>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7"/>
  </w:num>
  <w:num w:numId="37">
    <w:abstractNumId w:val="7"/>
  </w:num>
  <w:num w:numId="38">
    <w:abstractNumId w:val="14"/>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8"/>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36633"/>
    <w:rsid w:val="00056CDC"/>
    <w:rsid w:val="00061E3E"/>
    <w:rsid w:val="00062790"/>
    <w:rsid w:val="00067A1E"/>
    <w:rsid w:val="000720C6"/>
    <w:rsid w:val="00072793"/>
    <w:rsid w:val="00076DF3"/>
    <w:rsid w:val="00081256"/>
    <w:rsid w:val="000817DF"/>
    <w:rsid w:val="00082EAE"/>
    <w:rsid w:val="00087C5F"/>
    <w:rsid w:val="000C67A7"/>
    <w:rsid w:val="000C6B63"/>
    <w:rsid w:val="000E5490"/>
    <w:rsid w:val="000F6D00"/>
    <w:rsid w:val="000F6EF1"/>
    <w:rsid w:val="00110230"/>
    <w:rsid w:val="0013032E"/>
    <w:rsid w:val="00135247"/>
    <w:rsid w:val="001424CE"/>
    <w:rsid w:val="001532AD"/>
    <w:rsid w:val="00174C7B"/>
    <w:rsid w:val="001967E0"/>
    <w:rsid w:val="00197B70"/>
    <w:rsid w:val="001A2C80"/>
    <w:rsid w:val="001B5EE4"/>
    <w:rsid w:val="001D28AA"/>
    <w:rsid w:val="001D5C1B"/>
    <w:rsid w:val="002012B7"/>
    <w:rsid w:val="0020667F"/>
    <w:rsid w:val="00212FCF"/>
    <w:rsid w:val="00214CD4"/>
    <w:rsid w:val="00215BE1"/>
    <w:rsid w:val="002266C3"/>
    <w:rsid w:val="00232F6F"/>
    <w:rsid w:val="002353FD"/>
    <w:rsid w:val="00247CEE"/>
    <w:rsid w:val="002608C9"/>
    <w:rsid w:val="0026274E"/>
    <w:rsid w:val="00271BC3"/>
    <w:rsid w:val="00272988"/>
    <w:rsid w:val="002758CF"/>
    <w:rsid w:val="00280203"/>
    <w:rsid w:val="002B193D"/>
    <w:rsid w:val="002B7AF4"/>
    <w:rsid w:val="00315EE8"/>
    <w:rsid w:val="003217E4"/>
    <w:rsid w:val="0034317C"/>
    <w:rsid w:val="00355080"/>
    <w:rsid w:val="00356516"/>
    <w:rsid w:val="003571FF"/>
    <w:rsid w:val="00361C16"/>
    <w:rsid w:val="0037296D"/>
    <w:rsid w:val="00376B9F"/>
    <w:rsid w:val="00384F13"/>
    <w:rsid w:val="0039274D"/>
    <w:rsid w:val="003A2A7C"/>
    <w:rsid w:val="003A7DB8"/>
    <w:rsid w:val="003B1258"/>
    <w:rsid w:val="003B465E"/>
    <w:rsid w:val="003B7AB6"/>
    <w:rsid w:val="003F2803"/>
    <w:rsid w:val="003F58EF"/>
    <w:rsid w:val="00403843"/>
    <w:rsid w:val="00405483"/>
    <w:rsid w:val="004169DD"/>
    <w:rsid w:val="00416C0B"/>
    <w:rsid w:val="00420161"/>
    <w:rsid w:val="004240A7"/>
    <w:rsid w:val="00431400"/>
    <w:rsid w:val="00437DF2"/>
    <w:rsid w:val="004566DA"/>
    <w:rsid w:val="004665F9"/>
    <w:rsid w:val="004A38DC"/>
    <w:rsid w:val="004A4F21"/>
    <w:rsid w:val="004A7E23"/>
    <w:rsid w:val="004C53E7"/>
    <w:rsid w:val="004E4830"/>
    <w:rsid w:val="004E55C1"/>
    <w:rsid w:val="004F3593"/>
    <w:rsid w:val="00511F29"/>
    <w:rsid w:val="00563421"/>
    <w:rsid w:val="00573228"/>
    <w:rsid w:val="00581FA7"/>
    <w:rsid w:val="00583FE0"/>
    <w:rsid w:val="00584447"/>
    <w:rsid w:val="005B0118"/>
    <w:rsid w:val="005B01E4"/>
    <w:rsid w:val="005C1FF8"/>
    <w:rsid w:val="005C29F7"/>
    <w:rsid w:val="005F53BC"/>
    <w:rsid w:val="005F5958"/>
    <w:rsid w:val="00607C31"/>
    <w:rsid w:val="00614202"/>
    <w:rsid w:val="00617892"/>
    <w:rsid w:val="006213AF"/>
    <w:rsid w:val="0063249B"/>
    <w:rsid w:val="00650489"/>
    <w:rsid w:val="00651926"/>
    <w:rsid w:val="00655845"/>
    <w:rsid w:val="00657A29"/>
    <w:rsid w:val="00676D2F"/>
    <w:rsid w:val="00677D2C"/>
    <w:rsid w:val="0068173F"/>
    <w:rsid w:val="00690E9A"/>
    <w:rsid w:val="006A0219"/>
    <w:rsid w:val="006A1D4D"/>
    <w:rsid w:val="006D7948"/>
    <w:rsid w:val="006E3612"/>
    <w:rsid w:val="006E3E44"/>
    <w:rsid w:val="00704FE5"/>
    <w:rsid w:val="00714DC8"/>
    <w:rsid w:val="0072182B"/>
    <w:rsid w:val="00730238"/>
    <w:rsid w:val="00733092"/>
    <w:rsid w:val="00734A88"/>
    <w:rsid w:val="00751E25"/>
    <w:rsid w:val="0076195F"/>
    <w:rsid w:val="00763729"/>
    <w:rsid w:val="00764B12"/>
    <w:rsid w:val="007831CD"/>
    <w:rsid w:val="00786F27"/>
    <w:rsid w:val="0079271F"/>
    <w:rsid w:val="00793BD3"/>
    <w:rsid w:val="007C4D9E"/>
    <w:rsid w:val="007D3C89"/>
    <w:rsid w:val="007D5BDA"/>
    <w:rsid w:val="0080538E"/>
    <w:rsid w:val="0081044D"/>
    <w:rsid w:val="0081106D"/>
    <w:rsid w:val="008172A5"/>
    <w:rsid w:val="00817BEB"/>
    <w:rsid w:val="008240F0"/>
    <w:rsid w:val="008423F6"/>
    <w:rsid w:val="008674D9"/>
    <w:rsid w:val="00870EA6"/>
    <w:rsid w:val="008816B1"/>
    <w:rsid w:val="00881AE6"/>
    <w:rsid w:val="00890485"/>
    <w:rsid w:val="00895697"/>
    <w:rsid w:val="008A331A"/>
    <w:rsid w:val="008A678E"/>
    <w:rsid w:val="008A75AD"/>
    <w:rsid w:val="008C4DE3"/>
    <w:rsid w:val="008D0C9D"/>
    <w:rsid w:val="008F1E63"/>
    <w:rsid w:val="008F38E6"/>
    <w:rsid w:val="009123C4"/>
    <w:rsid w:val="00922222"/>
    <w:rsid w:val="00922A92"/>
    <w:rsid w:val="009342A5"/>
    <w:rsid w:val="0095122C"/>
    <w:rsid w:val="00956CD3"/>
    <w:rsid w:val="00963F7E"/>
    <w:rsid w:val="00975043"/>
    <w:rsid w:val="009C41F2"/>
    <w:rsid w:val="009D610D"/>
    <w:rsid w:val="009D6CC2"/>
    <w:rsid w:val="009E4EA1"/>
    <w:rsid w:val="009E7254"/>
    <w:rsid w:val="009E795E"/>
    <w:rsid w:val="009F1BD7"/>
    <w:rsid w:val="009F5B4E"/>
    <w:rsid w:val="009F7750"/>
    <w:rsid w:val="00A07C83"/>
    <w:rsid w:val="00A13D1A"/>
    <w:rsid w:val="00A2557D"/>
    <w:rsid w:val="00A45A2A"/>
    <w:rsid w:val="00A6375B"/>
    <w:rsid w:val="00A716B3"/>
    <w:rsid w:val="00A87493"/>
    <w:rsid w:val="00AA6274"/>
    <w:rsid w:val="00AA7726"/>
    <w:rsid w:val="00AB28DB"/>
    <w:rsid w:val="00AC7EA2"/>
    <w:rsid w:val="00AF6789"/>
    <w:rsid w:val="00B008BD"/>
    <w:rsid w:val="00B21342"/>
    <w:rsid w:val="00B23BA5"/>
    <w:rsid w:val="00B334BA"/>
    <w:rsid w:val="00B45252"/>
    <w:rsid w:val="00B67EEA"/>
    <w:rsid w:val="00B83DEC"/>
    <w:rsid w:val="00B94C60"/>
    <w:rsid w:val="00BC24D9"/>
    <w:rsid w:val="00BC36C1"/>
    <w:rsid w:val="00BD00A2"/>
    <w:rsid w:val="00BF6E83"/>
    <w:rsid w:val="00C00A34"/>
    <w:rsid w:val="00C025BB"/>
    <w:rsid w:val="00C16504"/>
    <w:rsid w:val="00C20112"/>
    <w:rsid w:val="00C229E6"/>
    <w:rsid w:val="00C22D11"/>
    <w:rsid w:val="00C4407D"/>
    <w:rsid w:val="00C54F16"/>
    <w:rsid w:val="00C60FE2"/>
    <w:rsid w:val="00C6689F"/>
    <w:rsid w:val="00C800B7"/>
    <w:rsid w:val="00C829A3"/>
    <w:rsid w:val="00CC4C3F"/>
    <w:rsid w:val="00CD6B5D"/>
    <w:rsid w:val="00CE0A06"/>
    <w:rsid w:val="00CE0E27"/>
    <w:rsid w:val="00CF199A"/>
    <w:rsid w:val="00CF45E5"/>
    <w:rsid w:val="00D05D5A"/>
    <w:rsid w:val="00D0632D"/>
    <w:rsid w:val="00D1310C"/>
    <w:rsid w:val="00D14542"/>
    <w:rsid w:val="00D26AAD"/>
    <w:rsid w:val="00D609C2"/>
    <w:rsid w:val="00DA2986"/>
    <w:rsid w:val="00DA68F2"/>
    <w:rsid w:val="00DB3D76"/>
    <w:rsid w:val="00DC18CC"/>
    <w:rsid w:val="00DC48E9"/>
    <w:rsid w:val="00DE2FA8"/>
    <w:rsid w:val="00DF356E"/>
    <w:rsid w:val="00E04560"/>
    <w:rsid w:val="00E21763"/>
    <w:rsid w:val="00E51505"/>
    <w:rsid w:val="00E56EC7"/>
    <w:rsid w:val="00E57007"/>
    <w:rsid w:val="00E61E89"/>
    <w:rsid w:val="00E65042"/>
    <w:rsid w:val="00E71AFD"/>
    <w:rsid w:val="00E71E68"/>
    <w:rsid w:val="00E72840"/>
    <w:rsid w:val="00EA47F7"/>
    <w:rsid w:val="00EC3CB1"/>
    <w:rsid w:val="00EC45AF"/>
    <w:rsid w:val="00ED2A8D"/>
    <w:rsid w:val="00ED6127"/>
    <w:rsid w:val="00EE29DA"/>
    <w:rsid w:val="00EE2B7C"/>
    <w:rsid w:val="00EE6684"/>
    <w:rsid w:val="00EE7231"/>
    <w:rsid w:val="00F03178"/>
    <w:rsid w:val="00F2139A"/>
    <w:rsid w:val="00F4688B"/>
    <w:rsid w:val="00F52394"/>
    <w:rsid w:val="00F6081E"/>
    <w:rsid w:val="00F64077"/>
    <w:rsid w:val="00F708C5"/>
    <w:rsid w:val="00F7547A"/>
    <w:rsid w:val="00F76C97"/>
    <w:rsid w:val="00F77CE0"/>
    <w:rsid w:val="00F8638E"/>
    <w:rsid w:val="00F94C19"/>
    <w:rsid w:val="00F954C9"/>
    <w:rsid w:val="00FA4316"/>
    <w:rsid w:val="00FA643F"/>
    <w:rsid w:val="00FB734C"/>
    <w:rsid w:val="00FC5FCD"/>
    <w:rsid w:val="00FD5C1D"/>
    <w:rsid w:val="00FE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80538E"/>
    <w:rPr>
      <w:sz w:val="16"/>
      <w:szCs w:val="16"/>
    </w:rPr>
  </w:style>
  <w:style w:type="paragraph" w:styleId="CommentText">
    <w:name w:val="annotation text"/>
    <w:basedOn w:val="Normal"/>
    <w:link w:val="CommentTextChar"/>
    <w:uiPriority w:val="99"/>
    <w:semiHidden/>
    <w:unhideWhenUsed/>
    <w:rsid w:val="0080538E"/>
  </w:style>
  <w:style w:type="character" w:customStyle="1" w:styleId="CommentTextChar">
    <w:name w:val="Comment Text Char"/>
    <w:basedOn w:val="DefaultParagraphFont"/>
    <w:link w:val="CommentText"/>
    <w:uiPriority w:val="99"/>
    <w:semiHidden/>
    <w:rsid w:val="0080538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80538E"/>
    <w:rPr>
      <w:b/>
      <w:bCs/>
    </w:rPr>
  </w:style>
  <w:style w:type="character" w:customStyle="1" w:styleId="CommentSubjectChar">
    <w:name w:val="Comment Subject Char"/>
    <w:basedOn w:val="CommentTextChar"/>
    <w:link w:val="CommentSubject"/>
    <w:uiPriority w:val="99"/>
    <w:semiHidden/>
    <w:rsid w:val="0080538E"/>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80538E"/>
    <w:rPr>
      <w:sz w:val="16"/>
      <w:szCs w:val="16"/>
    </w:rPr>
  </w:style>
  <w:style w:type="paragraph" w:styleId="CommentText">
    <w:name w:val="annotation text"/>
    <w:basedOn w:val="Normal"/>
    <w:link w:val="CommentTextChar"/>
    <w:uiPriority w:val="99"/>
    <w:semiHidden/>
    <w:unhideWhenUsed/>
    <w:rsid w:val="0080538E"/>
  </w:style>
  <w:style w:type="character" w:customStyle="1" w:styleId="CommentTextChar">
    <w:name w:val="Comment Text Char"/>
    <w:basedOn w:val="DefaultParagraphFont"/>
    <w:link w:val="CommentText"/>
    <w:uiPriority w:val="99"/>
    <w:semiHidden/>
    <w:rsid w:val="0080538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80538E"/>
    <w:rPr>
      <w:b/>
      <w:bCs/>
    </w:rPr>
  </w:style>
  <w:style w:type="character" w:customStyle="1" w:styleId="CommentSubjectChar">
    <w:name w:val="Comment Subject Char"/>
    <w:basedOn w:val="CommentTextChar"/>
    <w:link w:val="CommentSubject"/>
    <w:uiPriority w:val="99"/>
    <w:semiHidden/>
    <w:rsid w:val="0080538E"/>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acityModifications@sem-o.com" TargetMode="External"/><Relationship Id="rId5" Type="http://schemas.openxmlformats.org/officeDocument/2006/relationships/numbering" Target="numbering.xml"/><Relationship Id="rId10" Type="http://schemas.openxmlformats.org/officeDocument/2006/relationships/hyperlink" Target="mailto:karen.shiels@uregni.gov.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CMC_05_20</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194BA67C-3355-4216-89C0-148D1CF1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DFF31-0028-4EC7-930B-06A0E0628EB6}">
  <ds:schemaRefs>
    <ds:schemaRef ds:uri="http://schemas.openxmlformats.org/package/2006/metadata/core-properties"/>
    <ds:schemaRef ds:uri="3cada6dc-2705-46ed-bab2-0b2cd6d935ca"/>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83dee237-e653-49f0-9104-674b0aa2bf9b"/>
    <ds:schemaRef ds:uri="http://purl.org/dc/dcmitype/"/>
  </ds:schemaRefs>
</ds:datastoreItem>
</file>

<file path=customXml/itemProps4.xml><?xml version="1.0" encoding="utf-8"?>
<ds:datastoreItem xmlns:ds="http://schemas.openxmlformats.org/officeDocument/2006/customXml" ds:itemID="{3AFD8E03-28DF-47C9-B381-7364FE96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2011-09-28T10:23:00Z</cp:lastPrinted>
  <dcterms:created xsi:type="dcterms:W3CDTF">2020-03-19T12:20:00Z</dcterms:created>
  <dcterms:modified xsi:type="dcterms:W3CDTF">2020-03-19T12:20:00Z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