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9C343"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05257E47" w14:textId="77777777" w:rsidTr="28131BB4">
        <w:tc>
          <w:tcPr>
            <w:tcW w:w="9450" w:type="dxa"/>
            <w:gridSpan w:val="6"/>
            <w:shd w:val="clear" w:color="auto" w:fill="548DD4" w:themeFill="text2" w:themeFillTint="99"/>
            <w:vAlign w:val="center"/>
          </w:tcPr>
          <w:p w14:paraId="4CD4D328" w14:textId="77777777" w:rsidR="004C53E7" w:rsidRPr="004C53E7" w:rsidRDefault="004C53E7" w:rsidP="00EE2B7C">
            <w:pPr>
              <w:jc w:val="center"/>
              <w:rPr>
                <w:rFonts w:ascii="Calibri" w:hAnsi="Calibri" w:cs="Arial"/>
                <w:lang w:val="en-IE"/>
              </w:rPr>
            </w:pPr>
          </w:p>
          <w:p w14:paraId="1BB57C13"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1C65B6E0" w14:textId="77777777" w:rsidR="004C53E7" w:rsidRPr="004C53E7" w:rsidRDefault="004C53E7" w:rsidP="00EE2B7C">
            <w:pPr>
              <w:jc w:val="center"/>
              <w:rPr>
                <w:rFonts w:ascii="Calibri" w:hAnsi="Calibri" w:cs="Arial"/>
                <w:lang w:val="en-IE"/>
              </w:rPr>
            </w:pPr>
          </w:p>
        </w:tc>
      </w:tr>
      <w:tr w:rsidR="004C53E7" w:rsidRPr="004C53E7" w14:paraId="152D5F33" w14:textId="77777777" w:rsidTr="28131BB4">
        <w:tc>
          <w:tcPr>
            <w:tcW w:w="2070" w:type="dxa"/>
            <w:vAlign w:val="center"/>
          </w:tcPr>
          <w:p w14:paraId="0A6A278A"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257B8006"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0DEB2413"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10D3A1BB"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21F0389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17B78812"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76EBC924"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4E906988"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3F4C6A61" w14:textId="77777777" w:rsidTr="28131BB4">
        <w:tc>
          <w:tcPr>
            <w:tcW w:w="2070" w:type="dxa"/>
            <w:vAlign w:val="center"/>
          </w:tcPr>
          <w:p w14:paraId="08A9E45F" w14:textId="6CD0209F" w:rsidR="004C53E7" w:rsidRPr="004C53E7" w:rsidRDefault="00D2062E" w:rsidP="00EE2B7C">
            <w:pPr>
              <w:jc w:val="center"/>
              <w:rPr>
                <w:rFonts w:ascii="Calibri" w:hAnsi="Calibri" w:cs="Arial"/>
                <w:b/>
                <w:lang w:val="en-IE"/>
              </w:rPr>
            </w:pPr>
            <w:proofErr w:type="spellStart"/>
            <w:r>
              <w:rPr>
                <w:rFonts w:ascii="Calibri" w:hAnsi="Calibri" w:cs="Arial"/>
                <w:b/>
                <w:lang w:val="en-IE"/>
              </w:rPr>
              <w:t>Energia</w:t>
            </w:r>
            <w:proofErr w:type="spellEnd"/>
          </w:p>
        </w:tc>
        <w:tc>
          <w:tcPr>
            <w:tcW w:w="2533" w:type="dxa"/>
            <w:gridSpan w:val="2"/>
            <w:vAlign w:val="center"/>
          </w:tcPr>
          <w:p w14:paraId="78AAD6DE" w14:textId="439FF8D0" w:rsidR="004C53E7" w:rsidRPr="004C53E7" w:rsidRDefault="00580056" w:rsidP="00EE2B7C">
            <w:pPr>
              <w:jc w:val="center"/>
              <w:rPr>
                <w:rFonts w:ascii="Calibri" w:hAnsi="Calibri" w:cs="Arial"/>
                <w:b/>
                <w:lang w:val="en-IE"/>
              </w:rPr>
            </w:pPr>
            <w:r>
              <w:rPr>
                <w:rFonts w:ascii="Calibri" w:hAnsi="Calibri" w:cs="Arial"/>
                <w:b/>
                <w:lang w:val="en-IE"/>
              </w:rPr>
              <w:t>21</w:t>
            </w:r>
            <w:r w:rsidRPr="00580056">
              <w:rPr>
                <w:rFonts w:ascii="Calibri" w:hAnsi="Calibri" w:cs="Arial"/>
                <w:b/>
                <w:vertAlign w:val="superscript"/>
                <w:lang w:val="en-IE"/>
              </w:rPr>
              <w:t>st</w:t>
            </w:r>
            <w:r>
              <w:rPr>
                <w:rFonts w:ascii="Calibri" w:hAnsi="Calibri" w:cs="Arial"/>
                <w:b/>
                <w:lang w:val="en-IE"/>
              </w:rPr>
              <w:t xml:space="preserve"> June 2024</w:t>
            </w:r>
          </w:p>
        </w:tc>
        <w:tc>
          <w:tcPr>
            <w:tcW w:w="2311" w:type="dxa"/>
            <w:gridSpan w:val="2"/>
            <w:vAlign w:val="center"/>
          </w:tcPr>
          <w:p w14:paraId="4D01F1FE" w14:textId="6DD4B801" w:rsidR="004C53E7" w:rsidRPr="004C53E7" w:rsidRDefault="00254365">
            <w:pPr>
              <w:jc w:val="center"/>
              <w:rPr>
                <w:rFonts w:ascii="Calibri" w:eastAsia="Calibri" w:hAnsi="Calibri" w:cs="Calibri"/>
                <w:lang w:val="en-IE"/>
              </w:rPr>
            </w:pPr>
            <w:r>
              <w:rPr>
                <w:rFonts w:ascii="Calibri" w:hAnsi="Calibri" w:cs="Arial"/>
                <w:b/>
                <w:bCs/>
                <w:lang w:val="en-IE"/>
              </w:rPr>
              <w:t>Urgent</w:t>
            </w:r>
          </w:p>
        </w:tc>
        <w:tc>
          <w:tcPr>
            <w:tcW w:w="2536" w:type="dxa"/>
            <w:vAlign w:val="center"/>
          </w:tcPr>
          <w:p w14:paraId="5EAD741D" w14:textId="3F0DA372" w:rsidR="004C53E7" w:rsidRPr="004C53E7" w:rsidRDefault="00580056" w:rsidP="00EE2B7C">
            <w:pPr>
              <w:jc w:val="center"/>
              <w:rPr>
                <w:rFonts w:ascii="Calibri" w:hAnsi="Calibri" w:cs="Arial"/>
                <w:b/>
                <w:lang w:val="en-IE"/>
              </w:rPr>
            </w:pPr>
            <w:r>
              <w:rPr>
                <w:rFonts w:ascii="Calibri" w:hAnsi="Calibri" w:cs="Arial"/>
                <w:b/>
                <w:lang w:val="en-IE"/>
              </w:rPr>
              <w:t>CMC_07_24 v2</w:t>
            </w:r>
          </w:p>
        </w:tc>
      </w:tr>
      <w:tr w:rsidR="004C53E7" w:rsidRPr="004C53E7" w14:paraId="3999AF0E" w14:textId="77777777" w:rsidTr="28131BB4">
        <w:trPr>
          <w:trHeight w:val="467"/>
        </w:trPr>
        <w:tc>
          <w:tcPr>
            <w:tcW w:w="9450" w:type="dxa"/>
            <w:gridSpan w:val="6"/>
            <w:shd w:val="clear" w:color="auto" w:fill="C6D9F1" w:themeFill="text2" w:themeFillTint="33"/>
            <w:vAlign w:val="center"/>
          </w:tcPr>
          <w:p w14:paraId="7199F004"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1EF9E0DD" w14:textId="77777777" w:rsidTr="28131BB4">
        <w:tc>
          <w:tcPr>
            <w:tcW w:w="2925" w:type="dxa"/>
            <w:gridSpan w:val="2"/>
            <w:vAlign w:val="center"/>
          </w:tcPr>
          <w:p w14:paraId="57DD919D"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A281298"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1E5E33E7"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14836C98" w14:textId="77777777" w:rsidTr="28131BB4">
        <w:tc>
          <w:tcPr>
            <w:tcW w:w="2925" w:type="dxa"/>
            <w:gridSpan w:val="2"/>
            <w:vAlign w:val="center"/>
          </w:tcPr>
          <w:p w14:paraId="73343DBF" w14:textId="2331D5BD" w:rsidR="004C53E7" w:rsidRPr="00C172D7" w:rsidRDefault="00254365" w:rsidP="00EE2B7C">
            <w:pPr>
              <w:jc w:val="center"/>
              <w:rPr>
                <w:rFonts w:ascii="Calibri" w:hAnsi="Calibri" w:cs="Arial"/>
                <w:b/>
                <w:lang w:val="en-IE"/>
              </w:rPr>
            </w:pPr>
            <w:r>
              <w:rPr>
                <w:rFonts w:ascii="Calibri" w:hAnsi="Calibri" w:cs="Arial"/>
                <w:b/>
                <w:lang w:val="en-IE"/>
              </w:rPr>
              <w:t>David Morrow</w:t>
            </w:r>
          </w:p>
        </w:tc>
        <w:tc>
          <w:tcPr>
            <w:tcW w:w="2925" w:type="dxa"/>
            <w:gridSpan w:val="2"/>
            <w:vAlign w:val="center"/>
          </w:tcPr>
          <w:p w14:paraId="3631C2D2" w14:textId="39E391E1" w:rsidR="004C53E7" w:rsidRPr="00C172D7" w:rsidRDefault="004C53E7" w:rsidP="00EE2B7C">
            <w:pPr>
              <w:jc w:val="center"/>
              <w:rPr>
                <w:rFonts w:ascii="Calibri" w:hAnsi="Calibri" w:cs="Arial"/>
                <w:b/>
                <w:lang w:val="en-IE"/>
              </w:rPr>
            </w:pPr>
          </w:p>
        </w:tc>
        <w:tc>
          <w:tcPr>
            <w:tcW w:w="3600" w:type="dxa"/>
            <w:gridSpan w:val="2"/>
            <w:vAlign w:val="center"/>
          </w:tcPr>
          <w:p w14:paraId="2E0BC4A3" w14:textId="4F27A16F" w:rsidR="00355080" w:rsidRPr="00C172D7" w:rsidRDefault="00000000" w:rsidP="00355080">
            <w:pPr>
              <w:jc w:val="center"/>
              <w:rPr>
                <w:rFonts w:ascii="Calibri" w:hAnsi="Calibri" w:cs="Arial"/>
                <w:b/>
                <w:lang w:val="en-IE"/>
              </w:rPr>
            </w:pPr>
            <w:hyperlink r:id="rId11" w:history="1">
              <w:r w:rsidR="00254365" w:rsidRPr="005E2A65">
                <w:rPr>
                  <w:rStyle w:val="Hyperlink"/>
                  <w:rFonts w:ascii="Calibri" w:hAnsi="Calibri" w:cs="Arial"/>
                  <w:b/>
                  <w:lang w:val="en-IE"/>
                </w:rPr>
                <w:t>david.morrow@energia.ie</w:t>
              </w:r>
            </w:hyperlink>
            <w:r w:rsidR="007C3161">
              <w:rPr>
                <w:rFonts w:ascii="Calibri" w:hAnsi="Calibri" w:cs="Arial"/>
                <w:b/>
                <w:lang w:val="en-IE"/>
              </w:rPr>
              <w:t xml:space="preserve"> </w:t>
            </w:r>
          </w:p>
        </w:tc>
      </w:tr>
      <w:tr w:rsidR="004C53E7" w:rsidRPr="004C53E7" w14:paraId="7545ABF7" w14:textId="77777777" w:rsidTr="28131BB4">
        <w:trPr>
          <w:trHeight w:val="327"/>
        </w:trPr>
        <w:tc>
          <w:tcPr>
            <w:tcW w:w="9450" w:type="dxa"/>
            <w:gridSpan w:val="6"/>
            <w:shd w:val="clear" w:color="auto" w:fill="C6D9F1" w:themeFill="text2" w:themeFillTint="33"/>
            <w:vAlign w:val="center"/>
          </w:tcPr>
          <w:p w14:paraId="10E9D2B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7FAC08FC" w14:textId="77777777" w:rsidTr="28131BB4">
        <w:trPr>
          <w:trHeight w:val="323"/>
        </w:trPr>
        <w:tc>
          <w:tcPr>
            <w:tcW w:w="9450" w:type="dxa"/>
            <w:gridSpan w:val="6"/>
            <w:vAlign w:val="center"/>
          </w:tcPr>
          <w:p w14:paraId="0CE31BBE" w14:textId="3D8806B8" w:rsidR="004C53E7" w:rsidRPr="00F2139A" w:rsidRDefault="00760CC4" w:rsidP="00730238">
            <w:pPr>
              <w:jc w:val="center"/>
              <w:rPr>
                <w:rFonts w:ascii="Calibri" w:hAnsi="Calibri" w:cs="Arial"/>
                <w:b/>
                <w:lang w:val="en-IE"/>
              </w:rPr>
            </w:pPr>
            <w:r>
              <w:rPr>
                <w:rFonts w:ascii="Calibri" w:hAnsi="Calibri" w:cs="Arial"/>
                <w:b/>
                <w:lang w:val="en-IE"/>
              </w:rPr>
              <w:t xml:space="preserve">Treatment of </w:t>
            </w:r>
            <w:r w:rsidR="00B37D09">
              <w:rPr>
                <w:rFonts w:ascii="Calibri" w:hAnsi="Calibri" w:cs="Arial"/>
                <w:b/>
                <w:lang w:val="en-IE"/>
              </w:rPr>
              <w:t>Capacity Contracts of Varying Duration in Constrained Auction Solution</w:t>
            </w:r>
          </w:p>
        </w:tc>
      </w:tr>
      <w:tr w:rsidR="004C53E7" w:rsidRPr="004C53E7" w14:paraId="3BC57612" w14:textId="77777777" w:rsidTr="28131BB4">
        <w:tc>
          <w:tcPr>
            <w:tcW w:w="2925" w:type="dxa"/>
            <w:gridSpan w:val="2"/>
            <w:shd w:val="clear" w:color="auto" w:fill="C6D9F1" w:themeFill="text2" w:themeFillTint="33"/>
            <w:vAlign w:val="center"/>
          </w:tcPr>
          <w:p w14:paraId="05E197E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 xml:space="preserve">Documents </w:t>
            </w:r>
            <w:proofErr w:type="gramStart"/>
            <w:r w:rsidRPr="004C53E7">
              <w:rPr>
                <w:rFonts w:ascii="Calibri" w:hAnsi="Calibri" w:cs="Arial"/>
                <w:b/>
                <w:bCs/>
                <w:lang w:val="en-IE"/>
              </w:rPr>
              <w:t>affected</w:t>
            </w:r>
            <w:proofErr w:type="gramEnd"/>
          </w:p>
          <w:p w14:paraId="3A8CF8D8"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themeFill="text2" w:themeFillTint="33"/>
            <w:vAlign w:val="center"/>
          </w:tcPr>
          <w:p w14:paraId="4D334957"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themeFill="text2" w:themeFillTint="33"/>
            <w:vAlign w:val="center"/>
          </w:tcPr>
          <w:p w14:paraId="43916466"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5D9741AB" w14:textId="77777777" w:rsidTr="28131BB4">
        <w:tc>
          <w:tcPr>
            <w:tcW w:w="2925" w:type="dxa"/>
            <w:gridSpan w:val="2"/>
            <w:shd w:val="clear" w:color="auto" w:fill="FFFFFF" w:themeFill="background1"/>
            <w:vAlign w:val="center"/>
          </w:tcPr>
          <w:p w14:paraId="214F624A" w14:textId="58A66A85" w:rsidR="004C53E7" w:rsidRPr="004C53E7" w:rsidDel="00476388" w:rsidRDefault="00950250"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7D7A6AE0" w14:textId="25B85022" w:rsidR="003C2238" w:rsidRPr="004C53E7" w:rsidRDefault="001501B3" w:rsidP="001501B3">
            <w:pPr>
              <w:jc w:val="center"/>
              <w:rPr>
                <w:rFonts w:ascii="Calibri" w:hAnsi="Calibri" w:cs="Arial"/>
                <w:b/>
                <w:lang w:val="en-IE"/>
              </w:rPr>
            </w:pPr>
            <w:r>
              <w:rPr>
                <w:rFonts w:ascii="Calibri" w:hAnsi="Calibri" w:cs="Arial"/>
                <w:b/>
                <w:lang w:val="en-IE"/>
              </w:rPr>
              <w:t>Section F</w:t>
            </w:r>
            <w:r w:rsidR="00BB11D5">
              <w:rPr>
                <w:rFonts w:ascii="Calibri" w:hAnsi="Calibri" w:cs="Arial"/>
                <w:b/>
                <w:lang w:val="en-IE"/>
              </w:rPr>
              <w:t>.8 Conduct of a Capacity Auction</w:t>
            </w:r>
          </w:p>
        </w:tc>
        <w:tc>
          <w:tcPr>
            <w:tcW w:w="3600" w:type="dxa"/>
            <w:gridSpan w:val="2"/>
            <w:vAlign w:val="center"/>
          </w:tcPr>
          <w:p w14:paraId="5C6303D7" w14:textId="636807C2" w:rsidR="004C53E7" w:rsidRPr="004C53E7" w:rsidRDefault="0013607C" w:rsidP="00EE2B7C">
            <w:pPr>
              <w:jc w:val="center"/>
              <w:rPr>
                <w:rFonts w:ascii="Calibri" w:hAnsi="Calibri" w:cs="Arial"/>
                <w:b/>
                <w:lang w:val="en-IE"/>
              </w:rPr>
            </w:pPr>
            <w:r>
              <w:rPr>
                <w:rFonts w:ascii="Calibri" w:hAnsi="Calibri" w:cs="Arial"/>
                <w:b/>
                <w:lang w:val="en-IE"/>
              </w:rPr>
              <w:t>11.0</w:t>
            </w:r>
          </w:p>
        </w:tc>
      </w:tr>
      <w:tr w:rsidR="004C53E7" w:rsidRPr="004C53E7" w14:paraId="19F37B3E" w14:textId="77777777" w:rsidTr="28131BB4">
        <w:trPr>
          <w:trHeight w:val="375"/>
        </w:trPr>
        <w:tc>
          <w:tcPr>
            <w:tcW w:w="9450" w:type="dxa"/>
            <w:gridSpan w:val="6"/>
            <w:shd w:val="clear" w:color="auto" w:fill="C6D9F1" w:themeFill="text2" w:themeFillTint="33"/>
            <w:vAlign w:val="center"/>
          </w:tcPr>
          <w:p w14:paraId="0EBF32E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5810DCCD"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67545AD9" w14:textId="77777777" w:rsidTr="28131BB4">
        <w:trPr>
          <w:trHeight w:val="467"/>
        </w:trPr>
        <w:tc>
          <w:tcPr>
            <w:tcW w:w="9450" w:type="dxa"/>
            <w:gridSpan w:val="6"/>
            <w:vAlign w:val="center"/>
          </w:tcPr>
          <w:p w14:paraId="735B09E2" w14:textId="5D485473" w:rsidR="005B6E0E" w:rsidRDefault="00C314BD" w:rsidP="00960756">
            <w:pPr>
              <w:pStyle w:val="Default"/>
              <w:rPr>
                <w:sz w:val="20"/>
                <w:szCs w:val="20"/>
              </w:rPr>
            </w:pPr>
            <w:r w:rsidRPr="00C314BD">
              <w:rPr>
                <w:b/>
                <w:bCs/>
                <w:sz w:val="20"/>
                <w:szCs w:val="20"/>
              </w:rPr>
              <w:t>Background:</w:t>
            </w:r>
            <w:r>
              <w:rPr>
                <w:sz w:val="20"/>
                <w:szCs w:val="20"/>
              </w:rPr>
              <w:t xml:space="preserve">  </w:t>
            </w:r>
            <w:r w:rsidR="005B6E0E">
              <w:rPr>
                <w:sz w:val="20"/>
                <w:szCs w:val="20"/>
              </w:rPr>
              <w:t>Exempt Price Quantity Pair</w:t>
            </w:r>
            <w:r>
              <w:rPr>
                <w:sz w:val="20"/>
                <w:szCs w:val="20"/>
              </w:rPr>
              <w:t xml:space="preserve">s are capacity market offers </w:t>
            </w:r>
            <w:r w:rsidR="001E5473">
              <w:rPr>
                <w:sz w:val="20"/>
                <w:szCs w:val="20"/>
              </w:rPr>
              <w:t>with</w:t>
            </w:r>
            <w:r>
              <w:rPr>
                <w:sz w:val="20"/>
                <w:szCs w:val="20"/>
              </w:rPr>
              <w:t xml:space="preserve"> contract durations greater than one year </w:t>
            </w:r>
            <w:r w:rsidR="001E5473">
              <w:rPr>
                <w:sz w:val="20"/>
                <w:szCs w:val="20"/>
              </w:rPr>
              <w:t>and</w:t>
            </w:r>
            <w:r>
              <w:rPr>
                <w:sz w:val="20"/>
                <w:szCs w:val="20"/>
              </w:rPr>
              <w:t xml:space="preserve"> prices </w:t>
            </w:r>
            <w:r w:rsidR="001E5473">
              <w:rPr>
                <w:sz w:val="20"/>
                <w:szCs w:val="20"/>
              </w:rPr>
              <w:t>greater</w:t>
            </w:r>
            <w:r>
              <w:rPr>
                <w:sz w:val="20"/>
                <w:szCs w:val="20"/>
              </w:rPr>
              <w:t xml:space="preserve"> than the auction clearing price.  They require an exemption </w:t>
            </w:r>
            <w:r w:rsidR="00A5062C">
              <w:rPr>
                <w:sz w:val="20"/>
                <w:szCs w:val="20"/>
              </w:rPr>
              <w:t>under F.4.1.9 from the Regulatory Authorities to be allowed to clear the auction to resolve a constraint.  Under F.8.4.4 (f) of the CMC, these Exempt Price Quantity Pair</w:t>
            </w:r>
            <w:r w:rsidR="001E5473">
              <w:rPr>
                <w:sz w:val="20"/>
                <w:szCs w:val="20"/>
              </w:rPr>
              <w:t>s</w:t>
            </w:r>
            <w:r w:rsidR="00A5062C">
              <w:rPr>
                <w:sz w:val="20"/>
                <w:szCs w:val="20"/>
              </w:rPr>
              <w:t xml:space="preserve"> cannot clear the auction until all relevant one-year Capacity Market Offers have cleared the auction, regardless of price requested by those one-year offers.</w:t>
            </w:r>
          </w:p>
          <w:p w14:paraId="70576BE4" w14:textId="77777777" w:rsidR="005B6E0E" w:rsidRDefault="005B6E0E" w:rsidP="00960756">
            <w:pPr>
              <w:pStyle w:val="Default"/>
              <w:rPr>
                <w:sz w:val="20"/>
                <w:szCs w:val="20"/>
              </w:rPr>
            </w:pPr>
          </w:p>
          <w:p w14:paraId="55AAC608" w14:textId="3835C0A3" w:rsidR="00156091" w:rsidRDefault="00156091" w:rsidP="00960756">
            <w:pPr>
              <w:pStyle w:val="Default"/>
              <w:rPr>
                <w:sz w:val="20"/>
                <w:szCs w:val="20"/>
              </w:rPr>
            </w:pPr>
            <w:r>
              <w:rPr>
                <w:sz w:val="20"/>
                <w:szCs w:val="20"/>
              </w:rPr>
              <w:t xml:space="preserve">This modification seeks to </w:t>
            </w:r>
            <w:r w:rsidR="00A83201">
              <w:rPr>
                <w:sz w:val="20"/>
                <w:szCs w:val="20"/>
              </w:rPr>
              <w:t xml:space="preserve">maintain </w:t>
            </w:r>
            <w:r w:rsidR="001E5473">
              <w:rPr>
                <w:sz w:val="20"/>
                <w:szCs w:val="20"/>
              </w:rPr>
              <w:t>this</w:t>
            </w:r>
            <w:r w:rsidR="00A83201">
              <w:rPr>
                <w:sz w:val="20"/>
                <w:szCs w:val="20"/>
              </w:rPr>
              <w:t xml:space="preserve"> primacy of </w:t>
            </w:r>
            <w:proofErr w:type="gramStart"/>
            <w:r w:rsidR="00A83201">
              <w:rPr>
                <w:sz w:val="20"/>
                <w:szCs w:val="20"/>
              </w:rPr>
              <w:t>one year</w:t>
            </w:r>
            <w:proofErr w:type="gramEnd"/>
            <w:r w:rsidR="00A83201">
              <w:rPr>
                <w:sz w:val="20"/>
                <w:szCs w:val="20"/>
              </w:rPr>
              <w:t xml:space="preserve"> contracts</w:t>
            </w:r>
            <w:r w:rsidR="001E5473">
              <w:rPr>
                <w:sz w:val="20"/>
                <w:szCs w:val="20"/>
              </w:rPr>
              <w:t xml:space="preserve"> in the resolution of constraints</w:t>
            </w:r>
            <w:r w:rsidR="00A83201">
              <w:rPr>
                <w:sz w:val="20"/>
                <w:szCs w:val="20"/>
              </w:rPr>
              <w:t xml:space="preserve">, but </w:t>
            </w:r>
            <w:r>
              <w:rPr>
                <w:sz w:val="20"/>
                <w:szCs w:val="20"/>
              </w:rPr>
              <w:t xml:space="preserve">give </w:t>
            </w:r>
            <w:r w:rsidR="00A83201">
              <w:rPr>
                <w:sz w:val="20"/>
                <w:szCs w:val="20"/>
              </w:rPr>
              <w:t xml:space="preserve">next </w:t>
            </w:r>
            <w:r>
              <w:rPr>
                <w:sz w:val="20"/>
                <w:szCs w:val="20"/>
              </w:rPr>
              <w:t xml:space="preserve">preference to shorter duration Exempt Price Quantity Pairs </w:t>
            </w:r>
            <w:r w:rsidR="00A83201">
              <w:rPr>
                <w:sz w:val="20"/>
                <w:szCs w:val="20"/>
              </w:rPr>
              <w:t>over longer duration Exempt Price Quantity Pairs</w:t>
            </w:r>
            <w:r w:rsidR="00B80A16">
              <w:rPr>
                <w:sz w:val="20"/>
                <w:szCs w:val="20"/>
              </w:rPr>
              <w:t>.</w:t>
            </w:r>
          </w:p>
          <w:p w14:paraId="0F03ADB0" w14:textId="77777777" w:rsidR="00B80A16" w:rsidRDefault="00B80A16" w:rsidP="00960756">
            <w:pPr>
              <w:pStyle w:val="Default"/>
              <w:rPr>
                <w:sz w:val="20"/>
                <w:szCs w:val="20"/>
              </w:rPr>
            </w:pPr>
          </w:p>
          <w:p w14:paraId="57F064DD" w14:textId="47F0380A" w:rsidR="00B80A16" w:rsidRPr="00215889" w:rsidRDefault="00B80A16" w:rsidP="00960756">
            <w:pPr>
              <w:pStyle w:val="Default"/>
              <w:rPr>
                <w:sz w:val="20"/>
                <w:szCs w:val="20"/>
              </w:rPr>
            </w:pPr>
            <w:r w:rsidRPr="00054CAB">
              <w:rPr>
                <w:sz w:val="20"/>
                <w:szCs w:val="20"/>
                <w:highlight w:val="yellow"/>
              </w:rPr>
              <w:t xml:space="preserve">As discussed at Workshop 37, </w:t>
            </w:r>
            <w:proofErr w:type="spellStart"/>
            <w:r w:rsidRPr="00054CAB">
              <w:rPr>
                <w:sz w:val="20"/>
                <w:szCs w:val="20"/>
                <w:highlight w:val="yellow"/>
              </w:rPr>
              <w:t>Energia’s</w:t>
            </w:r>
            <w:proofErr w:type="spellEnd"/>
            <w:r w:rsidRPr="00054CAB">
              <w:rPr>
                <w:sz w:val="20"/>
                <w:szCs w:val="20"/>
                <w:highlight w:val="yellow"/>
              </w:rPr>
              <w:t xml:space="preserve"> view is that it is essential that this modification is in place prior to the start of the T-4 2028/29 auction (which is why the modification was originally submitted as “Urgent”).  Based on feedback from the SOs at the workshop regarding the feasibility of the proposed system changes, this modification </w:t>
            </w:r>
            <w:r w:rsidR="00054CAB" w:rsidRPr="00054CAB">
              <w:rPr>
                <w:sz w:val="20"/>
                <w:szCs w:val="20"/>
                <w:highlight w:val="yellow"/>
              </w:rPr>
              <w:t>has been</w:t>
            </w:r>
            <w:r w:rsidRPr="00054CAB">
              <w:rPr>
                <w:sz w:val="20"/>
                <w:szCs w:val="20"/>
                <w:highlight w:val="yellow"/>
              </w:rPr>
              <w:t xml:space="preserve"> updated to apply Option 1 as set out in the Modification Proposal Justification section.</w:t>
            </w:r>
            <w:r w:rsidRPr="00215889">
              <w:rPr>
                <w:sz w:val="20"/>
                <w:szCs w:val="20"/>
              </w:rPr>
              <w:t xml:space="preserve">  </w:t>
            </w:r>
          </w:p>
          <w:p w14:paraId="511BF646" w14:textId="77777777" w:rsidR="000072E1" w:rsidRDefault="000072E1" w:rsidP="00960756">
            <w:pPr>
              <w:pStyle w:val="Default"/>
              <w:rPr>
                <w:sz w:val="20"/>
                <w:szCs w:val="20"/>
              </w:rPr>
            </w:pPr>
          </w:p>
          <w:p w14:paraId="04E1F363" w14:textId="5063BC2C" w:rsidR="000072E1" w:rsidRDefault="000072E1" w:rsidP="000072E1">
            <w:pPr>
              <w:pStyle w:val="Default"/>
              <w:rPr>
                <w:sz w:val="20"/>
                <w:szCs w:val="20"/>
              </w:rPr>
            </w:pPr>
            <w:r>
              <w:rPr>
                <w:sz w:val="20"/>
                <w:szCs w:val="20"/>
              </w:rPr>
              <w:t>During the analysis undertaken for this modification, other clarity edits were identified to the description of the interaction of maximum and minimum locational constraints in the auction clearing alongside the treatment of Exempt Price Quantity Pairs under F.8.4.4 (f).  These are included for completeness</w:t>
            </w:r>
            <w:r w:rsidR="00CA6A06">
              <w:rPr>
                <w:sz w:val="20"/>
                <w:szCs w:val="20"/>
              </w:rPr>
              <w:t xml:space="preserve"> and are secondary to the consideration of the changes to F.8.4.4 (f).</w:t>
            </w:r>
          </w:p>
          <w:p w14:paraId="78237F92" w14:textId="77777777" w:rsidR="000072E1" w:rsidRDefault="000072E1" w:rsidP="00960756">
            <w:pPr>
              <w:pStyle w:val="Default"/>
              <w:rPr>
                <w:sz w:val="20"/>
                <w:szCs w:val="20"/>
              </w:rPr>
            </w:pPr>
          </w:p>
          <w:p w14:paraId="633A1F84" w14:textId="1D97B406" w:rsidR="00A5062C" w:rsidRDefault="00A5062C" w:rsidP="00960756">
            <w:pPr>
              <w:pStyle w:val="Default"/>
              <w:rPr>
                <w:sz w:val="20"/>
                <w:szCs w:val="20"/>
              </w:rPr>
            </w:pPr>
            <w:r>
              <w:rPr>
                <w:sz w:val="20"/>
                <w:szCs w:val="20"/>
              </w:rPr>
              <w:t xml:space="preserve">The rationale for this </w:t>
            </w:r>
            <w:r w:rsidR="000072E1">
              <w:rPr>
                <w:sz w:val="20"/>
                <w:szCs w:val="20"/>
              </w:rPr>
              <w:t xml:space="preserve">modification is </w:t>
            </w:r>
            <w:r w:rsidR="00CA6A06">
              <w:rPr>
                <w:sz w:val="20"/>
                <w:szCs w:val="20"/>
              </w:rPr>
              <w:t xml:space="preserve">implicit </w:t>
            </w:r>
            <w:r w:rsidR="000072E1">
              <w:rPr>
                <w:sz w:val="20"/>
                <w:szCs w:val="20"/>
              </w:rPr>
              <w:t xml:space="preserve">within </w:t>
            </w:r>
            <w:r w:rsidR="00F8117D">
              <w:rPr>
                <w:sz w:val="20"/>
                <w:szCs w:val="20"/>
              </w:rPr>
              <w:t>the State Aid approval (</w:t>
            </w:r>
            <w:hyperlink r:id="rId12" w:history="1">
              <w:r w:rsidR="00D33A16" w:rsidRPr="00D33A16">
                <w:rPr>
                  <w:rStyle w:val="Hyperlink"/>
                  <w:sz w:val="20"/>
                  <w:szCs w:val="20"/>
                </w:rPr>
                <w:t>No. SA. 44464 (2017/N)</w:t>
              </w:r>
            </w:hyperlink>
            <w:r w:rsidR="00D33A16">
              <w:rPr>
                <w:sz w:val="20"/>
                <w:szCs w:val="20"/>
              </w:rPr>
              <w:t xml:space="preserve"> </w:t>
            </w:r>
            <w:r w:rsidR="00F8117D">
              <w:rPr>
                <w:sz w:val="20"/>
                <w:szCs w:val="20"/>
              </w:rPr>
              <w:t>for the CRM</w:t>
            </w:r>
            <w:r w:rsidR="00D33A16">
              <w:rPr>
                <w:sz w:val="20"/>
                <w:szCs w:val="20"/>
              </w:rPr>
              <w:t>, which gives emphasis to network build to resolve constraints ahead of long-term locational capacity priced above the clearing price of the capacity auction</w:t>
            </w:r>
            <w:r w:rsidR="001B5022">
              <w:rPr>
                <w:sz w:val="20"/>
                <w:szCs w:val="20"/>
              </w:rPr>
              <w:t xml:space="preserve"> and is also in keeping with the principles of the existing CMC which gives preference to shorter duration contracts for the resolution of constraints</w:t>
            </w:r>
            <w:r w:rsidR="00D33A16">
              <w:rPr>
                <w:sz w:val="20"/>
                <w:szCs w:val="20"/>
              </w:rPr>
              <w:t>.</w:t>
            </w:r>
          </w:p>
          <w:p w14:paraId="54DA6855" w14:textId="72A5488A" w:rsidR="000550D1" w:rsidRDefault="000550D1" w:rsidP="00960756">
            <w:pPr>
              <w:pStyle w:val="Default"/>
              <w:rPr>
                <w:sz w:val="20"/>
                <w:szCs w:val="20"/>
              </w:rPr>
            </w:pPr>
          </w:p>
          <w:p w14:paraId="1EACD42C" w14:textId="2F4EE2A4" w:rsidR="00692E32" w:rsidRPr="0013032E" w:rsidRDefault="00692E32" w:rsidP="00DC720D">
            <w:pPr>
              <w:pStyle w:val="Default"/>
            </w:pPr>
          </w:p>
        </w:tc>
      </w:tr>
      <w:tr w:rsidR="004C53E7" w:rsidRPr="004C53E7" w:rsidDel="00404964" w14:paraId="347897BA" w14:textId="77777777" w:rsidTr="28131BB4">
        <w:tc>
          <w:tcPr>
            <w:tcW w:w="9450" w:type="dxa"/>
            <w:gridSpan w:val="6"/>
            <w:shd w:val="clear" w:color="auto" w:fill="C6D9F1" w:themeFill="text2" w:themeFillTint="33"/>
            <w:vAlign w:val="center"/>
          </w:tcPr>
          <w:p w14:paraId="2A2E1FE2"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4689EDE7"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0AAEC867" w14:textId="77777777" w:rsidTr="28131BB4">
        <w:tc>
          <w:tcPr>
            <w:tcW w:w="9450" w:type="dxa"/>
            <w:gridSpan w:val="6"/>
            <w:vAlign w:val="center"/>
          </w:tcPr>
          <w:p w14:paraId="791F0A5D" w14:textId="0C882385" w:rsidR="00296D14" w:rsidRPr="00296D14" w:rsidRDefault="00DC720D" w:rsidP="00296D14">
            <w:pPr>
              <w:overflowPunct/>
              <w:autoSpaceDE/>
              <w:autoSpaceDN/>
              <w:adjustRightInd/>
              <w:spacing w:before="120" w:after="120"/>
              <w:ind w:left="992" w:hanging="992"/>
              <w:jc w:val="both"/>
              <w:textAlignment w:val="auto"/>
              <w:rPr>
                <w:rFonts w:ascii="Arial" w:hAnsi="Arial"/>
                <w:b/>
                <w:bCs/>
                <w:i/>
                <w:iCs/>
                <w:lang w:val="en-US" w:eastAsia="en-US"/>
              </w:rPr>
            </w:pPr>
            <w:r>
              <w:rPr>
                <w:rFonts w:ascii="Arial" w:hAnsi="Arial"/>
                <w:b/>
                <w:bCs/>
                <w:i/>
                <w:iCs/>
                <w:lang w:val="en-US" w:eastAsia="en-US"/>
              </w:rPr>
              <w:t>Amend</w:t>
            </w:r>
            <w:r w:rsidR="00296D14" w:rsidRPr="00296D14">
              <w:rPr>
                <w:rFonts w:ascii="Arial" w:hAnsi="Arial"/>
                <w:b/>
                <w:bCs/>
                <w:i/>
                <w:iCs/>
                <w:lang w:val="en-US" w:eastAsia="en-US"/>
              </w:rPr>
              <w:t xml:space="preserve"> the following paragraph</w:t>
            </w:r>
            <w:r w:rsidR="007402BD">
              <w:rPr>
                <w:rFonts w:ascii="Arial" w:hAnsi="Arial"/>
                <w:b/>
                <w:bCs/>
                <w:i/>
                <w:iCs/>
                <w:lang w:val="en-US" w:eastAsia="en-US"/>
              </w:rPr>
              <w:t>s</w:t>
            </w:r>
            <w:r w:rsidR="00296D14" w:rsidRPr="00296D14">
              <w:rPr>
                <w:rFonts w:ascii="Arial" w:hAnsi="Arial"/>
                <w:b/>
                <w:bCs/>
                <w:i/>
                <w:iCs/>
                <w:lang w:val="en-US" w:eastAsia="en-US"/>
              </w:rPr>
              <w:t>:</w:t>
            </w:r>
          </w:p>
          <w:p w14:paraId="4FFF0944" w14:textId="77777777" w:rsidR="00917E81" w:rsidRDefault="00917E81" w:rsidP="00755FFA">
            <w:pPr>
              <w:overflowPunct/>
              <w:autoSpaceDE/>
              <w:autoSpaceDN/>
              <w:adjustRightInd/>
              <w:spacing w:before="120" w:after="120"/>
              <w:jc w:val="both"/>
              <w:textAlignment w:val="auto"/>
              <w:rPr>
                <w:rFonts w:ascii="Calibri" w:hAnsi="Calibri" w:cs="Calibri"/>
                <w:sz w:val="22"/>
                <w:szCs w:val="22"/>
                <w:lang w:val="en-US" w:eastAsia="en-US"/>
              </w:rPr>
            </w:pPr>
          </w:p>
          <w:p w14:paraId="3CE08EA1" w14:textId="77777777" w:rsidR="00917E81" w:rsidRDefault="00917E81" w:rsidP="00917E81">
            <w:pPr>
              <w:pStyle w:val="CERLEVEL4"/>
              <w:numPr>
                <w:ilvl w:val="0"/>
                <w:numId w:val="0"/>
              </w:numPr>
              <w:ind w:left="992" w:hanging="992"/>
            </w:pPr>
            <w:proofErr w:type="gramStart"/>
            <w:r>
              <w:lastRenderedPageBreak/>
              <w:t xml:space="preserve">F.8.2.3  </w:t>
            </w:r>
            <w:r w:rsidRPr="003D35EC">
              <w:t>In</w:t>
            </w:r>
            <w:proofErr w:type="gramEnd"/>
            <w:r w:rsidRPr="003D35EC">
              <w:t xml:space="preserve"> the </w:t>
            </w:r>
            <w:r>
              <w:t>software program</w:t>
            </w:r>
            <w:r w:rsidRPr="003D35EC">
              <w:t xml:space="preserve"> used to conduct Capacity Auctions, the System Operators</w:t>
            </w:r>
            <w:r>
              <w:t xml:space="preserve"> shall</w:t>
            </w:r>
            <w:r w:rsidRPr="003D35EC">
              <w:t xml:space="preserve"> include a feature that allows </w:t>
            </w:r>
            <w:r>
              <w:t>Locational</w:t>
            </w:r>
            <w:r w:rsidRPr="003D35EC">
              <w:t xml:space="preserve"> Capacity Constraints to be violated subject to </w:t>
            </w:r>
            <w:r>
              <w:t>the following conditions:</w:t>
            </w:r>
          </w:p>
          <w:p w14:paraId="0DCC9D85" w14:textId="77777777" w:rsidR="00917E81" w:rsidRDefault="00917E81" w:rsidP="00B8232C">
            <w:pPr>
              <w:pStyle w:val="CERLEVEL6"/>
              <w:numPr>
                <w:ilvl w:val="5"/>
                <w:numId w:val="8"/>
              </w:numPr>
              <w:ind w:left="1587" w:hanging="567"/>
            </w:pPr>
            <w:r>
              <w:t xml:space="preserve">any violation of a Location Capacity Constraint shall be </w:t>
            </w:r>
            <w:proofErr w:type="gramStart"/>
            <w:r>
              <w:t>on the basis of</w:t>
            </w:r>
            <w:proofErr w:type="gramEnd"/>
            <w:r>
              <w:t xml:space="preserve"> a notional cost equal to the price of the violation included in the Locational Capacity Constraint Information multiplied by the quantity of the violation:</w:t>
            </w:r>
          </w:p>
          <w:p w14:paraId="7DC3A16C" w14:textId="4108719A" w:rsidR="00917E81" w:rsidRDefault="00917E81" w:rsidP="00B8232C">
            <w:pPr>
              <w:pStyle w:val="CERLEVEL6"/>
              <w:ind w:left="1560" w:hanging="567"/>
            </w:pPr>
            <w:r>
              <w:t xml:space="preserve">the level of these prices shall be set so that </w:t>
            </w:r>
            <w:r w:rsidRPr="0086481B">
              <w:rPr>
                <w:color w:val="FF0000"/>
                <w:vertAlign w:val="superscript"/>
              </w:rPr>
              <w:t>(</w:t>
            </w:r>
            <w:proofErr w:type="gramStart"/>
            <w:r w:rsidRPr="0086481B">
              <w:rPr>
                <w:color w:val="FF0000"/>
                <w:vertAlign w:val="superscript"/>
              </w:rPr>
              <w:t>1)</w:t>
            </w:r>
            <w:r w:rsidRPr="00D0401B">
              <w:rPr>
                <w:strike/>
                <w:color w:val="FF0000"/>
              </w:rPr>
              <w:t>no</w:t>
            </w:r>
            <w:proofErr w:type="gramEnd"/>
            <w:r w:rsidRPr="00D0401B">
              <w:rPr>
                <w:strike/>
                <w:color w:val="FF0000"/>
              </w:rPr>
              <w:t xml:space="preserve"> </w:t>
            </w:r>
            <w:r>
              <w:t xml:space="preserve">such violations </w:t>
            </w:r>
            <w:r w:rsidRPr="00D0401B">
              <w:rPr>
                <w:color w:val="FF0000"/>
              </w:rPr>
              <w:t>shall only</w:t>
            </w:r>
            <w:r>
              <w:t xml:space="preserve"> occur </w:t>
            </w:r>
            <w:r>
              <w:rPr>
                <w:color w:val="FF0000"/>
              </w:rPr>
              <w:t>if:</w:t>
            </w:r>
          </w:p>
          <w:p w14:paraId="5514AF95" w14:textId="77777777" w:rsidR="00917E81" w:rsidRPr="00D0401B" w:rsidRDefault="00917E81" w:rsidP="00917E81">
            <w:pPr>
              <w:pStyle w:val="CERLEVEL7"/>
              <w:ind w:left="2012" w:hanging="425"/>
              <w:rPr>
                <w:color w:val="FF0000"/>
              </w:rPr>
            </w:pPr>
            <w:r w:rsidRPr="0086481B">
              <w:rPr>
                <w:color w:val="FF0000"/>
                <w:vertAlign w:val="superscript"/>
              </w:rPr>
              <w:t>(</w:t>
            </w:r>
            <w:proofErr w:type="gramStart"/>
            <w:r>
              <w:rPr>
                <w:color w:val="FF0000"/>
                <w:vertAlign w:val="superscript"/>
              </w:rPr>
              <w:t>2</w:t>
            </w:r>
            <w:r w:rsidRPr="0086481B">
              <w:rPr>
                <w:color w:val="FF0000"/>
                <w:vertAlign w:val="superscript"/>
              </w:rPr>
              <w:t>)</w:t>
            </w:r>
            <w:r>
              <w:rPr>
                <w:color w:val="FF0000"/>
              </w:rPr>
              <w:t>no</w:t>
            </w:r>
            <w:proofErr w:type="gramEnd"/>
            <w:r w:rsidRPr="00D0401B">
              <w:rPr>
                <w:color w:val="FF0000"/>
              </w:rPr>
              <w:t xml:space="preserve"> breach of any other requirement of F.8.4.4 (other than F.8.4.4 (e))</w:t>
            </w:r>
            <w:r>
              <w:rPr>
                <w:color w:val="FF0000"/>
              </w:rPr>
              <w:t xml:space="preserve"> has occurred</w:t>
            </w:r>
            <w:r w:rsidRPr="00D0401B">
              <w:rPr>
                <w:color w:val="FF0000"/>
              </w:rPr>
              <w:t>; and</w:t>
            </w:r>
          </w:p>
          <w:p w14:paraId="15A0D101" w14:textId="77777777" w:rsidR="00917E81" w:rsidRDefault="00917E81" w:rsidP="00917E81">
            <w:pPr>
              <w:pStyle w:val="CERLEVEL7"/>
              <w:ind w:left="2012" w:hanging="425"/>
            </w:pPr>
            <w:r>
              <w:t xml:space="preserve">no solution that satisfies the Locational Capacity Constraints </w:t>
            </w:r>
            <w:r w:rsidRPr="0086481B">
              <w:rPr>
                <w:color w:val="FF0000"/>
                <w:vertAlign w:val="superscript"/>
              </w:rPr>
              <w:t>(</w:t>
            </w:r>
            <w:proofErr w:type="gramStart"/>
            <w:r>
              <w:rPr>
                <w:color w:val="FF0000"/>
                <w:vertAlign w:val="superscript"/>
              </w:rPr>
              <w:t>3</w:t>
            </w:r>
            <w:r w:rsidRPr="0086481B">
              <w:rPr>
                <w:color w:val="FF0000"/>
                <w:vertAlign w:val="superscript"/>
              </w:rPr>
              <w:t>)</w:t>
            </w:r>
            <w:r w:rsidRPr="00D0401B">
              <w:rPr>
                <w:strike/>
                <w:color w:val="FF0000"/>
              </w:rPr>
              <w:t>would</w:t>
            </w:r>
            <w:proofErr w:type="gramEnd"/>
            <w:r w:rsidRPr="00D0401B">
              <w:rPr>
                <w:strike/>
                <w:color w:val="FF0000"/>
              </w:rPr>
              <w:t xml:space="preserve"> </w:t>
            </w:r>
            <w:r w:rsidRPr="00D0401B">
              <w:rPr>
                <w:color w:val="FF0000"/>
              </w:rPr>
              <w:t xml:space="preserve">otherwise </w:t>
            </w:r>
            <w:r>
              <w:t>exist</w:t>
            </w:r>
            <w:r w:rsidRPr="00D0401B">
              <w:rPr>
                <w:color w:val="FF0000"/>
              </w:rPr>
              <w:t>s</w:t>
            </w:r>
            <w:r>
              <w:t xml:space="preserve"> that could be found by the software program</w:t>
            </w:r>
            <w:r w:rsidRPr="00D0401B">
              <w:rPr>
                <w:color w:val="FF0000"/>
              </w:rPr>
              <w:t xml:space="preserve"> without such violations</w:t>
            </w:r>
            <w:r>
              <w:t>;</w:t>
            </w:r>
          </w:p>
          <w:p w14:paraId="557EE017" w14:textId="77777777" w:rsidR="00917E81" w:rsidRDefault="00917E81" w:rsidP="00917E81">
            <w:pPr>
              <w:pStyle w:val="CERLEVEL6"/>
              <w:ind w:left="1560" w:hanging="567"/>
            </w:pPr>
            <w:r>
              <w:t xml:space="preserve">the </w:t>
            </w:r>
            <w:r w:rsidRPr="003D35EC">
              <w:t xml:space="preserve">cost </w:t>
            </w:r>
            <w:r>
              <w:t>of all violations for all Locational Capacity Constraints is minimized.</w:t>
            </w:r>
          </w:p>
          <w:p w14:paraId="445C1FF8" w14:textId="77777777" w:rsidR="00AD1E41" w:rsidRPr="003D35EC" w:rsidRDefault="00AD1E41" w:rsidP="00AD1E41">
            <w:pPr>
              <w:pStyle w:val="CERLEVEL6"/>
              <w:numPr>
                <w:ilvl w:val="0"/>
                <w:numId w:val="0"/>
              </w:numPr>
              <w:ind w:left="1560"/>
            </w:pPr>
          </w:p>
          <w:p w14:paraId="2BE9A15F" w14:textId="325054BF" w:rsidR="00917E81" w:rsidRPr="00AD1E41" w:rsidRDefault="00D7520A" w:rsidP="00755FFA">
            <w:pPr>
              <w:overflowPunct/>
              <w:autoSpaceDE/>
              <w:autoSpaceDN/>
              <w:adjustRightInd/>
              <w:spacing w:before="120" w:after="120"/>
              <w:jc w:val="both"/>
              <w:textAlignment w:val="auto"/>
              <w:rPr>
                <w:rFonts w:asciiTheme="minorHAnsi" w:hAnsiTheme="minorHAnsi" w:cstheme="minorHAnsi"/>
                <w:i/>
                <w:iCs/>
                <w:lang w:val="en-US" w:eastAsia="en-US"/>
              </w:rPr>
            </w:pPr>
            <w:r w:rsidRPr="00AD1E41">
              <w:rPr>
                <w:rFonts w:asciiTheme="minorHAnsi" w:hAnsiTheme="minorHAnsi" w:cstheme="minorHAnsi"/>
                <w:i/>
                <w:iCs/>
                <w:lang w:val="en-US" w:eastAsia="en-US"/>
              </w:rPr>
              <w:t>[Comments</w:t>
            </w:r>
          </w:p>
          <w:p w14:paraId="790D97D8" w14:textId="77777777" w:rsidR="00D7520A" w:rsidRPr="00AD1E41" w:rsidRDefault="00D7520A" w:rsidP="00B8232C">
            <w:pPr>
              <w:pStyle w:val="ListParagraph"/>
              <w:numPr>
                <w:ilvl w:val="0"/>
                <w:numId w:val="12"/>
              </w:numPr>
              <w:overflowPunct/>
              <w:autoSpaceDE/>
              <w:autoSpaceDN/>
              <w:adjustRightInd/>
              <w:jc w:val="both"/>
              <w:textAlignment w:val="auto"/>
              <w:rPr>
                <w:rFonts w:asciiTheme="minorHAnsi" w:hAnsiTheme="minorHAnsi" w:cstheme="minorHAnsi"/>
                <w:i/>
                <w:iCs/>
              </w:rPr>
            </w:pPr>
            <w:r w:rsidRPr="00AD1E41">
              <w:rPr>
                <w:rFonts w:asciiTheme="minorHAnsi" w:hAnsiTheme="minorHAnsi" w:cstheme="minorHAnsi"/>
                <w:i/>
                <w:iCs/>
              </w:rPr>
              <w:t>Optional change to positively express the scenarios where a violation might occur (as opposed to the double negative phrasing)</w:t>
            </w:r>
          </w:p>
          <w:p w14:paraId="198722F8" w14:textId="77777777" w:rsidR="00D7520A" w:rsidRPr="00AD1E41" w:rsidRDefault="00D7520A" w:rsidP="00B8232C">
            <w:pPr>
              <w:pStyle w:val="ListParagraph"/>
              <w:numPr>
                <w:ilvl w:val="0"/>
                <w:numId w:val="12"/>
              </w:numPr>
              <w:overflowPunct/>
              <w:autoSpaceDE/>
              <w:autoSpaceDN/>
              <w:adjustRightInd/>
              <w:jc w:val="both"/>
              <w:textAlignment w:val="auto"/>
              <w:rPr>
                <w:rFonts w:asciiTheme="minorHAnsi" w:hAnsiTheme="minorHAnsi" w:cstheme="minorHAnsi"/>
                <w:i/>
                <w:iCs/>
              </w:rPr>
            </w:pPr>
            <w:r w:rsidRPr="00AD1E41">
              <w:rPr>
                <w:rFonts w:asciiTheme="minorHAnsi" w:hAnsiTheme="minorHAnsi" w:cstheme="minorHAnsi"/>
                <w:i/>
                <w:iCs/>
              </w:rPr>
              <w:t>Change suggested to ensure all other requirements of F.8.4.4 have primacy and the auction solution should breach the locational capacity constraints first.</w:t>
            </w:r>
          </w:p>
          <w:p w14:paraId="56414A9D" w14:textId="748892CE" w:rsidR="00D7520A" w:rsidRPr="00AD1E41" w:rsidRDefault="00D7520A" w:rsidP="00B8232C">
            <w:pPr>
              <w:pStyle w:val="ListParagraph"/>
              <w:numPr>
                <w:ilvl w:val="0"/>
                <w:numId w:val="12"/>
              </w:numPr>
              <w:overflowPunct/>
              <w:autoSpaceDE/>
              <w:autoSpaceDN/>
              <w:adjustRightInd/>
              <w:jc w:val="both"/>
              <w:textAlignment w:val="auto"/>
              <w:rPr>
                <w:rFonts w:asciiTheme="minorHAnsi" w:hAnsiTheme="minorHAnsi" w:cstheme="minorHAnsi"/>
                <w:i/>
                <w:iCs/>
              </w:rPr>
            </w:pPr>
            <w:r w:rsidRPr="00AD1E41">
              <w:rPr>
                <w:rFonts w:asciiTheme="minorHAnsi" w:hAnsiTheme="minorHAnsi" w:cstheme="minorHAnsi"/>
                <w:i/>
                <w:iCs/>
              </w:rPr>
              <w:t>Continued discretional drafting clarity</w:t>
            </w:r>
            <w:r w:rsidR="00C61775" w:rsidRPr="00AD1E41">
              <w:rPr>
                <w:rFonts w:asciiTheme="minorHAnsi" w:hAnsiTheme="minorHAnsi" w:cstheme="minorHAnsi"/>
                <w:i/>
                <w:iCs/>
              </w:rPr>
              <w:t>]</w:t>
            </w:r>
          </w:p>
          <w:p w14:paraId="1AB6FCD1" w14:textId="56FE4ACE" w:rsidR="00D7520A" w:rsidRDefault="00D7520A" w:rsidP="00C61775">
            <w:pPr>
              <w:overflowPunct/>
              <w:autoSpaceDE/>
              <w:autoSpaceDN/>
              <w:adjustRightInd/>
              <w:spacing w:before="120" w:after="120"/>
              <w:jc w:val="both"/>
              <w:textAlignment w:val="auto"/>
              <w:rPr>
                <w:rFonts w:ascii="Calibri" w:hAnsi="Calibri" w:cs="Calibri"/>
                <w:sz w:val="22"/>
                <w:szCs w:val="22"/>
                <w:lang w:val="en-US" w:eastAsia="en-US"/>
              </w:rPr>
            </w:pPr>
          </w:p>
          <w:p w14:paraId="4C02946F" w14:textId="77777777" w:rsidR="000172C0" w:rsidRDefault="000172C0" w:rsidP="000172C0">
            <w:pPr>
              <w:pStyle w:val="CERLevel5"/>
              <w:numPr>
                <w:ilvl w:val="0"/>
                <w:numId w:val="0"/>
              </w:numPr>
              <w:ind w:left="709" w:hanging="709"/>
            </w:pPr>
            <w:r>
              <w:t xml:space="preserve">F.8.4.4 </w:t>
            </w:r>
            <w:r w:rsidRPr="00256371">
              <w:t xml:space="preserve">Subject to paragraphs F.8.4.6, F.8.4.6A and F.8.4.7, the System Operators shall determine the remaining price-quantity pairs contained in Capacity Auction Offers cleared in a Capacity Auction by applying the following rules: </w:t>
            </w:r>
          </w:p>
          <w:p w14:paraId="1A054124" w14:textId="77777777" w:rsidR="000172C0" w:rsidRDefault="000172C0" w:rsidP="000172C0">
            <w:pPr>
              <w:pStyle w:val="CERLevel5"/>
              <w:numPr>
                <w:ilvl w:val="0"/>
                <w:numId w:val="0"/>
              </w:numPr>
              <w:ind w:left="709" w:hanging="709"/>
            </w:pPr>
            <w:r>
              <w:t>…</w:t>
            </w:r>
          </w:p>
          <w:p w14:paraId="56A0BB3F" w14:textId="65043276" w:rsidR="000172C0" w:rsidRPr="00AE49AB" w:rsidRDefault="000172C0" w:rsidP="000172C0">
            <w:pPr>
              <w:pStyle w:val="CERLevel5"/>
              <w:numPr>
                <w:ilvl w:val="0"/>
                <w:numId w:val="0"/>
              </w:numPr>
              <w:ind w:left="709"/>
            </w:pPr>
            <w:r>
              <w:t xml:space="preserve">(e) </w:t>
            </w:r>
            <w:r w:rsidRPr="00AE49AB">
              <w:t xml:space="preserve">from the set of price-quantity pairs relating to Capacity Market Units that contribute to satisfying the </w:t>
            </w:r>
            <w:r>
              <w:t xml:space="preserve">Net Required Quantity determined in respect </w:t>
            </w:r>
            <w:r w:rsidRPr="00AE49AB">
              <w:t xml:space="preserve">of a </w:t>
            </w:r>
            <w:r>
              <w:t>Locational</w:t>
            </w:r>
            <w:r w:rsidRPr="00AE49AB">
              <w:t xml:space="preserve"> Capacity Constraint</w:t>
            </w:r>
            <w:r>
              <w:t>:</w:t>
            </w:r>
            <w:r w:rsidRPr="00AE49AB">
              <w:t xml:space="preserve"> </w:t>
            </w:r>
            <w:r w:rsidRPr="0086481B">
              <w:rPr>
                <w:color w:val="FF0000"/>
                <w:vertAlign w:val="superscript"/>
              </w:rPr>
              <w:t>(</w:t>
            </w:r>
            <w:r>
              <w:rPr>
                <w:color w:val="FF0000"/>
                <w:vertAlign w:val="superscript"/>
              </w:rPr>
              <w:t>4</w:t>
            </w:r>
            <w:r w:rsidRPr="0086481B">
              <w:rPr>
                <w:color w:val="FF0000"/>
                <w:vertAlign w:val="superscript"/>
              </w:rPr>
              <w:t>)</w:t>
            </w:r>
            <w:r w:rsidRPr="00256371">
              <w:rPr>
                <w:strike/>
                <w:color w:val="FF0000"/>
              </w:rPr>
              <w:t>either:</w:t>
            </w:r>
          </w:p>
          <w:p w14:paraId="6F3C506D" w14:textId="77777777" w:rsidR="000172C0" w:rsidRPr="00E16EA7" w:rsidRDefault="000172C0" w:rsidP="00B8232C">
            <w:pPr>
              <w:pStyle w:val="CERLEVEL6"/>
              <w:numPr>
                <w:ilvl w:val="5"/>
                <w:numId w:val="13"/>
              </w:numPr>
              <w:ind w:left="1576" w:hanging="425"/>
              <w:rPr>
                <w:color w:val="FF0000"/>
              </w:rPr>
            </w:pPr>
            <w:r w:rsidRPr="00E16EA7">
              <w:rPr>
                <w:color w:val="FF0000"/>
              </w:rPr>
              <w:t>either</w:t>
            </w:r>
          </w:p>
          <w:p w14:paraId="77E65F0E" w14:textId="77777777" w:rsidR="000172C0" w:rsidRPr="00AE49AB" w:rsidRDefault="000172C0" w:rsidP="000172C0">
            <w:pPr>
              <w:pStyle w:val="CERLEVEL7"/>
              <w:ind w:left="1701" w:hanging="141"/>
            </w:pPr>
            <w:r>
              <w:t xml:space="preserve"> </w:t>
            </w:r>
            <w:r w:rsidRPr="0086481B">
              <w:rPr>
                <w:color w:val="FF0000"/>
                <w:vertAlign w:val="superscript"/>
              </w:rPr>
              <w:t>(</w:t>
            </w:r>
            <w:proofErr w:type="gramStart"/>
            <w:r>
              <w:rPr>
                <w:color w:val="FF0000"/>
                <w:vertAlign w:val="superscript"/>
              </w:rPr>
              <w:t>5</w:t>
            </w:r>
            <w:r w:rsidRPr="0086481B">
              <w:rPr>
                <w:color w:val="FF0000"/>
                <w:vertAlign w:val="superscript"/>
              </w:rPr>
              <w:t>)</w:t>
            </w:r>
            <w:r w:rsidRPr="00AE49AB">
              <w:t>the</w:t>
            </w:r>
            <w:proofErr w:type="gramEnd"/>
            <w:r w:rsidRPr="00AE49AB">
              <w:t xml:space="preserve"> cumulative quantity cleared </w:t>
            </w:r>
            <w:r w:rsidRPr="00256371">
              <w:rPr>
                <w:color w:val="FF0000"/>
              </w:rPr>
              <w:t>shall</w:t>
            </w:r>
            <w:r>
              <w:t xml:space="preserve"> </w:t>
            </w:r>
            <w:r w:rsidRPr="00AE49AB">
              <w:t>equal</w:t>
            </w:r>
            <w:r w:rsidRPr="00AD1E41">
              <w:rPr>
                <w:strike/>
                <w:color w:val="FF0000"/>
              </w:rPr>
              <w:t>s</w:t>
            </w:r>
            <w:r w:rsidRPr="00AE49AB">
              <w:t xml:space="preserve"> or exceed</w:t>
            </w:r>
            <w:r w:rsidRPr="00256371">
              <w:rPr>
                <w:strike/>
                <w:color w:val="FF0000"/>
              </w:rPr>
              <w:t>s</w:t>
            </w:r>
            <w:r w:rsidRPr="00AE49AB">
              <w:t xml:space="preserve"> th</w:t>
            </w:r>
            <w:r>
              <w:t>at</w:t>
            </w:r>
            <w:r w:rsidRPr="00AE49AB">
              <w:t xml:space="preserve"> </w:t>
            </w:r>
            <w:r w:rsidRPr="00256371">
              <w:rPr>
                <w:color w:val="FF0000"/>
              </w:rPr>
              <w:t xml:space="preserve">Net Required </w:t>
            </w:r>
            <w:proofErr w:type="spellStart"/>
            <w:r w:rsidRPr="00256371">
              <w:rPr>
                <w:color w:val="FF0000"/>
              </w:rPr>
              <w:t>Q</w:t>
            </w:r>
            <w:r w:rsidRPr="00256371">
              <w:rPr>
                <w:strike/>
                <w:color w:val="FF0000"/>
              </w:rPr>
              <w:t>q</w:t>
            </w:r>
            <w:r>
              <w:t>uantity</w:t>
            </w:r>
            <w:proofErr w:type="spellEnd"/>
            <w:r w:rsidRPr="00AE49AB">
              <w:t>; or</w:t>
            </w:r>
          </w:p>
          <w:p w14:paraId="5BD986DB" w14:textId="6D10D159" w:rsidR="000172C0" w:rsidRDefault="000172C0" w:rsidP="000172C0">
            <w:pPr>
              <w:pStyle w:val="CERLEVEL7"/>
              <w:ind w:left="1701" w:hanging="141"/>
            </w:pPr>
            <w:r w:rsidRPr="00AE49AB">
              <w:t>if sub-paragraph (</w:t>
            </w:r>
            <w:r>
              <w:t>A</w:t>
            </w:r>
            <w:r w:rsidRPr="00AE49AB">
              <w:t xml:space="preserve">) </w:t>
            </w:r>
            <w:r w:rsidRPr="0086481B">
              <w:rPr>
                <w:color w:val="FF0000"/>
              </w:rPr>
              <w:t>above</w:t>
            </w:r>
            <w:r>
              <w:t xml:space="preserve"> </w:t>
            </w:r>
            <w:r w:rsidRPr="00AE49AB">
              <w:t xml:space="preserve">does not apply, all of those price-quantity pairs </w:t>
            </w:r>
            <w:r w:rsidRPr="0086481B">
              <w:rPr>
                <w:color w:val="FF0000"/>
                <w:vertAlign w:val="superscript"/>
              </w:rPr>
              <w:t>(</w:t>
            </w:r>
            <w:proofErr w:type="gramStart"/>
            <w:r>
              <w:rPr>
                <w:color w:val="FF0000"/>
                <w:vertAlign w:val="superscript"/>
              </w:rPr>
              <w:t>6</w:t>
            </w:r>
            <w:r w:rsidRPr="0086481B">
              <w:rPr>
                <w:color w:val="FF0000"/>
                <w:vertAlign w:val="superscript"/>
              </w:rPr>
              <w:t>)</w:t>
            </w:r>
            <w:r w:rsidRPr="0086481B">
              <w:rPr>
                <w:color w:val="FF0000"/>
              </w:rPr>
              <w:t>as</w:t>
            </w:r>
            <w:proofErr w:type="gramEnd"/>
            <w:r w:rsidRPr="0086481B">
              <w:rPr>
                <w:color w:val="FF0000"/>
              </w:rPr>
              <w:t xml:space="preserve"> determined pursuant to paragraph F.8.3.2 on violation of the Locational Capacity Constraint</w:t>
            </w:r>
            <w:r>
              <w:t xml:space="preserve"> </w:t>
            </w:r>
            <w:r w:rsidRPr="00AE49AB">
              <w:t>shall be cleared;</w:t>
            </w:r>
            <w:r>
              <w:t xml:space="preserve"> and</w:t>
            </w:r>
          </w:p>
          <w:p w14:paraId="4317799E" w14:textId="77777777" w:rsidR="000172C0" w:rsidRPr="0086481B" w:rsidRDefault="000172C0" w:rsidP="000172C0">
            <w:pPr>
              <w:pStyle w:val="CERLEVEL6"/>
              <w:ind w:left="1560" w:hanging="426"/>
              <w:rPr>
                <w:color w:val="FF0000"/>
              </w:rPr>
            </w:pPr>
            <w:r w:rsidRPr="0086481B">
              <w:rPr>
                <w:color w:val="FF0000"/>
              </w:rPr>
              <w:t>either:</w:t>
            </w:r>
          </w:p>
          <w:p w14:paraId="76A1781D" w14:textId="77777777" w:rsidR="000172C0" w:rsidRPr="0086481B" w:rsidRDefault="000172C0" w:rsidP="000172C0">
            <w:pPr>
              <w:pStyle w:val="CERLEVEL7"/>
              <w:ind w:left="2163" w:hanging="567"/>
            </w:pPr>
            <w:r>
              <w:t xml:space="preserve">the cumulative quantity cleared </w:t>
            </w:r>
            <w:r w:rsidRPr="0086481B">
              <w:rPr>
                <w:color w:val="FF0000"/>
                <w:vertAlign w:val="superscript"/>
              </w:rPr>
              <w:t>(</w:t>
            </w:r>
            <w:proofErr w:type="gramStart"/>
            <w:r>
              <w:rPr>
                <w:color w:val="FF0000"/>
                <w:vertAlign w:val="superscript"/>
              </w:rPr>
              <w:t>7</w:t>
            </w:r>
            <w:r w:rsidRPr="0086481B">
              <w:rPr>
                <w:color w:val="FF0000"/>
                <w:vertAlign w:val="superscript"/>
              </w:rPr>
              <w:t>)</w:t>
            </w:r>
            <w:r w:rsidRPr="0086481B">
              <w:rPr>
                <w:color w:val="FF0000"/>
              </w:rPr>
              <w:t>shall</w:t>
            </w:r>
            <w:proofErr w:type="gramEnd"/>
            <w:r>
              <w:t xml:space="preserve"> not exceed the Net Maximum Quantity;</w:t>
            </w:r>
            <w:r w:rsidRPr="0086481B">
              <w:rPr>
                <w:color w:val="FF0000"/>
              </w:rPr>
              <w:t xml:space="preserve"> </w:t>
            </w:r>
            <w:r w:rsidRPr="0086481B">
              <w:rPr>
                <w:strike/>
                <w:color w:val="FF0000"/>
              </w:rPr>
              <w:t>and</w:t>
            </w:r>
            <w:r>
              <w:rPr>
                <w:color w:val="FF0000"/>
              </w:rPr>
              <w:t xml:space="preserve"> </w:t>
            </w:r>
            <w:r w:rsidRPr="0086481B">
              <w:rPr>
                <w:color w:val="FF0000"/>
              </w:rPr>
              <w:t>or</w:t>
            </w:r>
          </w:p>
          <w:p w14:paraId="2B89E8F2" w14:textId="77777777" w:rsidR="000172C0" w:rsidRPr="0086481B" w:rsidRDefault="000172C0" w:rsidP="000172C0">
            <w:pPr>
              <w:pStyle w:val="CERLEVEL7"/>
              <w:ind w:left="2163" w:hanging="567"/>
              <w:rPr>
                <w:color w:val="FF0000"/>
              </w:rPr>
            </w:pPr>
            <w:r w:rsidRPr="0086481B">
              <w:rPr>
                <w:color w:val="FF0000"/>
                <w:vertAlign w:val="superscript"/>
              </w:rPr>
              <w:t>(</w:t>
            </w:r>
            <w:proofErr w:type="gramStart"/>
            <w:r>
              <w:rPr>
                <w:color w:val="FF0000"/>
                <w:vertAlign w:val="superscript"/>
              </w:rPr>
              <w:t>8</w:t>
            </w:r>
            <w:r w:rsidRPr="0086481B">
              <w:rPr>
                <w:color w:val="FF0000"/>
                <w:vertAlign w:val="superscript"/>
              </w:rPr>
              <w:t>)</w:t>
            </w:r>
            <w:r w:rsidRPr="0086481B">
              <w:rPr>
                <w:color w:val="FF0000"/>
              </w:rPr>
              <w:t>if</w:t>
            </w:r>
            <w:proofErr w:type="gramEnd"/>
            <w:r w:rsidRPr="0086481B">
              <w:rPr>
                <w:color w:val="FF0000"/>
              </w:rPr>
              <w:t xml:space="preserve"> sub-paragraph (A) above does not apply, all of those price-quantity pairs as determined pursuant to paragraph F.8.3.2 on violation of the Locational Capacity Constraint shall be cleared;</w:t>
            </w:r>
            <w:r>
              <w:rPr>
                <w:color w:val="FF0000"/>
              </w:rPr>
              <w:t xml:space="preserve"> and</w:t>
            </w:r>
          </w:p>
          <w:p w14:paraId="30889A85" w14:textId="4CD11073" w:rsidR="00917E81" w:rsidRPr="00D86FB5" w:rsidRDefault="000172C0" w:rsidP="00D86FB5">
            <w:pPr>
              <w:overflowPunct/>
              <w:autoSpaceDE/>
              <w:autoSpaceDN/>
              <w:adjustRightInd/>
              <w:spacing w:before="120" w:after="120"/>
              <w:ind w:left="726"/>
              <w:jc w:val="both"/>
              <w:textAlignment w:val="auto"/>
              <w:rPr>
                <w:rFonts w:ascii="Arial" w:hAnsi="Arial" w:cs="Arial"/>
                <w:color w:val="FF0000"/>
                <w:sz w:val="22"/>
                <w:szCs w:val="22"/>
              </w:rPr>
            </w:pPr>
            <w:bookmarkStart w:id="0" w:name="_Hlk168057556"/>
            <w:r w:rsidRPr="005544D3">
              <w:rPr>
                <w:rFonts w:ascii="Arial" w:hAnsi="Arial" w:cs="Arial"/>
              </w:rPr>
              <w:t>(</w:t>
            </w:r>
            <w:r w:rsidRPr="00AD1E41">
              <w:rPr>
                <w:rFonts w:ascii="Arial" w:hAnsi="Arial" w:cs="Arial"/>
                <w:sz w:val="22"/>
                <w:szCs w:val="22"/>
              </w:rPr>
              <w:t>f)</w:t>
            </w:r>
            <w:r w:rsidR="00C233B2" w:rsidRPr="00B44FE9">
              <w:rPr>
                <w:rFonts w:ascii="Arial" w:hAnsi="Arial" w:cs="Arial"/>
                <w:color w:val="FF0000"/>
                <w:sz w:val="22"/>
                <w:szCs w:val="22"/>
                <w:vertAlign w:val="superscript"/>
              </w:rPr>
              <w:t>(</w:t>
            </w:r>
            <w:proofErr w:type="gramStart"/>
            <w:r w:rsidR="00C233B2" w:rsidRPr="00B44FE9">
              <w:rPr>
                <w:rFonts w:ascii="Arial" w:hAnsi="Arial" w:cs="Arial"/>
                <w:color w:val="FF0000"/>
                <w:sz w:val="22"/>
                <w:szCs w:val="22"/>
                <w:vertAlign w:val="superscript"/>
              </w:rPr>
              <w:t>9</w:t>
            </w:r>
            <w:r w:rsidR="00D86FB5">
              <w:rPr>
                <w:rFonts w:ascii="Arial" w:hAnsi="Arial" w:cs="Arial"/>
                <w:color w:val="FF0000"/>
                <w:sz w:val="22"/>
                <w:szCs w:val="22"/>
                <w:vertAlign w:val="superscript"/>
              </w:rPr>
              <w:t>)</w:t>
            </w:r>
            <w:r w:rsidR="00D86FB5" w:rsidRPr="00D86FB5">
              <w:rPr>
                <w:rFonts w:ascii="Arial" w:hAnsi="Arial"/>
                <w:sz w:val="22"/>
                <w:szCs w:val="22"/>
                <w:lang w:val="en-US" w:eastAsia="en-US"/>
              </w:rPr>
              <w:t>Exempt</w:t>
            </w:r>
            <w:proofErr w:type="gramEnd"/>
            <w:r w:rsidR="00D86FB5" w:rsidRPr="00D86FB5">
              <w:rPr>
                <w:rFonts w:ascii="Arial" w:hAnsi="Arial"/>
                <w:sz w:val="22"/>
                <w:szCs w:val="22"/>
                <w:lang w:val="en-US" w:eastAsia="en-US"/>
              </w:rPr>
              <w:t xml:space="preserve"> Price-Quantity Pairs are </w:t>
            </w:r>
            <w:r w:rsidR="00D86FB5">
              <w:rPr>
                <w:rFonts w:ascii="Arial" w:hAnsi="Arial"/>
                <w:color w:val="FF0000"/>
                <w:sz w:val="22"/>
                <w:szCs w:val="22"/>
                <w:lang w:val="en-US" w:eastAsia="en-US"/>
              </w:rPr>
              <w:t xml:space="preserve">to have their price multiplied by their quantity, multiplied by their offered capacity duration for the purposes of </w:t>
            </w:r>
            <w:proofErr w:type="spellStart"/>
            <w:r w:rsidR="00D86FB5">
              <w:rPr>
                <w:rFonts w:ascii="Arial" w:hAnsi="Arial"/>
                <w:color w:val="FF0000"/>
                <w:sz w:val="22"/>
                <w:szCs w:val="22"/>
                <w:lang w:val="en-US" w:eastAsia="en-US"/>
              </w:rPr>
              <w:t>maximising</w:t>
            </w:r>
            <w:proofErr w:type="spellEnd"/>
            <w:r w:rsidR="00D86FB5">
              <w:rPr>
                <w:rFonts w:ascii="Arial" w:hAnsi="Arial"/>
                <w:color w:val="FF0000"/>
                <w:sz w:val="22"/>
                <w:szCs w:val="22"/>
                <w:lang w:val="en-US" w:eastAsia="en-US"/>
              </w:rPr>
              <w:t xml:space="preserve"> Net Social Welfare as set out in F.8.4.2.  </w:t>
            </w:r>
            <w:r w:rsidR="00D86FB5" w:rsidRPr="00D86FB5">
              <w:rPr>
                <w:rFonts w:ascii="Arial" w:hAnsi="Arial"/>
                <w:strike/>
                <w:sz w:val="22"/>
                <w:szCs w:val="22"/>
                <w:lang w:val="en-US" w:eastAsia="en-US"/>
              </w:rPr>
              <w:t xml:space="preserve">not to be cleared to satisfy a Locational Capacity Constraint or to </w:t>
            </w:r>
            <w:proofErr w:type="spellStart"/>
            <w:r w:rsidR="00D86FB5" w:rsidRPr="00D86FB5">
              <w:rPr>
                <w:rFonts w:ascii="Arial" w:hAnsi="Arial"/>
                <w:strike/>
                <w:sz w:val="22"/>
                <w:szCs w:val="22"/>
                <w:lang w:val="en-US" w:eastAsia="en-US"/>
              </w:rPr>
              <w:t>maximise</w:t>
            </w:r>
            <w:proofErr w:type="spellEnd"/>
            <w:r w:rsidR="00D86FB5" w:rsidRPr="00D86FB5">
              <w:rPr>
                <w:rFonts w:ascii="Arial" w:hAnsi="Arial"/>
                <w:strike/>
                <w:sz w:val="22"/>
                <w:szCs w:val="22"/>
                <w:lang w:val="en-US" w:eastAsia="en-US"/>
              </w:rPr>
              <w:t xml:space="preserve"> Net Social Welfare until all applicable price-quantity pairs with an offered capacity duration of one Capacity Year have been cleared.</w:t>
            </w:r>
          </w:p>
          <w:bookmarkEnd w:id="0"/>
          <w:p w14:paraId="2FD7D622" w14:textId="4E716362" w:rsidR="008C386D" w:rsidRPr="00147247" w:rsidRDefault="00B33D76" w:rsidP="000172C0">
            <w:pPr>
              <w:overflowPunct/>
              <w:autoSpaceDE/>
              <w:autoSpaceDN/>
              <w:adjustRightInd/>
              <w:spacing w:before="120" w:after="120"/>
              <w:jc w:val="both"/>
              <w:textAlignment w:val="auto"/>
              <w:rPr>
                <w:rFonts w:asciiTheme="minorHAnsi" w:hAnsiTheme="minorHAnsi" w:cstheme="minorHAnsi"/>
                <w:i/>
                <w:iCs/>
                <w:lang w:val="en-US" w:eastAsia="en-US"/>
              </w:rPr>
            </w:pPr>
            <w:r>
              <w:rPr>
                <w:rFonts w:ascii="Calibri" w:hAnsi="Calibri" w:cs="Calibri"/>
                <w:sz w:val="22"/>
                <w:szCs w:val="22"/>
                <w:lang w:val="en-US" w:eastAsia="en-US"/>
              </w:rPr>
              <w:t>[</w:t>
            </w:r>
            <w:r w:rsidRPr="00147247">
              <w:rPr>
                <w:rFonts w:asciiTheme="minorHAnsi" w:hAnsiTheme="minorHAnsi" w:cstheme="minorHAnsi"/>
                <w:i/>
                <w:iCs/>
                <w:lang w:val="en-US" w:eastAsia="en-US"/>
              </w:rPr>
              <w:t>Comments</w:t>
            </w:r>
          </w:p>
          <w:p w14:paraId="0C1F6D7B" w14:textId="3EAF42EC" w:rsidR="00B33D76" w:rsidRPr="00147247" w:rsidRDefault="00B33D76" w:rsidP="00B8232C">
            <w:pPr>
              <w:pStyle w:val="ListParagraph"/>
              <w:numPr>
                <w:ilvl w:val="0"/>
                <w:numId w:val="12"/>
              </w:numPr>
              <w:overflowPunct/>
              <w:autoSpaceDE/>
              <w:autoSpaceDN/>
              <w:adjustRightInd/>
              <w:jc w:val="both"/>
              <w:textAlignment w:val="auto"/>
              <w:rPr>
                <w:rFonts w:asciiTheme="minorHAnsi" w:hAnsiTheme="minorHAnsi" w:cstheme="minorHAnsi"/>
                <w:i/>
                <w:iCs/>
              </w:rPr>
            </w:pPr>
            <w:r w:rsidRPr="00147247">
              <w:rPr>
                <w:rFonts w:asciiTheme="minorHAnsi" w:hAnsiTheme="minorHAnsi" w:cstheme="minorHAnsi"/>
                <w:i/>
                <w:iCs/>
              </w:rPr>
              <w:t>Deletion of spurious “</w:t>
            </w:r>
            <w:proofErr w:type="gramStart"/>
            <w:r w:rsidRPr="00147247">
              <w:rPr>
                <w:rFonts w:asciiTheme="minorHAnsi" w:hAnsiTheme="minorHAnsi" w:cstheme="minorHAnsi"/>
                <w:i/>
                <w:iCs/>
              </w:rPr>
              <w:t>either”</w:t>
            </w:r>
            <w:proofErr w:type="gramEnd"/>
            <w:r w:rsidRPr="00147247">
              <w:rPr>
                <w:rFonts w:asciiTheme="minorHAnsi" w:hAnsiTheme="minorHAnsi" w:cstheme="minorHAnsi"/>
                <w:i/>
                <w:iCs/>
              </w:rPr>
              <w:t>.</w:t>
            </w:r>
          </w:p>
          <w:p w14:paraId="2CB7CBCB" w14:textId="77777777" w:rsidR="00B33D76" w:rsidRPr="00147247" w:rsidRDefault="00B33D76" w:rsidP="00B8232C">
            <w:pPr>
              <w:pStyle w:val="ListParagraph"/>
              <w:numPr>
                <w:ilvl w:val="0"/>
                <w:numId w:val="12"/>
              </w:numPr>
              <w:overflowPunct/>
              <w:autoSpaceDE/>
              <w:autoSpaceDN/>
              <w:adjustRightInd/>
              <w:jc w:val="both"/>
              <w:textAlignment w:val="auto"/>
              <w:rPr>
                <w:rFonts w:asciiTheme="minorHAnsi" w:hAnsiTheme="minorHAnsi" w:cstheme="minorHAnsi"/>
                <w:i/>
                <w:iCs/>
              </w:rPr>
            </w:pPr>
            <w:r w:rsidRPr="00147247">
              <w:rPr>
                <w:rFonts w:asciiTheme="minorHAnsi" w:hAnsiTheme="minorHAnsi" w:cstheme="minorHAnsi"/>
                <w:i/>
                <w:iCs/>
              </w:rPr>
              <w:t>Discretional drafting clarity.</w:t>
            </w:r>
          </w:p>
          <w:p w14:paraId="221208DC" w14:textId="77777777" w:rsidR="00B33D76" w:rsidRPr="00147247" w:rsidRDefault="00B33D76" w:rsidP="00B8232C">
            <w:pPr>
              <w:pStyle w:val="ListParagraph"/>
              <w:numPr>
                <w:ilvl w:val="0"/>
                <w:numId w:val="12"/>
              </w:numPr>
              <w:overflowPunct/>
              <w:autoSpaceDE/>
              <w:autoSpaceDN/>
              <w:adjustRightInd/>
              <w:jc w:val="both"/>
              <w:textAlignment w:val="auto"/>
              <w:rPr>
                <w:rFonts w:asciiTheme="minorHAnsi" w:hAnsiTheme="minorHAnsi" w:cstheme="minorHAnsi"/>
                <w:i/>
                <w:iCs/>
              </w:rPr>
            </w:pPr>
            <w:r w:rsidRPr="00147247">
              <w:rPr>
                <w:rFonts w:asciiTheme="minorHAnsi" w:hAnsiTheme="minorHAnsi" w:cstheme="minorHAnsi"/>
                <w:i/>
                <w:iCs/>
              </w:rPr>
              <w:t>Prevents F.8.3.2 reaching an auction solution (without reaching the Net Required Quantity, despite capacity being available to do so due to more expensive violation of Net Maximum Quantity) which in turn requires F.8.4.4(a)(ii) to clear such available non-cleared capacity anyway, which would be contrary to the intent of F.8.3.2.</w:t>
            </w:r>
          </w:p>
          <w:p w14:paraId="28EA98CB" w14:textId="77777777" w:rsidR="00B33D76" w:rsidRPr="00147247" w:rsidRDefault="00B33D76" w:rsidP="00B8232C">
            <w:pPr>
              <w:pStyle w:val="ListParagraph"/>
              <w:numPr>
                <w:ilvl w:val="0"/>
                <w:numId w:val="12"/>
              </w:numPr>
              <w:overflowPunct/>
              <w:autoSpaceDE/>
              <w:autoSpaceDN/>
              <w:adjustRightInd/>
              <w:jc w:val="both"/>
              <w:textAlignment w:val="auto"/>
              <w:rPr>
                <w:rFonts w:asciiTheme="minorHAnsi" w:hAnsiTheme="minorHAnsi" w:cstheme="minorHAnsi"/>
                <w:i/>
                <w:iCs/>
              </w:rPr>
            </w:pPr>
            <w:r w:rsidRPr="00147247">
              <w:rPr>
                <w:rFonts w:asciiTheme="minorHAnsi" w:hAnsiTheme="minorHAnsi" w:cstheme="minorHAnsi"/>
                <w:i/>
                <w:iCs/>
              </w:rPr>
              <w:t>Discretional drafting clarity</w:t>
            </w:r>
          </w:p>
          <w:p w14:paraId="4AF4786A" w14:textId="77777777" w:rsidR="00B33D76" w:rsidRDefault="00B33D76" w:rsidP="00B8232C">
            <w:pPr>
              <w:pStyle w:val="ListParagraph"/>
              <w:numPr>
                <w:ilvl w:val="0"/>
                <w:numId w:val="12"/>
              </w:numPr>
              <w:overflowPunct/>
              <w:autoSpaceDE/>
              <w:autoSpaceDN/>
              <w:adjustRightInd/>
              <w:jc w:val="both"/>
              <w:textAlignment w:val="auto"/>
              <w:rPr>
                <w:rFonts w:asciiTheme="minorHAnsi" w:hAnsiTheme="minorHAnsi" w:cstheme="minorHAnsi"/>
                <w:i/>
                <w:iCs/>
              </w:rPr>
            </w:pPr>
            <w:r w:rsidRPr="00147247">
              <w:rPr>
                <w:rFonts w:asciiTheme="minorHAnsi" w:hAnsiTheme="minorHAnsi" w:cstheme="minorHAnsi"/>
                <w:i/>
                <w:iCs/>
              </w:rPr>
              <w:t>As per note (3) above, allows for the operation of F.8.3.2 in line with the auction objectives (which allow for a Net Maximum Quantity to be breached).  This also sets a clear (albeit) implicit hierarchy between the Net Maximum Quantity breaches and the absolute requirements of F.8.4.4(f).</w:t>
            </w:r>
          </w:p>
          <w:p w14:paraId="64689A3A" w14:textId="10CA5FB2" w:rsidR="004C40C6" w:rsidRPr="00054CAB" w:rsidRDefault="006F55E6" w:rsidP="00D86FB5">
            <w:pPr>
              <w:pStyle w:val="ListParagraph"/>
              <w:numPr>
                <w:ilvl w:val="0"/>
                <w:numId w:val="12"/>
              </w:numPr>
              <w:overflowPunct/>
              <w:autoSpaceDE/>
              <w:autoSpaceDN/>
              <w:adjustRightInd/>
              <w:jc w:val="both"/>
              <w:textAlignment w:val="auto"/>
              <w:rPr>
                <w:rFonts w:asciiTheme="minorHAnsi" w:hAnsiTheme="minorHAnsi" w:cstheme="minorHAnsi"/>
                <w:i/>
                <w:iCs/>
                <w:highlight w:val="yellow"/>
              </w:rPr>
            </w:pPr>
            <w:r w:rsidRPr="00054CAB">
              <w:rPr>
                <w:rFonts w:asciiTheme="minorHAnsi" w:hAnsiTheme="minorHAnsi" w:cstheme="minorHAnsi"/>
                <w:b/>
                <w:bCs/>
                <w:i/>
                <w:iCs/>
                <w:highlight w:val="yellow"/>
                <w:u w:val="single"/>
              </w:rPr>
              <w:t>Core Element of Modification:</w:t>
            </w:r>
            <w:r w:rsidRPr="00054CAB">
              <w:rPr>
                <w:rFonts w:asciiTheme="minorHAnsi" w:hAnsiTheme="minorHAnsi" w:cstheme="minorHAnsi"/>
                <w:b/>
                <w:bCs/>
                <w:i/>
                <w:iCs/>
                <w:highlight w:val="yellow"/>
              </w:rPr>
              <w:t xml:space="preserve"> </w:t>
            </w:r>
            <w:r w:rsidR="00D86FB5" w:rsidRPr="00054CAB">
              <w:rPr>
                <w:rFonts w:asciiTheme="minorHAnsi" w:hAnsiTheme="minorHAnsi" w:cstheme="minorHAnsi"/>
                <w:b/>
                <w:bCs/>
                <w:i/>
                <w:iCs/>
                <w:highlight w:val="yellow"/>
              </w:rPr>
              <w:t xml:space="preserve"> By multiplying Exempt PQ Pairs by their duration in the calculation of Net Social Welfare, this will effectively give priority to contracts with a shorter duration over a contract with a longer duration.  </w:t>
            </w:r>
            <w:proofErr w:type="gramStart"/>
            <w:r w:rsidR="00D86FB5" w:rsidRPr="00054CAB">
              <w:rPr>
                <w:rFonts w:asciiTheme="minorHAnsi" w:hAnsiTheme="minorHAnsi" w:cstheme="minorHAnsi"/>
                <w:b/>
                <w:bCs/>
                <w:i/>
                <w:iCs/>
                <w:highlight w:val="yellow"/>
              </w:rPr>
              <w:t>The majority of</w:t>
            </w:r>
            <w:proofErr w:type="gramEnd"/>
            <w:r w:rsidR="00D86FB5" w:rsidRPr="00054CAB">
              <w:rPr>
                <w:rFonts w:asciiTheme="minorHAnsi" w:hAnsiTheme="minorHAnsi" w:cstheme="minorHAnsi"/>
                <w:b/>
                <w:bCs/>
                <w:i/>
                <w:iCs/>
                <w:highlight w:val="yellow"/>
              </w:rPr>
              <w:t xml:space="preserve"> the existing F.8.4.4(f) is removed as the TSOs have advised that this would be the simplest method of applying priority to shorter-duration contracts in the </w:t>
            </w:r>
            <w:r w:rsidR="00137776" w:rsidRPr="00054CAB">
              <w:rPr>
                <w:rFonts w:asciiTheme="minorHAnsi" w:hAnsiTheme="minorHAnsi" w:cstheme="minorHAnsi"/>
                <w:b/>
                <w:bCs/>
                <w:i/>
                <w:iCs/>
                <w:highlight w:val="yellow"/>
              </w:rPr>
              <w:t>algorithm</w:t>
            </w:r>
            <w:r w:rsidR="00D86FB5" w:rsidRPr="00054CAB">
              <w:rPr>
                <w:rFonts w:asciiTheme="minorHAnsi" w:hAnsiTheme="minorHAnsi" w:cstheme="minorHAnsi"/>
                <w:b/>
                <w:bCs/>
                <w:i/>
                <w:iCs/>
                <w:highlight w:val="yellow"/>
              </w:rPr>
              <w:t>.</w:t>
            </w:r>
          </w:p>
          <w:p w14:paraId="26E97107" w14:textId="77777777" w:rsidR="00755FFA" w:rsidRDefault="00755FFA" w:rsidP="00C56FEF">
            <w:pPr>
              <w:overflowPunct/>
              <w:autoSpaceDE/>
              <w:autoSpaceDN/>
              <w:adjustRightInd/>
              <w:spacing w:before="120" w:after="120"/>
              <w:jc w:val="both"/>
              <w:textAlignment w:val="auto"/>
              <w:rPr>
                <w:rFonts w:ascii="Calibri" w:hAnsi="Calibri" w:cs="Calibri"/>
                <w:sz w:val="22"/>
                <w:szCs w:val="22"/>
                <w:lang w:val="en-US" w:eastAsia="en-US"/>
              </w:rPr>
            </w:pPr>
          </w:p>
          <w:p w14:paraId="283EC240" w14:textId="0E669215" w:rsidR="00A36FFE" w:rsidRPr="00755FFA" w:rsidDel="00404964" w:rsidRDefault="00A36FFE" w:rsidP="00C56FEF">
            <w:pPr>
              <w:overflowPunct/>
              <w:autoSpaceDE/>
              <w:autoSpaceDN/>
              <w:adjustRightInd/>
              <w:spacing w:before="120" w:after="120"/>
              <w:jc w:val="both"/>
              <w:textAlignment w:val="auto"/>
              <w:rPr>
                <w:rFonts w:ascii="Calibri" w:hAnsi="Calibri" w:cs="Calibri"/>
                <w:sz w:val="22"/>
                <w:szCs w:val="22"/>
                <w:lang w:val="en-US" w:eastAsia="en-US"/>
              </w:rPr>
            </w:pPr>
          </w:p>
        </w:tc>
      </w:tr>
      <w:tr w:rsidR="00C22D11" w:rsidRPr="004C53E7" w14:paraId="1431BD52" w14:textId="77777777" w:rsidTr="28131BB4">
        <w:tc>
          <w:tcPr>
            <w:tcW w:w="9450" w:type="dxa"/>
            <w:gridSpan w:val="6"/>
            <w:shd w:val="clear" w:color="auto" w:fill="C6D9F1" w:themeFill="text2" w:themeFillTint="33"/>
            <w:vAlign w:val="center"/>
          </w:tcPr>
          <w:p w14:paraId="6E4ABEE7"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448A998E"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8EEC662" w14:textId="77777777" w:rsidTr="28131BB4">
        <w:tc>
          <w:tcPr>
            <w:tcW w:w="9450" w:type="dxa"/>
            <w:gridSpan w:val="6"/>
            <w:vAlign w:val="center"/>
          </w:tcPr>
          <w:p w14:paraId="7DCC90AE" w14:textId="77777777" w:rsidR="009465AE" w:rsidRDefault="009465AE" w:rsidP="00C255E4">
            <w:pPr>
              <w:pStyle w:val="Default"/>
              <w:rPr>
                <w:b/>
                <w:bCs/>
                <w:sz w:val="20"/>
                <w:szCs w:val="20"/>
              </w:rPr>
            </w:pPr>
          </w:p>
          <w:p w14:paraId="5F2CA720" w14:textId="1D70036B" w:rsidR="00C255E4" w:rsidRDefault="00C255E4" w:rsidP="00C255E4">
            <w:pPr>
              <w:pStyle w:val="Default"/>
              <w:rPr>
                <w:sz w:val="20"/>
                <w:szCs w:val="20"/>
              </w:rPr>
            </w:pPr>
            <w:r w:rsidRPr="00D33A16">
              <w:rPr>
                <w:b/>
                <w:bCs/>
                <w:sz w:val="20"/>
                <w:szCs w:val="20"/>
              </w:rPr>
              <w:t>Recent Developments:</w:t>
            </w:r>
            <w:r>
              <w:rPr>
                <w:sz w:val="20"/>
                <w:szCs w:val="20"/>
              </w:rPr>
              <w:t xml:space="preserve">  The SEM Committee has recently decided (</w:t>
            </w:r>
            <w:hyperlink r:id="rId13" w:history="1">
              <w:r w:rsidRPr="00BF666D">
                <w:rPr>
                  <w:rStyle w:val="Hyperlink"/>
                  <w:sz w:val="20"/>
                  <w:szCs w:val="20"/>
                </w:rPr>
                <w:t>SEM-24-035</w:t>
              </w:r>
            </w:hyperlink>
            <w:r>
              <w:rPr>
                <w:sz w:val="20"/>
                <w:szCs w:val="20"/>
              </w:rPr>
              <w:t>) to introduce intermediate length contracts (ILC) of up to five years for re</w:t>
            </w:r>
            <w:r w:rsidR="00254365">
              <w:rPr>
                <w:sz w:val="20"/>
                <w:szCs w:val="20"/>
              </w:rPr>
              <w:t xml:space="preserve">furbishing </w:t>
            </w:r>
            <w:r>
              <w:rPr>
                <w:sz w:val="20"/>
                <w:szCs w:val="20"/>
              </w:rPr>
              <w:t xml:space="preserve">capacity.  </w:t>
            </w:r>
            <w:proofErr w:type="spellStart"/>
            <w:r>
              <w:rPr>
                <w:sz w:val="20"/>
                <w:szCs w:val="20"/>
              </w:rPr>
              <w:t>Energia</w:t>
            </w:r>
            <w:proofErr w:type="spellEnd"/>
            <w:r>
              <w:rPr>
                <w:sz w:val="20"/>
                <w:szCs w:val="20"/>
              </w:rPr>
              <w:t xml:space="preserve">, in its </w:t>
            </w:r>
            <w:hyperlink r:id="rId14" w:history="1">
              <w:r w:rsidRPr="002C4D1D">
                <w:rPr>
                  <w:rStyle w:val="Hyperlink"/>
                  <w:sz w:val="20"/>
                  <w:szCs w:val="20"/>
                </w:rPr>
                <w:t>response</w:t>
              </w:r>
            </w:hyperlink>
            <w:r>
              <w:rPr>
                <w:sz w:val="20"/>
                <w:szCs w:val="20"/>
              </w:rPr>
              <w:t xml:space="preserve"> to the relevant consultation (</w:t>
            </w:r>
            <w:hyperlink r:id="rId15" w:history="1">
              <w:r w:rsidRPr="002C4D1D">
                <w:rPr>
                  <w:rStyle w:val="Hyperlink"/>
                  <w:sz w:val="20"/>
                  <w:szCs w:val="20"/>
                </w:rPr>
                <w:t>SEM-23-093</w:t>
              </w:r>
            </w:hyperlink>
            <w:r>
              <w:rPr>
                <w:sz w:val="20"/>
                <w:szCs w:val="20"/>
              </w:rPr>
              <w:t>) requested that all Exempt Price Quantity Pair ILC capacity offers should clear in advance of an Exempt Price Quantity Pair New capacity offer</w:t>
            </w:r>
            <w:r w:rsidR="007A375B">
              <w:rPr>
                <w:sz w:val="20"/>
                <w:szCs w:val="20"/>
              </w:rPr>
              <w:t>s</w:t>
            </w:r>
            <w:r>
              <w:rPr>
                <w:sz w:val="20"/>
                <w:szCs w:val="20"/>
              </w:rPr>
              <w:t xml:space="preserve">.  This request was stated in this manner given that all New Capacity to date has requested </w:t>
            </w:r>
            <w:r w:rsidR="007A375B">
              <w:rPr>
                <w:sz w:val="20"/>
                <w:szCs w:val="20"/>
              </w:rPr>
              <w:t xml:space="preserve">capacity durations of the full </w:t>
            </w:r>
            <w:r>
              <w:rPr>
                <w:sz w:val="20"/>
                <w:szCs w:val="20"/>
              </w:rPr>
              <w:t>ten-year</w:t>
            </w:r>
            <w:r w:rsidR="007A375B">
              <w:rPr>
                <w:sz w:val="20"/>
                <w:szCs w:val="20"/>
              </w:rPr>
              <w:t>s</w:t>
            </w:r>
            <w:r>
              <w:rPr>
                <w:sz w:val="20"/>
                <w:szCs w:val="20"/>
              </w:rPr>
              <w:t xml:space="preserve">.  </w:t>
            </w:r>
            <w:proofErr w:type="spellStart"/>
            <w:r>
              <w:rPr>
                <w:sz w:val="20"/>
                <w:szCs w:val="20"/>
              </w:rPr>
              <w:t>Energia</w:t>
            </w:r>
            <w:proofErr w:type="spellEnd"/>
            <w:r>
              <w:rPr>
                <w:sz w:val="20"/>
                <w:szCs w:val="20"/>
              </w:rPr>
              <w:t xml:space="preserve"> viewed this as being aligned with the principles of the State Aid decision</w:t>
            </w:r>
            <w:r w:rsidR="006350AC">
              <w:rPr>
                <w:sz w:val="20"/>
                <w:szCs w:val="20"/>
              </w:rPr>
              <w:t xml:space="preserve"> referenced above</w:t>
            </w:r>
            <w:r w:rsidR="009465AE">
              <w:rPr>
                <w:sz w:val="20"/>
                <w:szCs w:val="20"/>
              </w:rPr>
              <w:t xml:space="preserve"> and is also in keeping with the principles of the existing CMC which gives preference to shorter duration contracts for the resolution of constraints</w:t>
            </w:r>
            <w:r>
              <w:rPr>
                <w:sz w:val="20"/>
                <w:szCs w:val="20"/>
              </w:rPr>
              <w:t>.</w:t>
            </w:r>
          </w:p>
          <w:p w14:paraId="4F1453FC" w14:textId="77777777" w:rsidR="00C255E4" w:rsidRDefault="00C255E4" w:rsidP="00C255E4">
            <w:pPr>
              <w:pStyle w:val="Default"/>
              <w:rPr>
                <w:sz w:val="20"/>
                <w:szCs w:val="20"/>
              </w:rPr>
            </w:pPr>
          </w:p>
          <w:p w14:paraId="59E6D0D3" w14:textId="549EDB51" w:rsidR="00C255E4" w:rsidRDefault="00C255E4" w:rsidP="00C255E4">
            <w:pPr>
              <w:pStyle w:val="Default"/>
              <w:rPr>
                <w:sz w:val="20"/>
                <w:szCs w:val="20"/>
              </w:rPr>
            </w:pPr>
            <w:r>
              <w:rPr>
                <w:sz w:val="20"/>
                <w:szCs w:val="20"/>
              </w:rPr>
              <w:t xml:space="preserve">The SEM Committee, however, rejected this </w:t>
            </w:r>
            <w:r w:rsidR="006350AC">
              <w:rPr>
                <w:sz w:val="20"/>
                <w:szCs w:val="20"/>
              </w:rPr>
              <w:t>suggestion</w:t>
            </w:r>
            <w:r>
              <w:rPr>
                <w:sz w:val="20"/>
                <w:szCs w:val="20"/>
              </w:rPr>
              <w:t xml:space="preserve"> on the basis that:</w:t>
            </w:r>
          </w:p>
          <w:p w14:paraId="06E6062C" w14:textId="3F0F0B04" w:rsidR="00C255E4" w:rsidRDefault="00C255E4" w:rsidP="00B8232C">
            <w:pPr>
              <w:pStyle w:val="Default"/>
              <w:numPr>
                <w:ilvl w:val="0"/>
                <w:numId w:val="9"/>
              </w:numPr>
              <w:rPr>
                <w:sz w:val="20"/>
                <w:szCs w:val="20"/>
              </w:rPr>
            </w:pPr>
            <w:r>
              <w:rPr>
                <w:sz w:val="20"/>
                <w:szCs w:val="20"/>
              </w:rPr>
              <w:t xml:space="preserve">One year capacity should still have priority over Exempt Price Quantity Pairs.  </w:t>
            </w:r>
            <w:proofErr w:type="spellStart"/>
            <w:r>
              <w:rPr>
                <w:sz w:val="20"/>
                <w:szCs w:val="20"/>
              </w:rPr>
              <w:t>Energia</w:t>
            </w:r>
            <w:proofErr w:type="spellEnd"/>
            <w:r w:rsidR="006350AC">
              <w:rPr>
                <w:sz w:val="20"/>
                <w:szCs w:val="20"/>
              </w:rPr>
              <w:t>, however,</w:t>
            </w:r>
            <w:r>
              <w:rPr>
                <w:sz w:val="20"/>
                <w:szCs w:val="20"/>
              </w:rPr>
              <w:t xml:space="preserve"> agrees with this position and does not believe it was contrary to the intent of its consultation </w:t>
            </w:r>
            <w:proofErr w:type="gramStart"/>
            <w:r>
              <w:rPr>
                <w:sz w:val="20"/>
                <w:szCs w:val="20"/>
              </w:rPr>
              <w:t>response;</w:t>
            </w:r>
            <w:proofErr w:type="gramEnd"/>
          </w:p>
          <w:p w14:paraId="41877F74" w14:textId="709BC6DF" w:rsidR="00C255E4" w:rsidRDefault="00C255E4" w:rsidP="00B8232C">
            <w:pPr>
              <w:pStyle w:val="Default"/>
              <w:numPr>
                <w:ilvl w:val="0"/>
                <w:numId w:val="9"/>
              </w:numPr>
              <w:rPr>
                <w:sz w:val="20"/>
                <w:szCs w:val="20"/>
              </w:rPr>
            </w:pPr>
            <w:r>
              <w:rPr>
                <w:sz w:val="20"/>
                <w:szCs w:val="20"/>
              </w:rPr>
              <w:t xml:space="preserve">There should be no differentiation between a five-year New Capacity offer and a five-year ILC offer.  </w:t>
            </w:r>
            <w:proofErr w:type="spellStart"/>
            <w:r>
              <w:rPr>
                <w:sz w:val="20"/>
                <w:szCs w:val="20"/>
              </w:rPr>
              <w:t>Energia</w:t>
            </w:r>
            <w:proofErr w:type="spellEnd"/>
            <w:r>
              <w:rPr>
                <w:sz w:val="20"/>
                <w:szCs w:val="20"/>
              </w:rPr>
              <w:t xml:space="preserve"> also agrees with its position and accepts it could have been clearer with its ask in this </w:t>
            </w:r>
            <w:proofErr w:type="gramStart"/>
            <w:r>
              <w:rPr>
                <w:sz w:val="20"/>
                <w:szCs w:val="20"/>
              </w:rPr>
              <w:t>particular scenario</w:t>
            </w:r>
            <w:proofErr w:type="gramEnd"/>
            <w:r>
              <w:rPr>
                <w:sz w:val="20"/>
                <w:szCs w:val="20"/>
              </w:rPr>
              <w:t xml:space="preserve">.  The intent of the consultation response was not to prioritise ILC offers over New Capacity offers under </w:t>
            </w:r>
            <w:r w:rsidR="006350AC">
              <w:rPr>
                <w:sz w:val="20"/>
                <w:szCs w:val="20"/>
              </w:rPr>
              <w:t xml:space="preserve">the </w:t>
            </w:r>
            <w:r>
              <w:rPr>
                <w:sz w:val="20"/>
                <w:szCs w:val="20"/>
              </w:rPr>
              <w:t>circumstance</w:t>
            </w:r>
            <w:r w:rsidR="006350AC">
              <w:rPr>
                <w:sz w:val="20"/>
                <w:szCs w:val="20"/>
              </w:rPr>
              <w:t>s of equal offered capacity durations</w:t>
            </w:r>
            <w:r>
              <w:rPr>
                <w:sz w:val="20"/>
                <w:szCs w:val="20"/>
              </w:rPr>
              <w:t xml:space="preserve">, but when the New Capacity offers were longer in duration (which historically they </w:t>
            </w:r>
            <w:r w:rsidR="00BF1D13">
              <w:rPr>
                <w:sz w:val="20"/>
                <w:szCs w:val="20"/>
              </w:rPr>
              <w:t xml:space="preserve">would </w:t>
            </w:r>
            <w:r>
              <w:rPr>
                <w:sz w:val="20"/>
                <w:szCs w:val="20"/>
              </w:rPr>
              <w:t xml:space="preserve">have </w:t>
            </w:r>
            <w:r w:rsidR="00BF1D13">
              <w:rPr>
                <w:sz w:val="20"/>
                <w:szCs w:val="20"/>
              </w:rPr>
              <w:t xml:space="preserve">always </w:t>
            </w:r>
            <w:r>
              <w:rPr>
                <w:sz w:val="20"/>
                <w:szCs w:val="20"/>
              </w:rPr>
              <w:t>been</w:t>
            </w:r>
            <w:r w:rsidR="00BF1D13">
              <w:rPr>
                <w:sz w:val="20"/>
                <w:szCs w:val="20"/>
              </w:rPr>
              <w:t xml:space="preserve"> relative to the five-year ILC maximum duration</w:t>
            </w:r>
            <w:r>
              <w:rPr>
                <w:sz w:val="20"/>
                <w:szCs w:val="20"/>
              </w:rPr>
              <w:t>).</w:t>
            </w:r>
          </w:p>
          <w:p w14:paraId="06316B32" w14:textId="6337E02B" w:rsidR="00C255E4" w:rsidRDefault="00C255E4" w:rsidP="00B8232C">
            <w:pPr>
              <w:pStyle w:val="Default"/>
              <w:numPr>
                <w:ilvl w:val="0"/>
                <w:numId w:val="9"/>
              </w:numPr>
              <w:rPr>
                <w:sz w:val="20"/>
                <w:szCs w:val="20"/>
              </w:rPr>
            </w:pPr>
            <w:r>
              <w:rPr>
                <w:sz w:val="20"/>
                <w:szCs w:val="20"/>
              </w:rPr>
              <w:t xml:space="preserve">ILC contracts still lock in capacity for up to a 9-year window if clearing a T-4 auction, which is a timeframe under which relevant constraints </w:t>
            </w:r>
            <w:r w:rsidR="00254365">
              <w:rPr>
                <w:sz w:val="20"/>
                <w:szCs w:val="20"/>
              </w:rPr>
              <w:t xml:space="preserve">are intended to </w:t>
            </w:r>
            <w:r>
              <w:rPr>
                <w:sz w:val="20"/>
                <w:szCs w:val="20"/>
              </w:rPr>
              <w:t>be resolved by network build-out</w:t>
            </w:r>
            <w:r w:rsidR="00254365">
              <w:rPr>
                <w:sz w:val="20"/>
                <w:szCs w:val="20"/>
              </w:rPr>
              <w:t xml:space="preserve"> and </w:t>
            </w:r>
            <w:r>
              <w:rPr>
                <w:sz w:val="20"/>
                <w:szCs w:val="20"/>
              </w:rPr>
              <w:t>locking</w:t>
            </w:r>
            <w:r w:rsidR="00BF1D13">
              <w:rPr>
                <w:sz w:val="20"/>
                <w:szCs w:val="20"/>
              </w:rPr>
              <w:t>-</w:t>
            </w:r>
            <w:r>
              <w:rPr>
                <w:sz w:val="20"/>
                <w:szCs w:val="20"/>
              </w:rPr>
              <w:t>in a shorter out-of-merit contract is preferable to locking</w:t>
            </w:r>
            <w:r w:rsidR="00BF1D13">
              <w:rPr>
                <w:sz w:val="20"/>
                <w:szCs w:val="20"/>
              </w:rPr>
              <w:t>-</w:t>
            </w:r>
            <w:r>
              <w:rPr>
                <w:sz w:val="20"/>
                <w:szCs w:val="20"/>
              </w:rPr>
              <w:t>in a longer out-of-merit contract.</w:t>
            </w:r>
            <w:r w:rsidR="009465AE">
              <w:rPr>
                <w:sz w:val="20"/>
                <w:szCs w:val="20"/>
              </w:rPr>
              <w:t xml:space="preserve"> </w:t>
            </w:r>
            <w:proofErr w:type="spellStart"/>
            <w:r w:rsidR="009465AE">
              <w:rPr>
                <w:sz w:val="20"/>
                <w:szCs w:val="20"/>
              </w:rPr>
              <w:t>Energia</w:t>
            </w:r>
            <w:proofErr w:type="spellEnd"/>
            <w:r w:rsidR="009465AE">
              <w:rPr>
                <w:sz w:val="20"/>
                <w:szCs w:val="20"/>
              </w:rPr>
              <w:t xml:space="preserve"> also agrees with this view</w:t>
            </w:r>
            <w:r w:rsidR="00920CEA">
              <w:rPr>
                <w:sz w:val="20"/>
                <w:szCs w:val="20"/>
              </w:rPr>
              <w:t>. W</w:t>
            </w:r>
            <w:r w:rsidR="009465AE">
              <w:rPr>
                <w:sz w:val="20"/>
                <w:szCs w:val="20"/>
              </w:rPr>
              <w:t xml:space="preserve">hilst it can be challenging to resolve constraints through network build-out, it is still preferable to lock-in shorter out-of-merit </w:t>
            </w:r>
            <w:proofErr w:type="gramStart"/>
            <w:r w:rsidR="009465AE">
              <w:rPr>
                <w:sz w:val="20"/>
                <w:szCs w:val="20"/>
              </w:rPr>
              <w:t>contracts</w:t>
            </w:r>
            <w:proofErr w:type="gramEnd"/>
            <w:r w:rsidR="00920CEA">
              <w:rPr>
                <w:sz w:val="20"/>
                <w:szCs w:val="20"/>
              </w:rPr>
              <w:t xml:space="preserve"> and this is what </w:t>
            </w:r>
            <w:proofErr w:type="spellStart"/>
            <w:r w:rsidR="00920CEA">
              <w:rPr>
                <w:sz w:val="20"/>
                <w:szCs w:val="20"/>
              </w:rPr>
              <w:t>Energia</w:t>
            </w:r>
            <w:proofErr w:type="spellEnd"/>
            <w:r w:rsidR="00920CEA">
              <w:rPr>
                <w:sz w:val="20"/>
                <w:szCs w:val="20"/>
              </w:rPr>
              <w:t xml:space="preserve"> was advocating in its response to the consultation</w:t>
            </w:r>
            <w:r w:rsidR="009465AE">
              <w:rPr>
                <w:sz w:val="20"/>
                <w:szCs w:val="20"/>
              </w:rPr>
              <w:t xml:space="preserve">.       </w:t>
            </w:r>
          </w:p>
          <w:p w14:paraId="30EA1FC7" w14:textId="77777777" w:rsidR="00C255E4" w:rsidRDefault="00C255E4" w:rsidP="00C255E4">
            <w:pPr>
              <w:pStyle w:val="Default"/>
              <w:rPr>
                <w:sz w:val="20"/>
                <w:szCs w:val="20"/>
              </w:rPr>
            </w:pPr>
          </w:p>
          <w:p w14:paraId="20D1DB21" w14:textId="2C0793F6" w:rsidR="00C255E4" w:rsidRDefault="00920CEA" w:rsidP="00C255E4">
            <w:pPr>
              <w:pStyle w:val="Default"/>
              <w:rPr>
                <w:sz w:val="20"/>
                <w:szCs w:val="20"/>
              </w:rPr>
            </w:pPr>
            <w:r>
              <w:rPr>
                <w:sz w:val="20"/>
                <w:szCs w:val="20"/>
              </w:rPr>
              <w:t>Therefore, w</w:t>
            </w:r>
            <w:r w:rsidR="00254365">
              <w:rPr>
                <w:sz w:val="20"/>
                <w:szCs w:val="20"/>
              </w:rPr>
              <w:t xml:space="preserve">hilst there is </w:t>
            </w:r>
            <w:r w:rsidR="00C255E4">
              <w:rPr>
                <w:sz w:val="20"/>
                <w:szCs w:val="20"/>
              </w:rPr>
              <w:t xml:space="preserve">large degree of alignment on the principles between the SEMC and </w:t>
            </w:r>
            <w:proofErr w:type="spellStart"/>
            <w:r w:rsidR="00C255E4">
              <w:rPr>
                <w:sz w:val="20"/>
                <w:szCs w:val="20"/>
              </w:rPr>
              <w:t>Energia</w:t>
            </w:r>
            <w:proofErr w:type="spellEnd"/>
            <w:r w:rsidR="00C255E4">
              <w:rPr>
                <w:sz w:val="20"/>
                <w:szCs w:val="20"/>
              </w:rPr>
              <w:t xml:space="preserve">, </w:t>
            </w:r>
            <w:proofErr w:type="spellStart"/>
            <w:r w:rsidR="00C255E4">
              <w:rPr>
                <w:sz w:val="20"/>
                <w:szCs w:val="20"/>
              </w:rPr>
              <w:t>Energia</w:t>
            </w:r>
            <w:proofErr w:type="spellEnd"/>
            <w:r w:rsidR="00C255E4">
              <w:rPr>
                <w:sz w:val="20"/>
                <w:szCs w:val="20"/>
              </w:rPr>
              <w:t xml:space="preserve"> believes </w:t>
            </w:r>
            <w:r w:rsidR="00AC3C3F">
              <w:rPr>
                <w:sz w:val="20"/>
                <w:szCs w:val="20"/>
              </w:rPr>
              <w:t xml:space="preserve">that </w:t>
            </w:r>
            <w:r w:rsidR="00254365">
              <w:rPr>
                <w:sz w:val="20"/>
                <w:szCs w:val="20"/>
              </w:rPr>
              <w:t xml:space="preserve">a further modification to the </w:t>
            </w:r>
            <w:r w:rsidR="00C255E4">
              <w:rPr>
                <w:sz w:val="20"/>
                <w:szCs w:val="20"/>
              </w:rPr>
              <w:t xml:space="preserve">CMC </w:t>
            </w:r>
            <w:r w:rsidR="00AC3C3F">
              <w:rPr>
                <w:sz w:val="20"/>
                <w:szCs w:val="20"/>
              </w:rPr>
              <w:t xml:space="preserve">is needed that </w:t>
            </w:r>
            <w:r w:rsidR="00254365">
              <w:rPr>
                <w:sz w:val="20"/>
                <w:szCs w:val="20"/>
              </w:rPr>
              <w:t xml:space="preserve">should </w:t>
            </w:r>
            <w:r w:rsidR="00C255E4">
              <w:rPr>
                <w:sz w:val="20"/>
                <w:szCs w:val="20"/>
              </w:rPr>
              <w:t>receive SEMC support.</w:t>
            </w:r>
            <w:r w:rsidR="00090E16">
              <w:rPr>
                <w:sz w:val="20"/>
                <w:szCs w:val="20"/>
              </w:rPr>
              <w:t xml:space="preserve">  It is also </w:t>
            </w:r>
            <w:r w:rsidR="00AC3C3F">
              <w:rPr>
                <w:sz w:val="20"/>
                <w:szCs w:val="20"/>
              </w:rPr>
              <w:t xml:space="preserve">important </w:t>
            </w:r>
            <w:r w:rsidR="00090E16">
              <w:rPr>
                <w:sz w:val="20"/>
                <w:szCs w:val="20"/>
              </w:rPr>
              <w:t xml:space="preserve">to </w:t>
            </w:r>
            <w:r w:rsidR="00AC3C3F">
              <w:rPr>
                <w:sz w:val="20"/>
                <w:szCs w:val="20"/>
              </w:rPr>
              <w:t xml:space="preserve">treat </w:t>
            </w:r>
            <w:r w:rsidR="00090E16">
              <w:rPr>
                <w:sz w:val="20"/>
                <w:szCs w:val="20"/>
              </w:rPr>
              <w:t xml:space="preserve">this modification </w:t>
            </w:r>
            <w:r w:rsidR="00AC3C3F">
              <w:rPr>
                <w:sz w:val="20"/>
                <w:szCs w:val="20"/>
              </w:rPr>
              <w:t xml:space="preserve">as urgent </w:t>
            </w:r>
            <w:r w:rsidR="00090E16">
              <w:rPr>
                <w:sz w:val="20"/>
                <w:szCs w:val="20"/>
              </w:rPr>
              <w:t xml:space="preserve">so it can be in place for the upcoming T-4 28/29 auction and </w:t>
            </w:r>
            <w:r w:rsidR="00412386">
              <w:rPr>
                <w:sz w:val="20"/>
                <w:szCs w:val="20"/>
              </w:rPr>
              <w:t xml:space="preserve">its drafting can be considered in the round with the introduction of the ILC modification which </w:t>
            </w:r>
            <w:r w:rsidR="008639F1">
              <w:rPr>
                <w:sz w:val="20"/>
                <w:szCs w:val="20"/>
              </w:rPr>
              <w:t>was flagged in SEM-24-035</w:t>
            </w:r>
            <w:r w:rsidR="00412386">
              <w:rPr>
                <w:sz w:val="20"/>
                <w:szCs w:val="20"/>
              </w:rPr>
              <w:t>.</w:t>
            </w:r>
          </w:p>
          <w:p w14:paraId="2DD03F8E" w14:textId="77777777" w:rsidR="00C255E4" w:rsidRDefault="00C255E4" w:rsidP="00C255E4">
            <w:pPr>
              <w:pStyle w:val="Default"/>
              <w:rPr>
                <w:sz w:val="20"/>
                <w:szCs w:val="20"/>
              </w:rPr>
            </w:pPr>
          </w:p>
          <w:p w14:paraId="2922F7C4" w14:textId="77777777" w:rsidR="00C255E4" w:rsidRDefault="00C255E4" w:rsidP="00C255E4">
            <w:pPr>
              <w:pStyle w:val="Default"/>
              <w:rPr>
                <w:sz w:val="20"/>
                <w:szCs w:val="20"/>
              </w:rPr>
            </w:pPr>
          </w:p>
          <w:p w14:paraId="3D87D120" w14:textId="7F2EFDAA" w:rsidR="00C255E4" w:rsidRDefault="00C255E4" w:rsidP="00C255E4">
            <w:pPr>
              <w:pStyle w:val="Default"/>
              <w:rPr>
                <w:sz w:val="20"/>
                <w:szCs w:val="20"/>
              </w:rPr>
            </w:pPr>
            <w:r>
              <w:rPr>
                <w:b/>
                <w:bCs/>
                <w:sz w:val="20"/>
                <w:szCs w:val="20"/>
              </w:rPr>
              <w:t>Modification</w:t>
            </w:r>
            <w:r w:rsidRPr="00D33A16">
              <w:rPr>
                <w:b/>
                <w:bCs/>
                <w:sz w:val="20"/>
                <w:szCs w:val="20"/>
              </w:rPr>
              <w:t xml:space="preserve"> Development:</w:t>
            </w:r>
            <w:r>
              <w:rPr>
                <w:sz w:val="20"/>
                <w:szCs w:val="20"/>
              </w:rPr>
              <w:t xml:space="preserve">  Two options were considered for the modification</w:t>
            </w:r>
            <w:r w:rsidR="00DA7DEF">
              <w:rPr>
                <w:sz w:val="20"/>
                <w:szCs w:val="20"/>
              </w:rPr>
              <w:t>:</w:t>
            </w:r>
          </w:p>
          <w:p w14:paraId="7B9EC241" w14:textId="77777777" w:rsidR="00DA7DEF" w:rsidRDefault="00DA7DEF" w:rsidP="00C255E4">
            <w:pPr>
              <w:pStyle w:val="Default"/>
              <w:rPr>
                <w:sz w:val="20"/>
                <w:szCs w:val="20"/>
              </w:rPr>
            </w:pPr>
          </w:p>
          <w:p w14:paraId="1E6E97F0" w14:textId="3CF4D29A" w:rsidR="00C255E4" w:rsidRDefault="00C255E4" w:rsidP="00B8232C">
            <w:pPr>
              <w:pStyle w:val="Default"/>
              <w:numPr>
                <w:ilvl w:val="0"/>
                <w:numId w:val="10"/>
              </w:numPr>
              <w:rPr>
                <w:sz w:val="20"/>
                <w:szCs w:val="20"/>
              </w:rPr>
            </w:pPr>
            <w:r>
              <w:rPr>
                <w:sz w:val="20"/>
                <w:szCs w:val="20"/>
              </w:rPr>
              <w:t>Option</w:t>
            </w:r>
            <w:r w:rsidR="00920CEA">
              <w:rPr>
                <w:sz w:val="20"/>
                <w:szCs w:val="20"/>
              </w:rPr>
              <w:t xml:space="preserve"> 1</w:t>
            </w:r>
            <w:r>
              <w:rPr>
                <w:sz w:val="20"/>
                <w:szCs w:val="20"/>
              </w:rPr>
              <w:t xml:space="preserve">:  For Exempt Price Quantity Pairs, a total </w:t>
            </w:r>
            <w:r w:rsidR="00D86FB5">
              <w:rPr>
                <w:sz w:val="20"/>
                <w:szCs w:val="20"/>
              </w:rPr>
              <w:t>NSW calculation</w:t>
            </w:r>
            <w:r>
              <w:rPr>
                <w:sz w:val="20"/>
                <w:szCs w:val="20"/>
              </w:rPr>
              <w:t xml:space="preserve"> would be assigned to each offer being the product of the requested price</w:t>
            </w:r>
            <w:r w:rsidR="00D86FB5">
              <w:rPr>
                <w:sz w:val="20"/>
                <w:szCs w:val="20"/>
              </w:rPr>
              <w:t>, quantity,</w:t>
            </w:r>
            <w:r>
              <w:rPr>
                <w:sz w:val="20"/>
                <w:szCs w:val="20"/>
              </w:rPr>
              <w:t xml:space="preserve"> and contract duration (with one-year contracts being treated equivalently as today); or</w:t>
            </w:r>
          </w:p>
          <w:p w14:paraId="54FE4304" w14:textId="77777777" w:rsidR="00DA7DEF" w:rsidRDefault="00DA7DEF" w:rsidP="00DA7DEF">
            <w:pPr>
              <w:pStyle w:val="Default"/>
              <w:ind w:left="720"/>
              <w:rPr>
                <w:sz w:val="20"/>
                <w:szCs w:val="20"/>
              </w:rPr>
            </w:pPr>
          </w:p>
          <w:p w14:paraId="13C78777" w14:textId="0F4DB300" w:rsidR="00C255E4" w:rsidRDefault="00920CEA" w:rsidP="00B8232C">
            <w:pPr>
              <w:pStyle w:val="Default"/>
              <w:numPr>
                <w:ilvl w:val="0"/>
                <w:numId w:val="10"/>
              </w:numPr>
              <w:rPr>
                <w:sz w:val="20"/>
                <w:szCs w:val="20"/>
              </w:rPr>
            </w:pPr>
            <w:r>
              <w:rPr>
                <w:sz w:val="20"/>
                <w:szCs w:val="20"/>
              </w:rPr>
              <w:t>Option 2</w:t>
            </w:r>
            <w:r w:rsidR="00C255E4">
              <w:rPr>
                <w:sz w:val="20"/>
                <w:szCs w:val="20"/>
              </w:rPr>
              <w:t>:  A second prioritisation category would be introduced in F.8.4.4 (f) changing the current situation of:</w:t>
            </w:r>
          </w:p>
          <w:p w14:paraId="68A49953" w14:textId="77777777" w:rsidR="00C255E4" w:rsidRDefault="00C255E4" w:rsidP="00B8232C">
            <w:pPr>
              <w:pStyle w:val="ListParagraph"/>
              <w:numPr>
                <w:ilvl w:val="1"/>
                <w:numId w:val="10"/>
              </w:numPr>
              <w:rPr>
                <w:rFonts w:ascii="Arial" w:eastAsiaTheme="minorHAnsi" w:hAnsi="Arial" w:cs="Arial"/>
                <w:color w:val="000000"/>
                <w:lang w:val="en-GB" w:eastAsia="en-US"/>
              </w:rPr>
            </w:pPr>
            <w:r>
              <w:rPr>
                <w:rFonts w:ascii="Arial" w:eastAsiaTheme="minorHAnsi" w:hAnsi="Arial" w:cs="Arial"/>
                <w:color w:val="000000"/>
                <w:lang w:val="en-GB" w:eastAsia="en-US"/>
              </w:rPr>
              <w:t>O</w:t>
            </w:r>
            <w:r w:rsidRPr="0046759E">
              <w:rPr>
                <w:rFonts w:ascii="Arial" w:eastAsiaTheme="minorHAnsi" w:hAnsi="Arial" w:cs="Arial"/>
                <w:color w:val="000000"/>
                <w:lang w:val="en-GB" w:eastAsia="en-US"/>
              </w:rPr>
              <w:t>ne</w:t>
            </w:r>
            <w:r>
              <w:rPr>
                <w:rFonts w:ascii="Arial" w:eastAsiaTheme="minorHAnsi" w:hAnsi="Arial" w:cs="Arial"/>
                <w:color w:val="000000"/>
                <w:lang w:val="en-GB" w:eastAsia="en-US"/>
              </w:rPr>
              <w:t>-</w:t>
            </w:r>
            <w:r w:rsidRPr="0046759E">
              <w:rPr>
                <w:rFonts w:ascii="Arial" w:eastAsiaTheme="minorHAnsi" w:hAnsi="Arial" w:cs="Arial"/>
                <w:color w:val="000000"/>
                <w:lang w:val="en-GB" w:eastAsia="en-US"/>
              </w:rPr>
              <w:t>year contract</w:t>
            </w:r>
            <w:r>
              <w:rPr>
                <w:rFonts w:ascii="Arial" w:eastAsiaTheme="minorHAnsi" w:hAnsi="Arial" w:cs="Arial"/>
                <w:color w:val="000000"/>
                <w:lang w:val="en-GB" w:eastAsia="en-US"/>
              </w:rPr>
              <w:t>s</w:t>
            </w:r>
            <w:r w:rsidRPr="0046759E">
              <w:rPr>
                <w:rFonts w:ascii="Arial" w:eastAsiaTheme="minorHAnsi" w:hAnsi="Arial" w:cs="Arial"/>
                <w:color w:val="000000"/>
                <w:lang w:val="en-GB" w:eastAsia="en-US"/>
              </w:rPr>
              <w:t xml:space="preserve"> </w:t>
            </w:r>
            <w:r>
              <w:rPr>
                <w:rFonts w:ascii="Arial" w:eastAsiaTheme="minorHAnsi" w:hAnsi="Arial" w:cs="Arial"/>
                <w:color w:val="000000"/>
                <w:lang w:val="en-GB" w:eastAsia="en-US"/>
              </w:rPr>
              <w:t xml:space="preserve">are prioritised </w:t>
            </w:r>
            <w:proofErr w:type="gramStart"/>
            <w:r>
              <w:rPr>
                <w:rFonts w:ascii="Arial" w:eastAsiaTheme="minorHAnsi" w:hAnsi="Arial" w:cs="Arial"/>
                <w:color w:val="000000"/>
                <w:lang w:val="en-GB" w:eastAsia="en-US"/>
              </w:rPr>
              <w:t>over</w:t>
            </w:r>
            <w:proofErr w:type="gramEnd"/>
            <w:r>
              <w:rPr>
                <w:rFonts w:ascii="Arial" w:eastAsiaTheme="minorHAnsi" w:hAnsi="Arial" w:cs="Arial"/>
                <w:color w:val="000000"/>
                <w:lang w:val="en-GB" w:eastAsia="en-US"/>
              </w:rPr>
              <w:t xml:space="preserve"> </w:t>
            </w:r>
          </w:p>
          <w:p w14:paraId="0D9AEEBB" w14:textId="77777777" w:rsidR="00C255E4" w:rsidRDefault="00C255E4" w:rsidP="00B8232C">
            <w:pPr>
              <w:pStyle w:val="ListParagraph"/>
              <w:numPr>
                <w:ilvl w:val="1"/>
                <w:numId w:val="10"/>
              </w:numPr>
              <w:rPr>
                <w:rFonts w:ascii="Arial" w:eastAsiaTheme="minorHAnsi" w:hAnsi="Arial" w:cs="Arial"/>
                <w:color w:val="000000"/>
                <w:lang w:val="en-GB" w:eastAsia="en-US"/>
              </w:rPr>
            </w:pPr>
            <w:r>
              <w:rPr>
                <w:rFonts w:ascii="Arial" w:eastAsiaTheme="minorHAnsi" w:hAnsi="Arial" w:cs="Arial"/>
                <w:color w:val="000000"/>
                <w:lang w:val="en-GB" w:eastAsia="en-US"/>
              </w:rPr>
              <w:t xml:space="preserve">multi-year duration </w:t>
            </w:r>
            <w:r w:rsidRPr="0046759E">
              <w:rPr>
                <w:rFonts w:ascii="Arial" w:eastAsiaTheme="minorHAnsi" w:hAnsi="Arial" w:cs="Arial"/>
                <w:color w:val="000000"/>
                <w:lang w:val="en-GB" w:eastAsia="en-US"/>
              </w:rPr>
              <w:t>contracts</w:t>
            </w:r>
          </w:p>
          <w:p w14:paraId="0BC52CCA" w14:textId="77777777" w:rsidR="00C255E4" w:rsidRPr="009D3930" w:rsidRDefault="00C255E4" w:rsidP="00C255E4">
            <w:pPr>
              <w:ind w:left="720"/>
              <w:rPr>
                <w:rFonts w:ascii="Arial" w:eastAsiaTheme="minorHAnsi" w:hAnsi="Arial" w:cs="Arial"/>
                <w:color w:val="000000"/>
                <w:lang w:val="en-GB" w:eastAsia="en-US"/>
              </w:rPr>
            </w:pPr>
            <w:r>
              <w:rPr>
                <w:rFonts w:ascii="Arial" w:eastAsiaTheme="minorHAnsi" w:hAnsi="Arial" w:cs="Arial"/>
                <w:color w:val="000000"/>
                <w:lang w:val="en-GB" w:eastAsia="en-US"/>
              </w:rPr>
              <w:t>to:</w:t>
            </w:r>
          </w:p>
          <w:p w14:paraId="26540558" w14:textId="77777777" w:rsidR="00C255E4" w:rsidRDefault="00C255E4" w:rsidP="00B8232C">
            <w:pPr>
              <w:pStyle w:val="Default"/>
              <w:numPr>
                <w:ilvl w:val="1"/>
                <w:numId w:val="10"/>
              </w:numPr>
              <w:rPr>
                <w:sz w:val="20"/>
                <w:szCs w:val="20"/>
              </w:rPr>
            </w:pPr>
            <w:r w:rsidRPr="009D3930">
              <w:rPr>
                <w:sz w:val="20"/>
                <w:szCs w:val="20"/>
              </w:rPr>
              <w:t>One</w:t>
            </w:r>
            <w:r>
              <w:rPr>
                <w:sz w:val="20"/>
                <w:szCs w:val="20"/>
              </w:rPr>
              <w:t>-</w:t>
            </w:r>
            <w:r w:rsidRPr="009D3930">
              <w:rPr>
                <w:sz w:val="20"/>
                <w:szCs w:val="20"/>
              </w:rPr>
              <w:t xml:space="preserve">year contracts are prioritised </w:t>
            </w:r>
            <w:proofErr w:type="gramStart"/>
            <w:r w:rsidRPr="009D3930">
              <w:rPr>
                <w:sz w:val="20"/>
                <w:szCs w:val="20"/>
              </w:rPr>
              <w:t>over</w:t>
            </w:r>
            <w:proofErr w:type="gramEnd"/>
            <w:r w:rsidRPr="009D3930">
              <w:rPr>
                <w:sz w:val="20"/>
                <w:szCs w:val="20"/>
              </w:rPr>
              <w:t xml:space="preserve"> </w:t>
            </w:r>
          </w:p>
          <w:p w14:paraId="005DD125" w14:textId="77777777" w:rsidR="00C255E4" w:rsidRDefault="00C255E4" w:rsidP="00B8232C">
            <w:pPr>
              <w:pStyle w:val="Default"/>
              <w:numPr>
                <w:ilvl w:val="1"/>
                <w:numId w:val="10"/>
              </w:numPr>
              <w:rPr>
                <w:sz w:val="20"/>
                <w:szCs w:val="20"/>
              </w:rPr>
            </w:pPr>
            <w:r w:rsidRPr="009D3930">
              <w:rPr>
                <w:sz w:val="20"/>
                <w:szCs w:val="20"/>
              </w:rPr>
              <w:t>multi-year duration contracts</w:t>
            </w:r>
            <w:r>
              <w:rPr>
                <w:sz w:val="20"/>
                <w:szCs w:val="20"/>
              </w:rPr>
              <w:t xml:space="preserve"> up or equal to five years, which in turn are prioritised </w:t>
            </w:r>
            <w:proofErr w:type="gramStart"/>
            <w:r>
              <w:rPr>
                <w:sz w:val="20"/>
                <w:szCs w:val="20"/>
              </w:rPr>
              <w:t>over</w:t>
            </w:r>
            <w:proofErr w:type="gramEnd"/>
          </w:p>
          <w:p w14:paraId="2A2D398E" w14:textId="77777777" w:rsidR="00C255E4" w:rsidRDefault="00C255E4" w:rsidP="00B8232C">
            <w:pPr>
              <w:pStyle w:val="Default"/>
              <w:numPr>
                <w:ilvl w:val="1"/>
                <w:numId w:val="10"/>
              </w:numPr>
              <w:rPr>
                <w:sz w:val="20"/>
                <w:szCs w:val="20"/>
              </w:rPr>
            </w:pPr>
            <w:r>
              <w:rPr>
                <w:sz w:val="20"/>
                <w:szCs w:val="20"/>
              </w:rPr>
              <w:t>multi-year duration contracts greater than give years up or equal to ten years.</w:t>
            </w:r>
          </w:p>
          <w:p w14:paraId="2405D082" w14:textId="77777777" w:rsidR="00C255E4" w:rsidRDefault="00C255E4" w:rsidP="00C255E4">
            <w:pPr>
              <w:pStyle w:val="Default"/>
              <w:rPr>
                <w:sz w:val="20"/>
                <w:szCs w:val="20"/>
              </w:rPr>
            </w:pPr>
          </w:p>
          <w:p w14:paraId="6AF3D532" w14:textId="4F1D606D" w:rsidR="00DA7DEF" w:rsidRDefault="00DA7DEF" w:rsidP="00C255E4">
            <w:pPr>
              <w:pStyle w:val="Default"/>
              <w:rPr>
                <w:sz w:val="20"/>
                <w:szCs w:val="20"/>
              </w:rPr>
            </w:pPr>
            <w:r>
              <w:rPr>
                <w:sz w:val="20"/>
                <w:szCs w:val="20"/>
              </w:rPr>
              <w:t xml:space="preserve">Two further options were </w:t>
            </w:r>
            <w:r w:rsidR="00A72170">
              <w:rPr>
                <w:sz w:val="20"/>
                <w:szCs w:val="20"/>
              </w:rPr>
              <w:t>considered but rejected</w:t>
            </w:r>
            <w:r>
              <w:rPr>
                <w:sz w:val="20"/>
                <w:szCs w:val="20"/>
              </w:rPr>
              <w:t>:</w:t>
            </w:r>
          </w:p>
          <w:p w14:paraId="0E1CDDE0" w14:textId="2105A723" w:rsidR="00C255E4" w:rsidRDefault="00DA7DEF" w:rsidP="00B8232C">
            <w:pPr>
              <w:pStyle w:val="Default"/>
              <w:numPr>
                <w:ilvl w:val="0"/>
                <w:numId w:val="14"/>
              </w:numPr>
              <w:rPr>
                <w:sz w:val="20"/>
                <w:szCs w:val="20"/>
              </w:rPr>
            </w:pPr>
            <w:r>
              <w:rPr>
                <w:sz w:val="20"/>
                <w:szCs w:val="20"/>
              </w:rPr>
              <w:t>A</w:t>
            </w:r>
            <w:r w:rsidR="00C255E4">
              <w:rPr>
                <w:sz w:val="20"/>
                <w:szCs w:val="20"/>
              </w:rPr>
              <w:t xml:space="preserve">dding a penalty cost based on the length of contract only </w:t>
            </w:r>
            <w:proofErr w:type="gramStart"/>
            <w:r w:rsidR="00C255E4">
              <w:rPr>
                <w:sz w:val="20"/>
                <w:szCs w:val="20"/>
              </w:rPr>
              <w:t>in order to</w:t>
            </w:r>
            <w:proofErr w:type="gramEnd"/>
            <w:r w:rsidR="00C255E4">
              <w:rPr>
                <w:sz w:val="20"/>
                <w:szCs w:val="20"/>
              </w:rPr>
              <w:t xml:space="preserve"> select lower duration contracts was rejected on the basis that it would select a nine-year contract at €130k/MW/annum over a 10-year contract at €90k/MW/annum</w:t>
            </w:r>
            <w:r w:rsidR="00FA215D">
              <w:rPr>
                <w:sz w:val="20"/>
                <w:szCs w:val="20"/>
              </w:rPr>
              <w:t xml:space="preserve"> which is an inefficient outcome.</w:t>
            </w:r>
          </w:p>
          <w:p w14:paraId="3873E3EB" w14:textId="73FEC2AA" w:rsidR="00A72170" w:rsidRDefault="00A72170" w:rsidP="00B8232C">
            <w:pPr>
              <w:pStyle w:val="Default"/>
              <w:numPr>
                <w:ilvl w:val="0"/>
                <w:numId w:val="14"/>
              </w:numPr>
              <w:rPr>
                <w:sz w:val="20"/>
                <w:szCs w:val="20"/>
              </w:rPr>
            </w:pPr>
            <w:r>
              <w:rPr>
                <w:sz w:val="20"/>
                <w:szCs w:val="20"/>
              </w:rPr>
              <w:t xml:space="preserve">A simple prioritisation of Exempt Price Quantity Pairs from ILC offers over Exempt Price Quantity Pairs from New Capacity offers was rejected given the SEMC’s concern noted above when both </w:t>
            </w:r>
            <w:r w:rsidR="006969E8">
              <w:rPr>
                <w:sz w:val="20"/>
                <w:szCs w:val="20"/>
              </w:rPr>
              <w:t xml:space="preserve">offers </w:t>
            </w:r>
            <w:r>
              <w:rPr>
                <w:sz w:val="20"/>
                <w:szCs w:val="20"/>
              </w:rPr>
              <w:t xml:space="preserve">are of the same contract </w:t>
            </w:r>
            <w:r w:rsidR="006969E8">
              <w:rPr>
                <w:sz w:val="20"/>
                <w:szCs w:val="20"/>
              </w:rPr>
              <w:t>duration.</w:t>
            </w:r>
          </w:p>
          <w:p w14:paraId="04789B44" w14:textId="77777777" w:rsidR="00C255E4" w:rsidRDefault="00C255E4" w:rsidP="00C255E4">
            <w:pPr>
              <w:pStyle w:val="Default"/>
              <w:rPr>
                <w:sz w:val="20"/>
                <w:szCs w:val="20"/>
              </w:rPr>
            </w:pPr>
          </w:p>
          <w:p w14:paraId="0C646528" w14:textId="6B61452D" w:rsidR="00C255E4" w:rsidRPr="00054CAB" w:rsidRDefault="00D86FB5" w:rsidP="00D86FB5">
            <w:pPr>
              <w:pStyle w:val="Default"/>
              <w:rPr>
                <w:sz w:val="20"/>
                <w:szCs w:val="20"/>
                <w:highlight w:val="yellow"/>
              </w:rPr>
            </w:pPr>
            <w:r w:rsidRPr="28131BB4">
              <w:rPr>
                <w:sz w:val="20"/>
                <w:szCs w:val="20"/>
                <w:highlight w:val="yellow"/>
              </w:rPr>
              <w:t xml:space="preserve">Based on feedback received at CMC Workshop 37, Option 1 has been identified as the most feasible option to implement in the CRM prior to the </w:t>
            </w:r>
            <w:r w:rsidR="00054CAB" w:rsidRPr="28131BB4">
              <w:rPr>
                <w:sz w:val="20"/>
                <w:szCs w:val="20"/>
                <w:highlight w:val="yellow"/>
              </w:rPr>
              <w:t>commencement</w:t>
            </w:r>
            <w:r w:rsidRPr="28131BB4">
              <w:rPr>
                <w:sz w:val="20"/>
                <w:szCs w:val="20"/>
                <w:highlight w:val="yellow"/>
              </w:rPr>
              <w:t xml:space="preserve"> of the T-4 28/29 </w:t>
            </w:r>
            <w:r w:rsidR="00137776" w:rsidRPr="28131BB4">
              <w:rPr>
                <w:sz w:val="20"/>
                <w:szCs w:val="20"/>
                <w:highlight w:val="yellow"/>
              </w:rPr>
              <w:t>auction and</w:t>
            </w:r>
            <w:r w:rsidRPr="28131BB4">
              <w:rPr>
                <w:sz w:val="20"/>
                <w:szCs w:val="20"/>
                <w:highlight w:val="yellow"/>
              </w:rPr>
              <w:t xml:space="preserve"> has therefore been </w:t>
            </w:r>
            <w:r w:rsidR="2BF2AE77" w:rsidRPr="28131BB4">
              <w:rPr>
                <w:sz w:val="20"/>
                <w:szCs w:val="20"/>
                <w:highlight w:val="yellow"/>
              </w:rPr>
              <w:t>proposed</w:t>
            </w:r>
            <w:r w:rsidRPr="28131BB4">
              <w:rPr>
                <w:sz w:val="20"/>
                <w:szCs w:val="20"/>
                <w:highlight w:val="yellow"/>
              </w:rPr>
              <w:t xml:space="preserve"> as the preferred option.  Option 1 has the advantage that </w:t>
            </w:r>
            <w:r w:rsidR="00137776" w:rsidRPr="28131BB4">
              <w:rPr>
                <w:sz w:val="20"/>
                <w:szCs w:val="20"/>
                <w:highlight w:val="yellow"/>
              </w:rPr>
              <w:t>bids would be prioritised based on their offered contract duration rather than their maximum contract duration, and therefore there would be scope to differentiate with more granularity beyond bids of up to 5 and up to 10 years.</w:t>
            </w:r>
          </w:p>
          <w:p w14:paraId="65F94E92" w14:textId="77777777" w:rsidR="00137776" w:rsidRPr="00054CAB" w:rsidRDefault="00137776" w:rsidP="00D86FB5">
            <w:pPr>
              <w:pStyle w:val="Default"/>
              <w:rPr>
                <w:i/>
                <w:iCs/>
                <w:sz w:val="20"/>
                <w:szCs w:val="20"/>
                <w:highlight w:val="yellow"/>
              </w:rPr>
            </w:pPr>
          </w:p>
          <w:p w14:paraId="71012ACB" w14:textId="4FE2F8BC" w:rsidR="00137776" w:rsidRPr="00054CAB" w:rsidRDefault="00137776" w:rsidP="00D86FB5">
            <w:pPr>
              <w:pStyle w:val="Default"/>
              <w:rPr>
                <w:sz w:val="20"/>
                <w:szCs w:val="20"/>
                <w:highlight w:val="yellow"/>
              </w:rPr>
            </w:pPr>
            <w:proofErr w:type="spellStart"/>
            <w:r w:rsidRPr="00054CAB">
              <w:rPr>
                <w:sz w:val="20"/>
                <w:szCs w:val="20"/>
                <w:highlight w:val="yellow"/>
              </w:rPr>
              <w:t>Energia</w:t>
            </w:r>
            <w:proofErr w:type="spellEnd"/>
            <w:r w:rsidRPr="00054CAB">
              <w:rPr>
                <w:sz w:val="20"/>
                <w:szCs w:val="20"/>
                <w:highlight w:val="yellow"/>
              </w:rPr>
              <w:t xml:space="preserve"> was advised that adding in multiplication of Exempt PQ pairs by contract length in addition to keeping the auction condition that single-year bids always clear first, as would have been </w:t>
            </w:r>
            <w:proofErr w:type="spellStart"/>
            <w:r w:rsidRPr="00054CAB">
              <w:rPr>
                <w:sz w:val="20"/>
                <w:szCs w:val="20"/>
                <w:highlight w:val="yellow"/>
              </w:rPr>
              <w:t>Energia’s</w:t>
            </w:r>
            <w:proofErr w:type="spellEnd"/>
            <w:r w:rsidRPr="00054CAB">
              <w:rPr>
                <w:sz w:val="20"/>
                <w:szCs w:val="20"/>
                <w:highlight w:val="yellow"/>
              </w:rPr>
              <w:t xml:space="preserve"> preference, would be too complicated to introduce into the auction algorithm.  Therefore, it would theoretically be possible for a multi-year contract to clear above the clearing price ahead of a single year contract (for example, </w:t>
            </w:r>
            <w:proofErr w:type="gramStart"/>
            <w:r w:rsidRPr="00054CAB">
              <w:rPr>
                <w:sz w:val="20"/>
                <w:szCs w:val="20"/>
                <w:highlight w:val="yellow"/>
              </w:rPr>
              <w:t>in the event that</w:t>
            </w:r>
            <w:proofErr w:type="gramEnd"/>
            <w:r w:rsidRPr="00054CAB">
              <w:rPr>
                <w:sz w:val="20"/>
                <w:szCs w:val="20"/>
                <w:highlight w:val="yellow"/>
              </w:rPr>
              <w:t xml:space="preserve"> a </w:t>
            </w:r>
            <w:r w:rsidR="00215889" w:rsidRPr="00054CAB">
              <w:rPr>
                <w:sz w:val="20"/>
                <w:szCs w:val="20"/>
                <w:highlight w:val="yellow"/>
              </w:rPr>
              <w:t>2-year</w:t>
            </w:r>
            <w:r w:rsidRPr="00054CAB">
              <w:rPr>
                <w:sz w:val="20"/>
                <w:szCs w:val="20"/>
                <w:highlight w:val="yellow"/>
              </w:rPr>
              <w:t xml:space="preserve"> contract was bidding in above the clearing price but at less than half the price of a competing single-year contract).  However, the conditions for this to occur seem highly improbable.</w:t>
            </w:r>
          </w:p>
          <w:p w14:paraId="02896ABB" w14:textId="77777777" w:rsidR="00C255E4" w:rsidRPr="00054CAB" w:rsidRDefault="00C255E4" w:rsidP="00C255E4">
            <w:pPr>
              <w:pStyle w:val="Default"/>
              <w:rPr>
                <w:sz w:val="20"/>
                <w:szCs w:val="20"/>
                <w:highlight w:val="yellow"/>
              </w:rPr>
            </w:pPr>
          </w:p>
          <w:p w14:paraId="422C4F66" w14:textId="516D35BD" w:rsidR="00692E32" w:rsidRPr="00692E32" w:rsidRDefault="00C255E4" w:rsidP="00692E32">
            <w:pPr>
              <w:pStyle w:val="Default"/>
              <w:rPr>
                <w:sz w:val="20"/>
                <w:szCs w:val="20"/>
              </w:rPr>
            </w:pPr>
            <w:r w:rsidRPr="00054CAB">
              <w:rPr>
                <w:sz w:val="20"/>
                <w:szCs w:val="20"/>
                <w:highlight w:val="yellow"/>
              </w:rPr>
              <w:t xml:space="preserve">This modification is therefore drafted </w:t>
            </w:r>
            <w:proofErr w:type="gramStart"/>
            <w:r w:rsidRPr="00054CAB">
              <w:rPr>
                <w:sz w:val="20"/>
                <w:szCs w:val="20"/>
                <w:highlight w:val="yellow"/>
              </w:rPr>
              <w:t>on the basis of</w:t>
            </w:r>
            <w:proofErr w:type="gramEnd"/>
            <w:r w:rsidRPr="00054CAB">
              <w:rPr>
                <w:sz w:val="20"/>
                <w:szCs w:val="20"/>
                <w:highlight w:val="yellow"/>
              </w:rPr>
              <w:t xml:space="preserve"> the second considered option</w:t>
            </w:r>
            <w:r w:rsidR="00920CEA" w:rsidRPr="00054CAB">
              <w:rPr>
                <w:sz w:val="20"/>
                <w:szCs w:val="20"/>
                <w:highlight w:val="yellow"/>
              </w:rPr>
              <w:t xml:space="preserve"> (Option </w:t>
            </w:r>
            <w:r w:rsidR="00D86FB5" w:rsidRPr="00054CAB">
              <w:rPr>
                <w:sz w:val="20"/>
                <w:szCs w:val="20"/>
                <w:highlight w:val="yellow"/>
              </w:rPr>
              <w:t>1</w:t>
            </w:r>
            <w:r w:rsidR="00920CEA" w:rsidRPr="00054CAB">
              <w:rPr>
                <w:sz w:val="20"/>
                <w:szCs w:val="20"/>
                <w:highlight w:val="yellow"/>
              </w:rPr>
              <w:t>)</w:t>
            </w:r>
            <w:r w:rsidRPr="00054CAB">
              <w:rPr>
                <w:sz w:val="20"/>
                <w:szCs w:val="20"/>
                <w:highlight w:val="yellow"/>
              </w:rPr>
              <w:t>.</w:t>
            </w:r>
          </w:p>
        </w:tc>
      </w:tr>
      <w:tr w:rsidR="00C22D11" w:rsidRPr="004C53E7" w14:paraId="66FC7719" w14:textId="77777777" w:rsidTr="28131BB4">
        <w:tc>
          <w:tcPr>
            <w:tcW w:w="9450" w:type="dxa"/>
            <w:gridSpan w:val="6"/>
            <w:shd w:val="clear" w:color="auto" w:fill="C6D9F1" w:themeFill="text2" w:themeFillTint="33"/>
            <w:vAlign w:val="center"/>
          </w:tcPr>
          <w:p w14:paraId="3B3D7EA2"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412FEF4F"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C11937" w14:paraId="5F219BB6" w14:textId="77777777" w:rsidTr="28131BB4">
        <w:tc>
          <w:tcPr>
            <w:tcW w:w="9450" w:type="dxa"/>
            <w:gridSpan w:val="6"/>
            <w:vAlign w:val="center"/>
          </w:tcPr>
          <w:p w14:paraId="18448128" w14:textId="42F5BC46" w:rsidR="00920CEA" w:rsidRPr="00920CEA" w:rsidRDefault="004C3D1F" w:rsidP="00920CEA">
            <w:pPr>
              <w:pStyle w:val="CERLEVEL50"/>
              <w:rPr>
                <w:sz w:val="20"/>
                <w:szCs w:val="20"/>
                <w:lang w:val="en-GB"/>
              </w:rPr>
            </w:pPr>
            <w:r w:rsidRPr="00C11937">
              <w:rPr>
                <w:sz w:val="20"/>
                <w:szCs w:val="20"/>
              </w:rPr>
              <w:t>This modification furthers the following Code Objectives</w:t>
            </w:r>
            <w:r w:rsidR="009A2FDB">
              <w:rPr>
                <w:sz w:val="20"/>
                <w:szCs w:val="20"/>
              </w:rPr>
              <w:t xml:space="preserve"> outside of the in-</w:t>
            </w:r>
            <w:proofErr w:type="gramStart"/>
            <w:r w:rsidR="009A2FDB">
              <w:rPr>
                <w:sz w:val="20"/>
                <w:szCs w:val="20"/>
              </w:rPr>
              <w:t>principle</w:t>
            </w:r>
            <w:proofErr w:type="gramEnd"/>
            <w:r w:rsidR="009A2FDB">
              <w:rPr>
                <w:sz w:val="20"/>
                <w:szCs w:val="20"/>
              </w:rPr>
              <w:t xml:space="preserve"> alignment with the CRM’s State Aid approval</w:t>
            </w:r>
            <w:r w:rsidR="00920CEA">
              <w:rPr>
                <w:sz w:val="20"/>
                <w:szCs w:val="20"/>
              </w:rPr>
              <w:t xml:space="preserve"> and continuation of </w:t>
            </w:r>
            <w:r w:rsidR="00920CEA" w:rsidRPr="00920CEA">
              <w:rPr>
                <w:sz w:val="20"/>
                <w:szCs w:val="20"/>
                <w:lang w:val="en-GB"/>
              </w:rPr>
              <w:t>the principles of the existing CMC which gives preference to shorter duration contracts for the resolution of constraints.</w:t>
            </w:r>
          </w:p>
          <w:p w14:paraId="58E103F5" w14:textId="77777777" w:rsidR="004C3D1F" w:rsidRPr="00C11937" w:rsidRDefault="004C3D1F" w:rsidP="00CD7049">
            <w:pPr>
              <w:pStyle w:val="CERLEVEL50"/>
              <w:rPr>
                <w:sz w:val="20"/>
                <w:szCs w:val="20"/>
              </w:rPr>
            </w:pPr>
          </w:p>
          <w:p w14:paraId="019AE30F" w14:textId="209A41F4" w:rsidR="00E33620" w:rsidRPr="00C11937" w:rsidRDefault="00E33620" w:rsidP="00CD7049">
            <w:pPr>
              <w:pStyle w:val="CERLEVEL50"/>
              <w:rPr>
                <w:sz w:val="20"/>
                <w:szCs w:val="20"/>
              </w:rPr>
            </w:pPr>
            <w:r w:rsidRPr="00C11937">
              <w:rPr>
                <w:sz w:val="20"/>
                <w:szCs w:val="20"/>
              </w:rPr>
              <w:t>A.1.2</w:t>
            </w:r>
            <w:r w:rsidRPr="00C11937">
              <w:rPr>
                <w:sz w:val="20"/>
                <w:szCs w:val="20"/>
              </w:rPr>
              <w:tab/>
              <w:t>Capacity Market Code Objectives</w:t>
            </w:r>
          </w:p>
          <w:p w14:paraId="2E05746B" w14:textId="77777777" w:rsidR="00E33620" w:rsidRPr="00777795" w:rsidRDefault="00E33620" w:rsidP="00446D21">
            <w:pPr>
              <w:pStyle w:val="CERLEVEL50"/>
              <w:ind w:left="724" w:hanging="724"/>
              <w:rPr>
                <w:sz w:val="20"/>
                <w:szCs w:val="20"/>
              </w:rPr>
            </w:pPr>
            <w:r w:rsidRPr="00C11937">
              <w:rPr>
                <w:sz w:val="20"/>
                <w:szCs w:val="20"/>
              </w:rPr>
              <w:t>A.1.2.1</w:t>
            </w:r>
            <w:r w:rsidRPr="00C11937">
              <w:rPr>
                <w:sz w:val="20"/>
                <w:szCs w:val="20"/>
              </w:rPr>
              <w:tab/>
            </w:r>
            <w:r w:rsidRPr="00777795">
              <w:rPr>
                <w:sz w:val="20"/>
                <w:szCs w:val="20"/>
              </w:rPr>
              <w:t xml:space="preserve">This Code is designed to facilitate achievement of the following objectives (the “Capacity Market Code Objectives”): </w:t>
            </w:r>
          </w:p>
          <w:p w14:paraId="224FE8AB" w14:textId="01F6CD92" w:rsidR="00E33620" w:rsidRPr="00777795" w:rsidRDefault="001A509F" w:rsidP="00E33620">
            <w:pPr>
              <w:pStyle w:val="CERLEVEL50"/>
              <w:rPr>
                <w:sz w:val="20"/>
                <w:szCs w:val="20"/>
              </w:rPr>
            </w:pPr>
            <w:r w:rsidRPr="00777795">
              <w:rPr>
                <w:sz w:val="20"/>
                <w:szCs w:val="20"/>
              </w:rPr>
              <w:t>…</w:t>
            </w:r>
            <w:r w:rsidR="00E33620" w:rsidRPr="00777795">
              <w:rPr>
                <w:sz w:val="20"/>
                <w:szCs w:val="20"/>
              </w:rPr>
              <w:t xml:space="preserve"> </w:t>
            </w:r>
          </w:p>
          <w:p w14:paraId="6E9DA526" w14:textId="11BE4213" w:rsidR="00E33620" w:rsidRPr="00777795" w:rsidRDefault="006A4ED0" w:rsidP="00E33620">
            <w:pPr>
              <w:pStyle w:val="CERLEVEL50"/>
              <w:rPr>
                <w:sz w:val="20"/>
                <w:szCs w:val="20"/>
              </w:rPr>
            </w:pPr>
            <w:r>
              <w:rPr>
                <w:sz w:val="20"/>
                <w:szCs w:val="20"/>
              </w:rPr>
              <w:t xml:space="preserve">(b) </w:t>
            </w:r>
            <w:r w:rsidR="00E33620" w:rsidRPr="00777795">
              <w:rPr>
                <w:sz w:val="20"/>
                <w:szCs w:val="20"/>
              </w:rPr>
              <w:t xml:space="preserve">to facilitate the efficient, economic and coordinated operation, administration and development of the Capacity Market and the provision of adequate future capacity in a financially secure </w:t>
            </w:r>
            <w:proofErr w:type="gramStart"/>
            <w:r w:rsidR="00E33620" w:rsidRPr="00777795">
              <w:rPr>
                <w:sz w:val="20"/>
                <w:szCs w:val="20"/>
              </w:rPr>
              <w:t>manner;</w:t>
            </w:r>
            <w:proofErr w:type="gramEnd"/>
            <w:r w:rsidR="00E33620" w:rsidRPr="00777795">
              <w:rPr>
                <w:sz w:val="20"/>
                <w:szCs w:val="20"/>
              </w:rPr>
              <w:t xml:space="preserve"> </w:t>
            </w:r>
          </w:p>
          <w:p w14:paraId="30D58DC4" w14:textId="35486CB5" w:rsidR="00E33620" w:rsidRPr="00777795" w:rsidRDefault="001A509F" w:rsidP="00E33620">
            <w:pPr>
              <w:pStyle w:val="CERLEVEL50"/>
              <w:rPr>
                <w:sz w:val="20"/>
                <w:szCs w:val="20"/>
              </w:rPr>
            </w:pPr>
            <w:r w:rsidRPr="00777795">
              <w:rPr>
                <w:sz w:val="20"/>
                <w:szCs w:val="20"/>
              </w:rPr>
              <w:t>…</w:t>
            </w:r>
          </w:p>
          <w:p w14:paraId="0BAC6A1A" w14:textId="66AD8491" w:rsidR="00E33620" w:rsidRPr="00777795" w:rsidRDefault="001A509F" w:rsidP="00E33620">
            <w:pPr>
              <w:pStyle w:val="CERLEVEL50"/>
              <w:rPr>
                <w:sz w:val="20"/>
                <w:szCs w:val="20"/>
              </w:rPr>
            </w:pPr>
            <w:r w:rsidRPr="00777795">
              <w:rPr>
                <w:sz w:val="20"/>
                <w:szCs w:val="20"/>
              </w:rPr>
              <w:t>…</w:t>
            </w:r>
          </w:p>
          <w:p w14:paraId="706F2F60" w14:textId="305A93F5" w:rsidR="00E33620" w:rsidRPr="00777795" w:rsidRDefault="006A4ED0" w:rsidP="00E33620">
            <w:pPr>
              <w:pStyle w:val="CERLEVEL50"/>
              <w:rPr>
                <w:sz w:val="20"/>
                <w:szCs w:val="20"/>
              </w:rPr>
            </w:pPr>
            <w:r>
              <w:rPr>
                <w:sz w:val="20"/>
                <w:szCs w:val="20"/>
              </w:rPr>
              <w:t xml:space="preserve">(e) </w:t>
            </w:r>
            <w:r w:rsidR="00E33620" w:rsidRPr="00777795">
              <w:rPr>
                <w:sz w:val="20"/>
                <w:szCs w:val="20"/>
              </w:rPr>
              <w:t xml:space="preserve">to provide transparency in the operation of the </w:t>
            </w:r>
            <w:proofErr w:type="gramStart"/>
            <w:r w:rsidR="00E33620" w:rsidRPr="00777795">
              <w:rPr>
                <w:sz w:val="20"/>
                <w:szCs w:val="20"/>
              </w:rPr>
              <w:t>SEM;</w:t>
            </w:r>
            <w:proofErr w:type="gramEnd"/>
            <w:r w:rsidR="00E33620" w:rsidRPr="00777795">
              <w:rPr>
                <w:sz w:val="20"/>
                <w:szCs w:val="20"/>
              </w:rPr>
              <w:t xml:space="preserve"> </w:t>
            </w:r>
          </w:p>
          <w:p w14:paraId="7F81CB3C" w14:textId="011C172F" w:rsidR="00446D21" w:rsidRPr="00777795" w:rsidRDefault="001A509F" w:rsidP="00446D21">
            <w:pPr>
              <w:pStyle w:val="CERLEVEL50"/>
              <w:rPr>
                <w:sz w:val="20"/>
                <w:szCs w:val="20"/>
              </w:rPr>
            </w:pPr>
            <w:r w:rsidRPr="00777795">
              <w:rPr>
                <w:sz w:val="20"/>
                <w:szCs w:val="20"/>
              </w:rPr>
              <w:t>…</w:t>
            </w:r>
          </w:p>
          <w:p w14:paraId="4BF6A2FC" w14:textId="01A6A567" w:rsidR="00F76C97" w:rsidRPr="00777795" w:rsidRDefault="006A4ED0" w:rsidP="00446D21">
            <w:pPr>
              <w:pStyle w:val="CERLEVEL50"/>
              <w:rPr>
                <w:sz w:val="20"/>
                <w:szCs w:val="20"/>
              </w:rPr>
            </w:pPr>
            <w:r>
              <w:rPr>
                <w:sz w:val="20"/>
                <w:szCs w:val="20"/>
              </w:rPr>
              <w:t xml:space="preserve">(g) </w:t>
            </w:r>
            <w:r w:rsidR="00E33620" w:rsidRPr="00777795">
              <w:rPr>
                <w:sz w:val="20"/>
                <w:szCs w:val="20"/>
              </w:rPr>
              <w:t>through the development of the Capacity Market, to promote the short-term and long-term interests of consumers of electricity with respect to price, quality, reliability, and security of supply of electricity across the Island of Ireland.</w:t>
            </w:r>
          </w:p>
          <w:p w14:paraId="73820C5F" w14:textId="315EB5F5" w:rsidR="005A6D7F" w:rsidRPr="00C11937" w:rsidRDefault="005A6D7F" w:rsidP="005A6D7F">
            <w:pPr>
              <w:pStyle w:val="CERLEVEL4"/>
              <w:numPr>
                <w:ilvl w:val="0"/>
                <w:numId w:val="0"/>
              </w:numPr>
              <w:rPr>
                <w:sz w:val="20"/>
                <w:szCs w:val="20"/>
              </w:rPr>
            </w:pPr>
          </w:p>
        </w:tc>
      </w:tr>
      <w:tr w:rsidR="00C22D11" w:rsidRPr="004C53E7" w14:paraId="562C212D" w14:textId="77777777" w:rsidTr="28131BB4">
        <w:tc>
          <w:tcPr>
            <w:tcW w:w="9450" w:type="dxa"/>
            <w:gridSpan w:val="6"/>
            <w:shd w:val="clear" w:color="auto" w:fill="C6D9F1" w:themeFill="text2" w:themeFillTint="33"/>
            <w:vAlign w:val="center"/>
          </w:tcPr>
          <w:p w14:paraId="275F710E"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1380FB0F"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70E6EB46" w14:textId="77777777" w:rsidTr="28131BB4">
        <w:tc>
          <w:tcPr>
            <w:tcW w:w="9450" w:type="dxa"/>
            <w:gridSpan w:val="6"/>
            <w:vAlign w:val="center"/>
          </w:tcPr>
          <w:p w14:paraId="47F9F70D" w14:textId="4B53A253" w:rsidR="00577DE9" w:rsidRDefault="005261DD" w:rsidP="00777795">
            <w:pPr>
              <w:rPr>
                <w:rFonts w:ascii="Arial" w:hAnsi="Arial" w:cs="Arial"/>
                <w:lang w:val="en-IE"/>
              </w:rPr>
            </w:pPr>
            <w:r w:rsidRPr="00AC3C3F">
              <w:rPr>
                <w:rFonts w:ascii="Arial" w:hAnsi="Arial" w:cs="Arial"/>
                <w:lang w:val="en-IE"/>
              </w:rPr>
              <w:t>If the modification is not implemented, the CMC runs the risk of securing locational capacity for longer than necessary.</w:t>
            </w:r>
            <w:r w:rsidR="00924817" w:rsidRPr="00AC3C3F">
              <w:rPr>
                <w:rFonts w:ascii="Arial" w:hAnsi="Arial" w:cs="Arial"/>
                <w:lang w:val="en-IE"/>
              </w:rPr>
              <w:t xml:space="preserve">  This has negative impacts on consumers, </w:t>
            </w:r>
            <w:proofErr w:type="gramStart"/>
            <w:r w:rsidR="00924817" w:rsidRPr="00AC3C3F">
              <w:rPr>
                <w:rFonts w:ascii="Arial" w:hAnsi="Arial" w:cs="Arial"/>
                <w:lang w:val="en-IE"/>
              </w:rPr>
              <w:t>and also</w:t>
            </w:r>
            <w:proofErr w:type="gramEnd"/>
            <w:r w:rsidR="00924817" w:rsidRPr="00AC3C3F">
              <w:rPr>
                <w:rFonts w:ascii="Arial" w:hAnsi="Arial" w:cs="Arial"/>
                <w:lang w:val="en-IE"/>
              </w:rPr>
              <w:t xml:space="preserve"> </w:t>
            </w:r>
            <w:r w:rsidR="00272E29" w:rsidRPr="00AC3C3F">
              <w:rPr>
                <w:rFonts w:ascii="Arial" w:hAnsi="Arial" w:cs="Arial"/>
                <w:lang w:val="en-IE"/>
              </w:rPr>
              <w:t xml:space="preserve">runs the risk of </w:t>
            </w:r>
            <w:r w:rsidR="00AC3C3F">
              <w:rPr>
                <w:rFonts w:ascii="Arial" w:hAnsi="Arial" w:cs="Arial"/>
                <w:lang w:val="en-IE"/>
              </w:rPr>
              <w:t xml:space="preserve">displacing refurbished generation in favour of </w:t>
            </w:r>
            <w:r w:rsidR="00272E29" w:rsidRPr="00AC3C3F">
              <w:rPr>
                <w:rFonts w:ascii="Arial" w:hAnsi="Arial" w:cs="Arial"/>
                <w:lang w:val="en-IE"/>
              </w:rPr>
              <w:t xml:space="preserve">new thermal generation with </w:t>
            </w:r>
            <w:r w:rsidR="00AC3C3F">
              <w:rPr>
                <w:rFonts w:ascii="Arial" w:hAnsi="Arial" w:cs="Arial"/>
                <w:lang w:val="en-IE"/>
              </w:rPr>
              <w:t xml:space="preserve">associated delivery risks and </w:t>
            </w:r>
            <w:r w:rsidR="00272E29" w:rsidRPr="00AC3C3F">
              <w:rPr>
                <w:rFonts w:ascii="Arial" w:hAnsi="Arial" w:cs="Arial"/>
                <w:lang w:val="en-IE"/>
              </w:rPr>
              <w:t>a longer lifespan</w:t>
            </w:r>
            <w:r w:rsidR="0078229C" w:rsidRPr="00AC3C3F">
              <w:rPr>
                <w:rFonts w:ascii="Arial" w:hAnsi="Arial" w:cs="Arial"/>
                <w:lang w:val="en-IE"/>
              </w:rPr>
              <w:t xml:space="preserve">, which has negative </w:t>
            </w:r>
            <w:r w:rsidR="00AC3C3F">
              <w:rPr>
                <w:rFonts w:ascii="Arial" w:hAnsi="Arial" w:cs="Arial"/>
                <w:lang w:val="en-IE"/>
              </w:rPr>
              <w:t xml:space="preserve">security of supply and </w:t>
            </w:r>
            <w:r w:rsidR="0078229C" w:rsidRPr="00AC3C3F">
              <w:rPr>
                <w:rFonts w:ascii="Arial" w:hAnsi="Arial" w:cs="Arial"/>
                <w:lang w:val="en-IE"/>
              </w:rPr>
              <w:t>environmental impacts</w:t>
            </w:r>
            <w:r w:rsidR="00272E29" w:rsidRPr="00AC3C3F">
              <w:rPr>
                <w:rFonts w:ascii="Arial" w:hAnsi="Arial" w:cs="Arial"/>
                <w:lang w:val="en-IE"/>
              </w:rPr>
              <w:t>.</w:t>
            </w:r>
            <w:r w:rsidR="00B45811" w:rsidRPr="00AC3C3F">
              <w:rPr>
                <w:rFonts w:ascii="Arial" w:hAnsi="Arial" w:cs="Arial"/>
                <w:lang w:val="en-IE"/>
              </w:rPr>
              <w:t xml:space="preserve">  These outcomes undermine </w:t>
            </w:r>
            <w:r w:rsidR="00AC3C3F">
              <w:rPr>
                <w:rFonts w:ascii="Arial" w:hAnsi="Arial" w:cs="Arial"/>
                <w:lang w:val="en-IE"/>
              </w:rPr>
              <w:t>many o</w:t>
            </w:r>
            <w:r w:rsidR="00283B74" w:rsidRPr="00AC3C3F">
              <w:rPr>
                <w:rFonts w:ascii="Arial" w:hAnsi="Arial" w:cs="Arial"/>
                <w:lang w:val="en-IE"/>
              </w:rPr>
              <w:t xml:space="preserve">f </w:t>
            </w:r>
            <w:r w:rsidR="00B45811" w:rsidRPr="00AC3C3F">
              <w:rPr>
                <w:rFonts w:ascii="Arial" w:hAnsi="Arial" w:cs="Arial"/>
                <w:lang w:val="en-IE"/>
              </w:rPr>
              <w:t xml:space="preserve">the </w:t>
            </w:r>
            <w:r w:rsidR="00AC3C3F">
              <w:rPr>
                <w:rFonts w:ascii="Arial" w:hAnsi="Arial" w:cs="Arial"/>
                <w:lang w:val="en-IE"/>
              </w:rPr>
              <w:t xml:space="preserve">reasons </w:t>
            </w:r>
            <w:r w:rsidR="00B45811" w:rsidRPr="00AC3C3F">
              <w:rPr>
                <w:rFonts w:ascii="Arial" w:hAnsi="Arial" w:cs="Arial"/>
                <w:lang w:val="en-IE"/>
              </w:rPr>
              <w:t>for providing ILC</w:t>
            </w:r>
            <w:r w:rsidR="00283B74" w:rsidRPr="00AC3C3F">
              <w:rPr>
                <w:rFonts w:ascii="Arial" w:hAnsi="Arial" w:cs="Arial"/>
                <w:lang w:val="en-IE"/>
              </w:rPr>
              <w:t>s in the first place.</w:t>
            </w:r>
          </w:p>
          <w:p w14:paraId="1E756817" w14:textId="77777777" w:rsidR="005261DD" w:rsidRDefault="005261DD" w:rsidP="00777795">
            <w:pPr>
              <w:rPr>
                <w:rFonts w:ascii="Arial" w:hAnsi="Arial" w:cs="Arial"/>
                <w:lang w:val="en-IE"/>
              </w:rPr>
            </w:pPr>
          </w:p>
          <w:p w14:paraId="07CC1B8B" w14:textId="03A79CAA" w:rsidR="005261DD" w:rsidRDefault="005261DD" w:rsidP="00777795">
            <w:pPr>
              <w:rPr>
                <w:rFonts w:ascii="Arial" w:hAnsi="Arial" w:cs="Arial"/>
                <w:lang w:val="en-IE"/>
              </w:rPr>
            </w:pPr>
            <w:r>
              <w:rPr>
                <w:rFonts w:ascii="Arial" w:hAnsi="Arial" w:cs="Arial"/>
                <w:lang w:val="en-IE"/>
              </w:rPr>
              <w:t xml:space="preserve">The clarification </w:t>
            </w:r>
            <w:r w:rsidR="00FA5014">
              <w:rPr>
                <w:rFonts w:ascii="Arial" w:hAnsi="Arial" w:cs="Arial"/>
                <w:lang w:val="en-IE"/>
              </w:rPr>
              <w:t xml:space="preserve">elements of the </w:t>
            </w:r>
            <w:r>
              <w:rPr>
                <w:rFonts w:ascii="Arial" w:hAnsi="Arial" w:cs="Arial"/>
                <w:lang w:val="en-IE"/>
              </w:rPr>
              <w:t xml:space="preserve">modification </w:t>
            </w:r>
            <w:r w:rsidR="00DD2917">
              <w:rPr>
                <w:rFonts w:ascii="Arial" w:hAnsi="Arial" w:cs="Arial"/>
                <w:lang w:val="en-IE"/>
              </w:rPr>
              <w:t xml:space="preserve">also </w:t>
            </w:r>
            <w:proofErr w:type="gramStart"/>
            <w:r w:rsidR="00DD2917">
              <w:rPr>
                <w:rFonts w:ascii="Arial" w:hAnsi="Arial" w:cs="Arial"/>
                <w:lang w:val="en-IE"/>
              </w:rPr>
              <w:t>provides</w:t>
            </w:r>
            <w:proofErr w:type="gramEnd"/>
            <w:r w:rsidR="00DD2917">
              <w:rPr>
                <w:rFonts w:ascii="Arial" w:hAnsi="Arial" w:cs="Arial"/>
                <w:lang w:val="en-IE"/>
              </w:rPr>
              <w:t xml:space="preserve"> </w:t>
            </w:r>
            <w:r w:rsidR="00DD1185">
              <w:rPr>
                <w:rFonts w:ascii="Arial" w:hAnsi="Arial" w:cs="Arial"/>
                <w:lang w:val="en-IE"/>
              </w:rPr>
              <w:t xml:space="preserve">greater clarity in the interaction of the various locational requirements </w:t>
            </w:r>
            <w:r w:rsidR="00FA5014">
              <w:rPr>
                <w:rFonts w:ascii="Arial" w:hAnsi="Arial" w:cs="Arial"/>
                <w:lang w:val="en-IE"/>
              </w:rPr>
              <w:t>of the CMC, particularly around F.8.</w:t>
            </w:r>
            <w:r w:rsidR="00F93963">
              <w:rPr>
                <w:rFonts w:ascii="Arial" w:hAnsi="Arial" w:cs="Arial"/>
                <w:lang w:val="en-IE"/>
              </w:rPr>
              <w:t>2</w:t>
            </w:r>
            <w:r w:rsidR="00FA5014">
              <w:rPr>
                <w:rFonts w:ascii="Arial" w:hAnsi="Arial" w:cs="Arial"/>
                <w:lang w:val="en-IE"/>
              </w:rPr>
              <w:t>.</w:t>
            </w:r>
            <w:r w:rsidR="00274373">
              <w:rPr>
                <w:rFonts w:ascii="Arial" w:hAnsi="Arial" w:cs="Arial"/>
                <w:lang w:val="en-IE"/>
              </w:rPr>
              <w:t>3</w:t>
            </w:r>
            <w:r w:rsidR="00FA5014">
              <w:rPr>
                <w:rFonts w:ascii="Arial" w:hAnsi="Arial" w:cs="Arial"/>
                <w:lang w:val="en-IE"/>
              </w:rPr>
              <w:t xml:space="preserve"> and F.</w:t>
            </w:r>
            <w:r w:rsidR="00274373">
              <w:rPr>
                <w:rFonts w:ascii="Arial" w:hAnsi="Arial" w:cs="Arial"/>
                <w:lang w:val="en-IE"/>
              </w:rPr>
              <w:t xml:space="preserve">8.4.4, which would otherwise be unavailable.  This clarity is important to understand </w:t>
            </w:r>
            <w:r w:rsidR="00C56FEF">
              <w:rPr>
                <w:rFonts w:ascii="Arial" w:hAnsi="Arial" w:cs="Arial"/>
                <w:lang w:val="en-IE"/>
              </w:rPr>
              <w:t>auction outcomes as capacity margins are increasingly tight and such locational requirements become increasingly binding in the auction solution.</w:t>
            </w:r>
          </w:p>
          <w:p w14:paraId="359A060D" w14:textId="1DA84A11" w:rsidR="005261DD" w:rsidRPr="003B7AB6" w:rsidRDefault="005261DD" w:rsidP="00777795">
            <w:pPr>
              <w:rPr>
                <w:rFonts w:ascii="Arial" w:hAnsi="Arial" w:cs="Arial"/>
                <w:lang w:val="en-IE"/>
              </w:rPr>
            </w:pPr>
          </w:p>
        </w:tc>
      </w:tr>
      <w:tr w:rsidR="009342A5" w:rsidRPr="004C53E7" w14:paraId="225676CB" w14:textId="77777777" w:rsidTr="28131BB4">
        <w:trPr>
          <w:trHeight w:val="507"/>
        </w:trPr>
        <w:tc>
          <w:tcPr>
            <w:tcW w:w="9450" w:type="dxa"/>
            <w:gridSpan w:val="6"/>
            <w:shd w:val="clear" w:color="auto" w:fill="C6D9F1" w:themeFill="text2" w:themeFillTint="33"/>
            <w:vAlign w:val="center"/>
          </w:tcPr>
          <w:p w14:paraId="65DCD25D"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637F3664"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C11937" w:rsidDel="00404964" w14:paraId="362EFBCF" w14:textId="77777777" w:rsidTr="28131BB4">
        <w:trPr>
          <w:trHeight w:val="507"/>
        </w:trPr>
        <w:tc>
          <w:tcPr>
            <w:tcW w:w="9450" w:type="dxa"/>
            <w:gridSpan w:val="6"/>
            <w:vAlign w:val="center"/>
          </w:tcPr>
          <w:p w14:paraId="20428DF8" w14:textId="77777777" w:rsidR="00C11937" w:rsidRDefault="00777795" w:rsidP="00C829A3">
            <w:pPr>
              <w:pStyle w:val="Default"/>
              <w:rPr>
                <w:sz w:val="20"/>
                <w:szCs w:val="20"/>
                <w:lang w:val="en-IE"/>
              </w:rPr>
            </w:pPr>
            <w:r>
              <w:rPr>
                <w:sz w:val="20"/>
                <w:szCs w:val="20"/>
                <w:lang w:val="en-IE"/>
              </w:rPr>
              <w:t xml:space="preserve">Any change to the capacity auction clearing process will require development and testing.  </w:t>
            </w:r>
            <w:r w:rsidR="005261DD">
              <w:rPr>
                <w:sz w:val="20"/>
                <w:szCs w:val="20"/>
                <w:lang w:val="en-IE"/>
              </w:rPr>
              <w:t xml:space="preserve">This modification </w:t>
            </w:r>
            <w:r w:rsidR="006A4ED0">
              <w:rPr>
                <w:sz w:val="20"/>
                <w:szCs w:val="20"/>
                <w:lang w:val="en-IE"/>
              </w:rPr>
              <w:t xml:space="preserve">which directly impacts this area </w:t>
            </w:r>
            <w:r w:rsidR="005261DD">
              <w:rPr>
                <w:sz w:val="20"/>
                <w:szCs w:val="20"/>
                <w:lang w:val="en-IE"/>
              </w:rPr>
              <w:t>is no different.  All attempts have been made to consider various options and minimise the impact of the change, should the modification be accepted.</w:t>
            </w:r>
          </w:p>
          <w:p w14:paraId="6A1802C4" w14:textId="20A47C21" w:rsidR="00EF3645" w:rsidRPr="00C11937" w:rsidDel="00404964" w:rsidRDefault="00EF3645" w:rsidP="00C829A3">
            <w:pPr>
              <w:pStyle w:val="Default"/>
              <w:rPr>
                <w:sz w:val="20"/>
                <w:szCs w:val="20"/>
                <w:lang w:val="en-IE"/>
              </w:rPr>
            </w:pPr>
          </w:p>
        </w:tc>
      </w:tr>
      <w:tr w:rsidR="00C22D11" w:rsidRPr="004C53E7" w14:paraId="7C83E4B7" w14:textId="77777777" w:rsidTr="28131BB4">
        <w:tc>
          <w:tcPr>
            <w:tcW w:w="9450" w:type="dxa"/>
            <w:gridSpan w:val="6"/>
            <w:vAlign w:val="center"/>
          </w:tcPr>
          <w:p w14:paraId="437F0F89"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6"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6AEA3A89"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36D495E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14887E31"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535DD027"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51074467"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1ED81443" w14:textId="77777777" w:rsidR="008A331A" w:rsidRDefault="008A331A" w:rsidP="008A331A">
      <w:pPr>
        <w:jc w:val="center"/>
        <w:rPr>
          <w:rFonts w:ascii="Calibri" w:hAnsi="Calibri" w:cs="Arial"/>
          <w:b/>
        </w:rPr>
      </w:pPr>
    </w:p>
    <w:p w14:paraId="628E16F2"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00131C22"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782AEC23"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21B1E5DE"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40CC2D2C" w14:textId="77777777" w:rsidR="008A331A" w:rsidRDefault="008A331A" w:rsidP="008A331A">
      <w:pPr>
        <w:jc w:val="both"/>
        <w:rPr>
          <w:rFonts w:ascii="Arial" w:hAnsi="Arial" w:cs="Arial"/>
          <w:b/>
          <w:sz w:val="16"/>
          <w:szCs w:val="16"/>
          <w:lang w:val="en-IE"/>
        </w:rPr>
      </w:pPr>
    </w:p>
    <w:p w14:paraId="73EDBB4F"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 xml:space="preserve">CMC / </w:t>
      </w:r>
      <w:proofErr w:type="gramStart"/>
      <w:r>
        <w:rPr>
          <w:rFonts w:ascii="Arial" w:hAnsi="Arial" w:cs="Arial"/>
          <w:b/>
          <w:sz w:val="16"/>
          <w:szCs w:val="16"/>
          <w:lang w:val="en-IE"/>
        </w:rPr>
        <w:t>Code:</w:t>
      </w:r>
      <w:proofErr w:type="gramEnd"/>
      <w:r>
        <w:rPr>
          <w:rFonts w:ascii="Arial" w:hAnsi="Arial" w:cs="Arial"/>
          <w:b/>
          <w:sz w:val="16"/>
          <w:szCs w:val="16"/>
          <w:lang w:val="en-IE"/>
        </w:rPr>
        <w:tab/>
        <w:t>means the Capacity Market Code for the Single Electricity Market</w:t>
      </w:r>
    </w:p>
    <w:p w14:paraId="0237CD19"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 xml:space="preserve">means the proposal to modify the Code as set out in the attached </w:t>
      </w:r>
      <w:proofErr w:type="gramStart"/>
      <w:r>
        <w:rPr>
          <w:rFonts w:ascii="Arial" w:hAnsi="Arial" w:cs="Arial"/>
          <w:b/>
          <w:sz w:val="16"/>
          <w:szCs w:val="16"/>
          <w:lang w:val="en-IE"/>
        </w:rPr>
        <w:t>form</w:t>
      </w:r>
      <w:proofErr w:type="gramEnd"/>
    </w:p>
    <w:p w14:paraId="31C3F440"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 xml:space="preserve">or contains all or part of the Modification Proposal or any adaptation, abridgement, </w:t>
      </w:r>
      <w:proofErr w:type="gramStart"/>
      <w:r>
        <w:rPr>
          <w:rFonts w:ascii="Arial" w:hAnsi="Arial" w:cs="Arial"/>
          <w:b/>
          <w:sz w:val="16"/>
          <w:szCs w:val="16"/>
        </w:rPr>
        <w:t>expansion</w:t>
      </w:r>
      <w:proofErr w:type="gramEnd"/>
      <w:r>
        <w:rPr>
          <w:rFonts w:ascii="Arial" w:hAnsi="Arial" w:cs="Arial"/>
          <w:b/>
          <w:sz w:val="16"/>
          <w:szCs w:val="16"/>
        </w:rPr>
        <w:t xml:space="preserve"> or other modification</w:t>
      </w:r>
      <w:r>
        <w:rPr>
          <w:rFonts w:ascii="Arial" w:hAnsi="Arial" w:cs="Arial"/>
          <w:b/>
          <w:sz w:val="16"/>
          <w:szCs w:val="16"/>
          <w:lang w:val="en-IE"/>
        </w:rPr>
        <w:t xml:space="preserve"> of the Modification Proposal</w:t>
      </w:r>
    </w:p>
    <w:p w14:paraId="457E0F9F" w14:textId="77777777" w:rsidR="008A331A" w:rsidRDefault="008A331A" w:rsidP="008A331A">
      <w:pPr>
        <w:jc w:val="both"/>
        <w:rPr>
          <w:rFonts w:ascii="Arial" w:hAnsi="Arial" w:cs="Arial"/>
          <w:b/>
          <w:sz w:val="16"/>
          <w:szCs w:val="16"/>
          <w:lang w:val="en-IE"/>
        </w:rPr>
      </w:pPr>
    </w:p>
    <w:p w14:paraId="102A2579"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3BEC5D36" w14:textId="77777777" w:rsidR="008A331A" w:rsidRDefault="008A331A" w:rsidP="008A331A">
      <w:pPr>
        <w:tabs>
          <w:tab w:val="left" w:pos="360"/>
        </w:tabs>
        <w:ind w:left="720"/>
        <w:jc w:val="both"/>
        <w:rPr>
          <w:rFonts w:ascii="Arial" w:hAnsi="Arial" w:cs="Arial"/>
          <w:b/>
          <w:sz w:val="16"/>
          <w:szCs w:val="16"/>
          <w:lang w:val="en-IE"/>
        </w:rPr>
      </w:pPr>
    </w:p>
    <w:p w14:paraId="75C0BAAE"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7DC68BC9" w14:textId="77777777" w:rsidR="008A331A" w:rsidRDefault="008A331A" w:rsidP="008A331A">
      <w:pPr>
        <w:tabs>
          <w:tab w:val="left" w:pos="360"/>
        </w:tabs>
        <w:ind w:left="720" w:hanging="360"/>
        <w:jc w:val="both"/>
        <w:rPr>
          <w:rFonts w:ascii="Arial" w:hAnsi="Arial" w:cs="Arial"/>
          <w:b/>
          <w:sz w:val="16"/>
          <w:szCs w:val="16"/>
          <w:lang w:val="en-IE"/>
        </w:rPr>
      </w:pPr>
    </w:p>
    <w:p w14:paraId="44ED917C"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68F31870" w14:textId="77777777" w:rsidR="008A331A" w:rsidRDefault="008A331A" w:rsidP="008A331A">
      <w:pPr>
        <w:tabs>
          <w:tab w:val="left" w:pos="360"/>
        </w:tabs>
        <w:ind w:left="1080" w:hanging="360"/>
        <w:jc w:val="both"/>
        <w:rPr>
          <w:rFonts w:ascii="Arial" w:hAnsi="Arial" w:cs="Arial"/>
          <w:b/>
          <w:sz w:val="16"/>
          <w:szCs w:val="16"/>
          <w:lang w:val="en-IE"/>
        </w:rPr>
      </w:pPr>
    </w:p>
    <w:p w14:paraId="50FD6B16"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 xml:space="preserve">to the System Operators and the Regulatory Authorities to publish and/or distribute the Modification Proposal for free and unrestricted </w:t>
      </w:r>
      <w:proofErr w:type="gramStart"/>
      <w:r>
        <w:rPr>
          <w:rFonts w:ascii="Arial" w:hAnsi="Arial" w:cs="Arial"/>
          <w:b/>
          <w:sz w:val="16"/>
          <w:szCs w:val="16"/>
          <w:lang w:val="en-IE"/>
        </w:rPr>
        <w:t>access;</w:t>
      </w:r>
      <w:proofErr w:type="gramEnd"/>
    </w:p>
    <w:p w14:paraId="25020223" w14:textId="77777777" w:rsidR="008A331A" w:rsidRDefault="008A331A" w:rsidP="008A331A">
      <w:pPr>
        <w:tabs>
          <w:tab w:val="left" w:pos="360"/>
        </w:tabs>
        <w:ind w:left="1440" w:hanging="360"/>
        <w:jc w:val="both"/>
        <w:rPr>
          <w:rFonts w:ascii="Arial" w:hAnsi="Arial" w:cs="Arial"/>
          <w:b/>
          <w:sz w:val="16"/>
          <w:szCs w:val="16"/>
          <w:lang w:val="en-IE"/>
        </w:rPr>
      </w:pPr>
    </w:p>
    <w:p w14:paraId="5918B5B5"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 xml:space="preserve">to the Regulatory Authorities to amend, adapt, combine, abridge, expand or otherwise modify the Modification Proposal at their sole discretion for the purpose of developing the Modification Proposal in accordance with the </w:t>
      </w:r>
      <w:proofErr w:type="gramStart"/>
      <w:r>
        <w:rPr>
          <w:rFonts w:ascii="Arial" w:hAnsi="Arial" w:cs="Arial"/>
          <w:b/>
          <w:sz w:val="16"/>
          <w:szCs w:val="16"/>
          <w:lang w:val="en-IE"/>
        </w:rPr>
        <w:t>Code;</w:t>
      </w:r>
      <w:proofErr w:type="gramEnd"/>
    </w:p>
    <w:p w14:paraId="23FFB50D" w14:textId="77777777" w:rsidR="008A331A" w:rsidRDefault="008A331A" w:rsidP="008A331A">
      <w:pPr>
        <w:tabs>
          <w:tab w:val="left" w:pos="360"/>
        </w:tabs>
        <w:ind w:left="1440" w:hanging="360"/>
        <w:jc w:val="both"/>
        <w:rPr>
          <w:rFonts w:ascii="Arial" w:hAnsi="Arial" w:cs="Arial"/>
          <w:b/>
          <w:sz w:val="16"/>
          <w:szCs w:val="16"/>
          <w:lang w:val="en-IE"/>
        </w:rPr>
      </w:pPr>
    </w:p>
    <w:p w14:paraId="23D17476"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 xml:space="preserve">to the System Operators and the Regulatory Authorities to incorporate the Modification Proposal into the </w:t>
      </w:r>
      <w:proofErr w:type="gramStart"/>
      <w:r>
        <w:rPr>
          <w:rFonts w:ascii="Arial" w:hAnsi="Arial" w:cs="Arial"/>
          <w:b/>
          <w:sz w:val="16"/>
          <w:szCs w:val="16"/>
          <w:lang w:val="en-IE"/>
        </w:rPr>
        <w:t>Code;</w:t>
      </w:r>
      <w:proofErr w:type="gramEnd"/>
    </w:p>
    <w:p w14:paraId="356DAA4F" w14:textId="77777777" w:rsidR="008A331A" w:rsidRDefault="008A331A" w:rsidP="008A331A">
      <w:pPr>
        <w:tabs>
          <w:tab w:val="left" w:pos="360"/>
        </w:tabs>
        <w:ind w:left="1440" w:hanging="360"/>
        <w:jc w:val="both"/>
        <w:rPr>
          <w:rFonts w:ascii="Arial" w:hAnsi="Arial" w:cs="Arial"/>
          <w:b/>
          <w:sz w:val="16"/>
          <w:szCs w:val="16"/>
          <w:lang w:val="en-IE"/>
        </w:rPr>
      </w:pPr>
    </w:p>
    <w:p w14:paraId="4B2B7190"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5CB08B7C" w14:textId="77777777" w:rsidR="008A331A" w:rsidRDefault="008A331A" w:rsidP="008A331A">
      <w:pPr>
        <w:tabs>
          <w:tab w:val="left" w:pos="360"/>
        </w:tabs>
        <w:ind w:left="1440" w:hanging="360"/>
        <w:jc w:val="both"/>
        <w:rPr>
          <w:rFonts w:ascii="Arial" w:hAnsi="Arial" w:cs="Arial"/>
          <w:b/>
          <w:sz w:val="16"/>
          <w:szCs w:val="16"/>
          <w:lang w:val="en-IE"/>
        </w:rPr>
      </w:pPr>
    </w:p>
    <w:p w14:paraId="7BE3FCA5"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746035A8" w14:textId="77777777" w:rsidR="008A331A" w:rsidRDefault="008A331A" w:rsidP="008A331A">
      <w:pPr>
        <w:tabs>
          <w:tab w:val="left" w:pos="360"/>
        </w:tabs>
        <w:ind w:left="1080" w:hanging="360"/>
        <w:jc w:val="both"/>
        <w:rPr>
          <w:rFonts w:ascii="Arial" w:hAnsi="Arial" w:cs="Arial"/>
          <w:b/>
          <w:sz w:val="16"/>
          <w:szCs w:val="16"/>
          <w:lang w:val="en-IE"/>
        </w:rPr>
      </w:pPr>
    </w:p>
    <w:p w14:paraId="29F767A4"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 xml:space="preserve">I hereby waive in favour of the Parties to the Code and the Regulatory Authorities any and all moral rights I may have </w:t>
      </w:r>
      <w:proofErr w:type="gramStart"/>
      <w:r>
        <w:rPr>
          <w:rFonts w:ascii="Arial" w:hAnsi="Arial" w:cs="Arial"/>
          <w:b/>
          <w:sz w:val="16"/>
          <w:szCs w:val="16"/>
          <w:lang w:val="en-IE"/>
        </w:rPr>
        <w:t>arising</w:t>
      </w:r>
      <w:proofErr w:type="gramEnd"/>
      <w:r>
        <w:rPr>
          <w:rFonts w:ascii="Arial" w:hAnsi="Arial" w:cs="Arial"/>
          <w:b/>
          <w:sz w:val="16"/>
          <w:szCs w:val="16"/>
          <w:lang w:val="en-IE"/>
        </w:rPr>
        <w:t xml:space="preserve"> out of or in connection with the Modification Proposal or any Derivative Works.</w:t>
      </w:r>
    </w:p>
    <w:p w14:paraId="134FD0ED" w14:textId="77777777" w:rsidR="008A331A" w:rsidRDefault="008A331A" w:rsidP="008A331A">
      <w:pPr>
        <w:tabs>
          <w:tab w:val="left" w:pos="360"/>
        </w:tabs>
        <w:ind w:left="1080" w:hanging="360"/>
        <w:jc w:val="both"/>
        <w:rPr>
          <w:rFonts w:ascii="Arial" w:hAnsi="Arial" w:cs="Arial"/>
          <w:b/>
          <w:sz w:val="16"/>
          <w:szCs w:val="16"/>
          <w:lang w:val="en-IE"/>
        </w:rPr>
      </w:pPr>
    </w:p>
    <w:p w14:paraId="780EDF79"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6DA01AD1" w14:textId="77777777" w:rsidR="008A331A" w:rsidRDefault="008A331A" w:rsidP="008A331A">
      <w:pPr>
        <w:tabs>
          <w:tab w:val="left" w:pos="360"/>
        </w:tabs>
        <w:ind w:left="1080" w:hanging="360"/>
        <w:jc w:val="both"/>
        <w:rPr>
          <w:rFonts w:ascii="Arial" w:hAnsi="Arial" w:cs="Arial"/>
          <w:b/>
          <w:sz w:val="16"/>
          <w:szCs w:val="16"/>
          <w:lang w:val="en-IE"/>
        </w:rPr>
      </w:pPr>
    </w:p>
    <w:p w14:paraId="3231B97D"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38A5CA1A" w14:textId="77777777" w:rsidR="004C53E7" w:rsidRPr="003F225F" w:rsidRDefault="004C53E7" w:rsidP="004C53E7">
      <w:pPr>
        <w:rPr>
          <w:rFonts w:ascii="Arial" w:hAnsi="Arial" w:cs="Arial"/>
          <w:sz w:val="22"/>
          <w:szCs w:val="22"/>
          <w:lang w:val="en-IE"/>
        </w:rPr>
      </w:pPr>
    </w:p>
    <w:p w14:paraId="4B470B2E" w14:textId="77777777" w:rsidR="004C53E7" w:rsidRDefault="004C53E7"/>
    <w:sectPr w:rsidR="004C53E7" w:rsidSect="00AE24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74DAD" w14:textId="77777777" w:rsidR="00F268DC" w:rsidRDefault="00F268DC" w:rsidP="0035560E">
      <w:r>
        <w:separator/>
      </w:r>
    </w:p>
  </w:endnote>
  <w:endnote w:type="continuationSeparator" w:id="0">
    <w:p w14:paraId="2CBD47C4" w14:textId="77777777" w:rsidR="00F268DC" w:rsidRDefault="00F268DC" w:rsidP="0035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7CF57" w14:textId="77777777" w:rsidR="00F268DC" w:rsidRDefault="00F268DC" w:rsidP="0035560E">
      <w:r>
        <w:separator/>
      </w:r>
    </w:p>
  </w:footnote>
  <w:footnote w:type="continuationSeparator" w:id="0">
    <w:p w14:paraId="7C5C8292" w14:textId="77777777" w:rsidR="00F268DC" w:rsidRDefault="00F268DC" w:rsidP="0035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4DA14A1"/>
    <w:multiLevelType w:val="hybridMultilevel"/>
    <w:tmpl w:val="0F98BA9A"/>
    <w:lvl w:ilvl="0" w:tplc="425E5A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15:restartNumberingAfterBreak="0">
    <w:nsid w:val="269D0BCD"/>
    <w:multiLevelType w:val="hybridMultilevel"/>
    <w:tmpl w:val="6CE2AE2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5" w15:restartNumberingAfterBreak="0">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6" w15:restartNumberingAfterBreak="0">
    <w:nsid w:val="421C79EB"/>
    <w:multiLevelType w:val="multilevel"/>
    <w:tmpl w:val="B484AB08"/>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7" w15:restartNumberingAfterBreak="0">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760818"/>
    <w:multiLevelType w:val="hybridMultilevel"/>
    <w:tmpl w:val="8190F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BE877E3"/>
    <w:multiLevelType w:val="hybridMultilevel"/>
    <w:tmpl w:val="1200F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C1D5986"/>
    <w:multiLevelType w:val="hybridMultilevel"/>
    <w:tmpl w:val="5BF8B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0080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2332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7856303">
    <w:abstractNumId w:val="5"/>
  </w:num>
  <w:num w:numId="4" w16cid:durableId="881787407">
    <w:abstractNumId w:val="2"/>
  </w:num>
  <w:num w:numId="5" w16cid:durableId="524367331">
    <w:abstractNumId w:val="7"/>
  </w:num>
  <w:num w:numId="6" w16cid:durableId="1164198274">
    <w:abstractNumId w:val="4"/>
  </w:num>
  <w:num w:numId="7" w16cid:durableId="1655065158">
    <w:abstractNumId w:val="6"/>
  </w:num>
  <w:num w:numId="8" w16cid:durableId="878667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551850">
    <w:abstractNumId w:val="3"/>
  </w:num>
  <w:num w:numId="10" w16cid:durableId="393116959">
    <w:abstractNumId w:val="9"/>
  </w:num>
  <w:num w:numId="11" w16cid:durableId="1195119262">
    <w:abstractNumId w:val="10"/>
  </w:num>
  <w:num w:numId="12" w16cid:durableId="439419977">
    <w:abstractNumId w:val="1"/>
  </w:num>
  <w:num w:numId="13" w16cid:durableId="190000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24843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E7"/>
    <w:rsid w:val="00004131"/>
    <w:rsid w:val="000069DF"/>
    <w:rsid w:val="000072E1"/>
    <w:rsid w:val="00014B68"/>
    <w:rsid w:val="000172C0"/>
    <w:rsid w:val="000258F6"/>
    <w:rsid w:val="00025FCD"/>
    <w:rsid w:val="00041D10"/>
    <w:rsid w:val="0004428A"/>
    <w:rsid w:val="00054CAB"/>
    <w:rsid w:val="000550D1"/>
    <w:rsid w:val="00055D0C"/>
    <w:rsid w:val="00056CDC"/>
    <w:rsid w:val="00061E3E"/>
    <w:rsid w:val="00062790"/>
    <w:rsid w:val="000720C6"/>
    <w:rsid w:val="00072793"/>
    <w:rsid w:val="00076DF3"/>
    <w:rsid w:val="00081256"/>
    <w:rsid w:val="000817DF"/>
    <w:rsid w:val="00082EAE"/>
    <w:rsid w:val="000868FE"/>
    <w:rsid w:val="00090E16"/>
    <w:rsid w:val="000C0939"/>
    <w:rsid w:val="000C6B63"/>
    <w:rsid w:val="000D6E16"/>
    <w:rsid w:val="000E043B"/>
    <w:rsid w:val="000E394D"/>
    <w:rsid w:val="000E5490"/>
    <w:rsid w:val="000F38F6"/>
    <w:rsid w:val="000F6D00"/>
    <w:rsid w:val="000F6EF1"/>
    <w:rsid w:val="001042DD"/>
    <w:rsid w:val="00110230"/>
    <w:rsid w:val="0013032E"/>
    <w:rsid w:val="00135247"/>
    <w:rsid w:val="0013607C"/>
    <w:rsid w:val="00137776"/>
    <w:rsid w:val="00140C93"/>
    <w:rsid w:val="001424CE"/>
    <w:rsid w:val="00147247"/>
    <w:rsid w:val="001501B3"/>
    <w:rsid w:val="001532AD"/>
    <w:rsid w:val="00156091"/>
    <w:rsid w:val="0016684F"/>
    <w:rsid w:val="00174C7B"/>
    <w:rsid w:val="001856F9"/>
    <w:rsid w:val="001967E0"/>
    <w:rsid w:val="001A272C"/>
    <w:rsid w:val="001A2C80"/>
    <w:rsid w:val="001A509F"/>
    <w:rsid w:val="001B4A25"/>
    <w:rsid w:val="001B5022"/>
    <w:rsid w:val="001B5EE4"/>
    <w:rsid w:val="001D28AA"/>
    <w:rsid w:val="001D5C1B"/>
    <w:rsid w:val="001E246F"/>
    <w:rsid w:val="001E2FB2"/>
    <w:rsid w:val="001E5473"/>
    <w:rsid w:val="001E7DA1"/>
    <w:rsid w:val="002012B7"/>
    <w:rsid w:val="0020667F"/>
    <w:rsid w:val="00214CD4"/>
    <w:rsid w:val="00215889"/>
    <w:rsid w:val="00215BE1"/>
    <w:rsid w:val="002266C3"/>
    <w:rsid w:val="0022681F"/>
    <w:rsid w:val="00232F6F"/>
    <w:rsid w:val="002353FD"/>
    <w:rsid w:val="00246D59"/>
    <w:rsid w:val="002535B9"/>
    <w:rsid w:val="00254365"/>
    <w:rsid w:val="002608C9"/>
    <w:rsid w:val="0026274E"/>
    <w:rsid w:val="00271BC3"/>
    <w:rsid w:val="00272988"/>
    <w:rsid w:val="00272E29"/>
    <w:rsid w:val="00274373"/>
    <w:rsid w:val="002757ED"/>
    <w:rsid w:val="002758CF"/>
    <w:rsid w:val="00280203"/>
    <w:rsid w:val="00283B74"/>
    <w:rsid w:val="002913ED"/>
    <w:rsid w:val="00296803"/>
    <w:rsid w:val="00296D14"/>
    <w:rsid w:val="002A4F5B"/>
    <w:rsid w:val="002B193D"/>
    <w:rsid w:val="002B7AF4"/>
    <w:rsid w:val="002C4D1D"/>
    <w:rsid w:val="002D4153"/>
    <w:rsid w:val="002E1C13"/>
    <w:rsid w:val="003207F0"/>
    <w:rsid w:val="003217E4"/>
    <w:rsid w:val="00327034"/>
    <w:rsid w:val="003350B7"/>
    <w:rsid w:val="003402D3"/>
    <w:rsid w:val="00340744"/>
    <w:rsid w:val="00355080"/>
    <w:rsid w:val="0035560E"/>
    <w:rsid w:val="00356516"/>
    <w:rsid w:val="00361C16"/>
    <w:rsid w:val="00364143"/>
    <w:rsid w:val="0037230B"/>
    <w:rsid w:val="0037296D"/>
    <w:rsid w:val="0038033E"/>
    <w:rsid w:val="003A2774"/>
    <w:rsid w:val="003A2A7C"/>
    <w:rsid w:val="003A7DB8"/>
    <w:rsid w:val="003B1258"/>
    <w:rsid w:val="003B1A12"/>
    <w:rsid w:val="003B7AB6"/>
    <w:rsid w:val="003C2238"/>
    <w:rsid w:val="003C7BB9"/>
    <w:rsid w:val="003F2803"/>
    <w:rsid w:val="003F58EF"/>
    <w:rsid w:val="00403843"/>
    <w:rsid w:val="00406212"/>
    <w:rsid w:val="00412386"/>
    <w:rsid w:val="004169DD"/>
    <w:rsid w:val="00416C0B"/>
    <w:rsid w:val="00420161"/>
    <w:rsid w:val="00431400"/>
    <w:rsid w:val="00437DF2"/>
    <w:rsid w:val="00442B88"/>
    <w:rsid w:val="00445CAB"/>
    <w:rsid w:val="00446D21"/>
    <w:rsid w:val="004535D5"/>
    <w:rsid w:val="004665F9"/>
    <w:rsid w:val="0046759E"/>
    <w:rsid w:val="0048700B"/>
    <w:rsid w:val="00487A40"/>
    <w:rsid w:val="004A3012"/>
    <w:rsid w:val="004A38DC"/>
    <w:rsid w:val="004A4F21"/>
    <w:rsid w:val="004A7E23"/>
    <w:rsid w:val="004C3D1F"/>
    <w:rsid w:val="004C40C6"/>
    <w:rsid w:val="004C53E7"/>
    <w:rsid w:val="004E44EE"/>
    <w:rsid w:val="004E4830"/>
    <w:rsid w:val="004E5410"/>
    <w:rsid w:val="004E55C1"/>
    <w:rsid w:val="004F3252"/>
    <w:rsid w:val="004F3593"/>
    <w:rsid w:val="0050726D"/>
    <w:rsid w:val="00511F29"/>
    <w:rsid w:val="005137CE"/>
    <w:rsid w:val="00514E23"/>
    <w:rsid w:val="005261DD"/>
    <w:rsid w:val="00536D84"/>
    <w:rsid w:val="00563421"/>
    <w:rsid w:val="00573228"/>
    <w:rsid w:val="00577DE9"/>
    <w:rsid w:val="00580056"/>
    <w:rsid w:val="00582FDC"/>
    <w:rsid w:val="00584447"/>
    <w:rsid w:val="00584DA3"/>
    <w:rsid w:val="005A2568"/>
    <w:rsid w:val="005A6D7F"/>
    <w:rsid w:val="005B0118"/>
    <w:rsid w:val="005B01E4"/>
    <w:rsid w:val="005B6E0E"/>
    <w:rsid w:val="005C1FF8"/>
    <w:rsid w:val="005C29F7"/>
    <w:rsid w:val="005D0C2A"/>
    <w:rsid w:val="005E79CB"/>
    <w:rsid w:val="005F279D"/>
    <w:rsid w:val="005F38A7"/>
    <w:rsid w:val="005F53BC"/>
    <w:rsid w:val="005F5958"/>
    <w:rsid w:val="00601231"/>
    <w:rsid w:val="006076B5"/>
    <w:rsid w:val="00607C31"/>
    <w:rsid w:val="006168AA"/>
    <w:rsid w:val="00617892"/>
    <w:rsid w:val="006213AF"/>
    <w:rsid w:val="006306D4"/>
    <w:rsid w:val="00632378"/>
    <w:rsid w:val="0063249B"/>
    <w:rsid w:val="006350AC"/>
    <w:rsid w:val="00650489"/>
    <w:rsid w:val="0065545D"/>
    <w:rsid w:val="00657370"/>
    <w:rsid w:val="00660115"/>
    <w:rsid w:val="0067272F"/>
    <w:rsid w:val="00676D2F"/>
    <w:rsid w:val="00677D2C"/>
    <w:rsid w:val="00690E9A"/>
    <w:rsid w:val="00692A5F"/>
    <w:rsid w:val="00692E32"/>
    <w:rsid w:val="006934DC"/>
    <w:rsid w:val="00695732"/>
    <w:rsid w:val="006969E8"/>
    <w:rsid w:val="006A0219"/>
    <w:rsid w:val="006A1D4D"/>
    <w:rsid w:val="006A4ED0"/>
    <w:rsid w:val="006C2186"/>
    <w:rsid w:val="006D7948"/>
    <w:rsid w:val="006E06A4"/>
    <w:rsid w:val="006E083D"/>
    <w:rsid w:val="006E11F9"/>
    <w:rsid w:val="006E1DA7"/>
    <w:rsid w:val="006E3612"/>
    <w:rsid w:val="006E3E44"/>
    <w:rsid w:val="006F0EC1"/>
    <w:rsid w:val="006F55E6"/>
    <w:rsid w:val="00714DC8"/>
    <w:rsid w:val="00716DF7"/>
    <w:rsid w:val="0072182B"/>
    <w:rsid w:val="00730238"/>
    <w:rsid w:val="007304B0"/>
    <w:rsid w:val="00733092"/>
    <w:rsid w:val="00734A88"/>
    <w:rsid w:val="007402BD"/>
    <w:rsid w:val="00741AE4"/>
    <w:rsid w:val="00747620"/>
    <w:rsid w:val="00751E25"/>
    <w:rsid w:val="00755FFA"/>
    <w:rsid w:val="00760CC4"/>
    <w:rsid w:val="0076195F"/>
    <w:rsid w:val="007628A0"/>
    <w:rsid w:val="00763729"/>
    <w:rsid w:val="007644A8"/>
    <w:rsid w:val="00776F61"/>
    <w:rsid w:val="00777795"/>
    <w:rsid w:val="0078229C"/>
    <w:rsid w:val="00786F27"/>
    <w:rsid w:val="00793BD3"/>
    <w:rsid w:val="007A375B"/>
    <w:rsid w:val="007C3161"/>
    <w:rsid w:val="007D61BC"/>
    <w:rsid w:val="007D68DB"/>
    <w:rsid w:val="007F0609"/>
    <w:rsid w:val="00802C82"/>
    <w:rsid w:val="0081044D"/>
    <w:rsid w:val="00817BEB"/>
    <w:rsid w:val="008240F0"/>
    <w:rsid w:val="00825185"/>
    <w:rsid w:val="008422B0"/>
    <w:rsid w:val="008423F6"/>
    <w:rsid w:val="008639F1"/>
    <w:rsid w:val="00864C42"/>
    <w:rsid w:val="00870EA6"/>
    <w:rsid w:val="00871D96"/>
    <w:rsid w:val="00873FF7"/>
    <w:rsid w:val="0088146E"/>
    <w:rsid w:val="008816B1"/>
    <w:rsid w:val="00883251"/>
    <w:rsid w:val="00895697"/>
    <w:rsid w:val="008A3132"/>
    <w:rsid w:val="008A331A"/>
    <w:rsid w:val="008A41C6"/>
    <w:rsid w:val="008A75AD"/>
    <w:rsid w:val="008C386D"/>
    <w:rsid w:val="008D0C9D"/>
    <w:rsid w:val="008E3DC8"/>
    <w:rsid w:val="008F1E63"/>
    <w:rsid w:val="008F38E6"/>
    <w:rsid w:val="00901CE2"/>
    <w:rsid w:val="0090258A"/>
    <w:rsid w:val="009169AB"/>
    <w:rsid w:val="00917E81"/>
    <w:rsid w:val="00920CEA"/>
    <w:rsid w:val="00922222"/>
    <w:rsid w:val="00922647"/>
    <w:rsid w:val="00924817"/>
    <w:rsid w:val="009342A5"/>
    <w:rsid w:val="009425E3"/>
    <w:rsid w:val="009465AE"/>
    <w:rsid w:val="00950250"/>
    <w:rsid w:val="0095122C"/>
    <w:rsid w:val="00960756"/>
    <w:rsid w:val="00963F7E"/>
    <w:rsid w:val="00972C57"/>
    <w:rsid w:val="00975043"/>
    <w:rsid w:val="0098105F"/>
    <w:rsid w:val="0098366F"/>
    <w:rsid w:val="0099384E"/>
    <w:rsid w:val="0099547D"/>
    <w:rsid w:val="00996954"/>
    <w:rsid w:val="009A2FDB"/>
    <w:rsid w:val="009A5DF3"/>
    <w:rsid w:val="009B4A30"/>
    <w:rsid w:val="009C41F2"/>
    <w:rsid w:val="009D3930"/>
    <w:rsid w:val="009D610D"/>
    <w:rsid w:val="009D6CC2"/>
    <w:rsid w:val="009E7254"/>
    <w:rsid w:val="009F1BD7"/>
    <w:rsid w:val="009F7750"/>
    <w:rsid w:val="00A028DF"/>
    <w:rsid w:val="00A07C83"/>
    <w:rsid w:val="00A1575F"/>
    <w:rsid w:val="00A350ED"/>
    <w:rsid w:val="00A36FFE"/>
    <w:rsid w:val="00A45A2A"/>
    <w:rsid w:val="00A5062C"/>
    <w:rsid w:val="00A6375B"/>
    <w:rsid w:val="00A66BF0"/>
    <w:rsid w:val="00A716B3"/>
    <w:rsid w:val="00A72170"/>
    <w:rsid w:val="00A82884"/>
    <w:rsid w:val="00A829F8"/>
    <w:rsid w:val="00A83201"/>
    <w:rsid w:val="00A85678"/>
    <w:rsid w:val="00A87493"/>
    <w:rsid w:val="00AA202E"/>
    <w:rsid w:val="00AA6274"/>
    <w:rsid w:val="00AB28DB"/>
    <w:rsid w:val="00AC2B5F"/>
    <w:rsid w:val="00AC2CDA"/>
    <w:rsid w:val="00AC3C3F"/>
    <w:rsid w:val="00AC6800"/>
    <w:rsid w:val="00AC7EA2"/>
    <w:rsid w:val="00AD1E41"/>
    <w:rsid w:val="00AE244C"/>
    <w:rsid w:val="00AF05B0"/>
    <w:rsid w:val="00AF6789"/>
    <w:rsid w:val="00B008BD"/>
    <w:rsid w:val="00B23BA5"/>
    <w:rsid w:val="00B334BA"/>
    <w:rsid w:val="00B33D76"/>
    <w:rsid w:val="00B37D09"/>
    <w:rsid w:val="00B4176A"/>
    <w:rsid w:val="00B44FE9"/>
    <w:rsid w:val="00B45252"/>
    <w:rsid w:val="00B45811"/>
    <w:rsid w:val="00B52DDF"/>
    <w:rsid w:val="00B65F0F"/>
    <w:rsid w:val="00B67D99"/>
    <w:rsid w:val="00B67EEA"/>
    <w:rsid w:val="00B76474"/>
    <w:rsid w:val="00B765A4"/>
    <w:rsid w:val="00B80A16"/>
    <w:rsid w:val="00B81ABE"/>
    <w:rsid w:val="00B8232C"/>
    <w:rsid w:val="00B94C60"/>
    <w:rsid w:val="00B95A30"/>
    <w:rsid w:val="00BB11D5"/>
    <w:rsid w:val="00BC0A8A"/>
    <w:rsid w:val="00BC24D9"/>
    <w:rsid w:val="00BC7324"/>
    <w:rsid w:val="00BD00A2"/>
    <w:rsid w:val="00BE2DAF"/>
    <w:rsid w:val="00BF1D13"/>
    <w:rsid w:val="00BF666D"/>
    <w:rsid w:val="00BF6E83"/>
    <w:rsid w:val="00C00A34"/>
    <w:rsid w:val="00C025BB"/>
    <w:rsid w:val="00C11937"/>
    <w:rsid w:val="00C16504"/>
    <w:rsid w:val="00C172D7"/>
    <w:rsid w:val="00C20112"/>
    <w:rsid w:val="00C22D11"/>
    <w:rsid w:val="00C233B2"/>
    <w:rsid w:val="00C255E4"/>
    <w:rsid w:val="00C25600"/>
    <w:rsid w:val="00C314BD"/>
    <w:rsid w:val="00C3549E"/>
    <w:rsid w:val="00C522AB"/>
    <w:rsid w:val="00C54F16"/>
    <w:rsid w:val="00C56FEF"/>
    <w:rsid w:val="00C60FE2"/>
    <w:rsid w:val="00C61775"/>
    <w:rsid w:val="00C6689F"/>
    <w:rsid w:val="00C73F4B"/>
    <w:rsid w:val="00C800B7"/>
    <w:rsid w:val="00C829A3"/>
    <w:rsid w:val="00C93E52"/>
    <w:rsid w:val="00CA6050"/>
    <w:rsid w:val="00CA6A06"/>
    <w:rsid w:val="00CB4BBC"/>
    <w:rsid w:val="00CB7A6F"/>
    <w:rsid w:val="00CC4C3F"/>
    <w:rsid w:val="00CD0117"/>
    <w:rsid w:val="00CD4055"/>
    <w:rsid w:val="00CD59AE"/>
    <w:rsid w:val="00CD6B5D"/>
    <w:rsid w:val="00CD7049"/>
    <w:rsid w:val="00CE0A06"/>
    <w:rsid w:val="00CE6588"/>
    <w:rsid w:val="00CF45E5"/>
    <w:rsid w:val="00CF56E8"/>
    <w:rsid w:val="00D05D5A"/>
    <w:rsid w:val="00D0632D"/>
    <w:rsid w:val="00D1310C"/>
    <w:rsid w:val="00D14542"/>
    <w:rsid w:val="00D1544A"/>
    <w:rsid w:val="00D17485"/>
    <w:rsid w:val="00D20608"/>
    <w:rsid w:val="00D2062E"/>
    <w:rsid w:val="00D232EB"/>
    <w:rsid w:val="00D26AAD"/>
    <w:rsid w:val="00D33A16"/>
    <w:rsid w:val="00D51EC6"/>
    <w:rsid w:val="00D609C2"/>
    <w:rsid w:val="00D73D08"/>
    <w:rsid w:val="00D7520A"/>
    <w:rsid w:val="00D835A6"/>
    <w:rsid w:val="00D86FB5"/>
    <w:rsid w:val="00DA2986"/>
    <w:rsid w:val="00DA474B"/>
    <w:rsid w:val="00DA68F2"/>
    <w:rsid w:val="00DA7DEF"/>
    <w:rsid w:val="00DC18CC"/>
    <w:rsid w:val="00DC48E9"/>
    <w:rsid w:val="00DC720D"/>
    <w:rsid w:val="00DD1185"/>
    <w:rsid w:val="00DD2917"/>
    <w:rsid w:val="00DE2FA8"/>
    <w:rsid w:val="00DF6BB7"/>
    <w:rsid w:val="00E019E4"/>
    <w:rsid w:val="00E04560"/>
    <w:rsid w:val="00E16EA7"/>
    <w:rsid w:val="00E21F5B"/>
    <w:rsid w:val="00E33620"/>
    <w:rsid w:val="00E4024F"/>
    <w:rsid w:val="00E51505"/>
    <w:rsid w:val="00E57007"/>
    <w:rsid w:val="00E61E89"/>
    <w:rsid w:val="00E65042"/>
    <w:rsid w:val="00E71AFD"/>
    <w:rsid w:val="00E71E68"/>
    <w:rsid w:val="00E72840"/>
    <w:rsid w:val="00E81264"/>
    <w:rsid w:val="00EA43D0"/>
    <w:rsid w:val="00EA47F7"/>
    <w:rsid w:val="00EC45AF"/>
    <w:rsid w:val="00ED2A8D"/>
    <w:rsid w:val="00ED6127"/>
    <w:rsid w:val="00ED6574"/>
    <w:rsid w:val="00EE29DA"/>
    <w:rsid w:val="00EE2B7C"/>
    <w:rsid w:val="00EE6684"/>
    <w:rsid w:val="00EF00F8"/>
    <w:rsid w:val="00EF3645"/>
    <w:rsid w:val="00F03178"/>
    <w:rsid w:val="00F20A3B"/>
    <w:rsid w:val="00F20B72"/>
    <w:rsid w:val="00F2139A"/>
    <w:rsid w:val="00F268DC"/>
    <w:rsid w:val="00F33398"/>
    <w:rsid w:val="00F417EF"/>
    <w:rsid w:val="00F46228"/>
    <w:rsid w:val="00F4688B"/>
    <w:rsid w:val="00F52394"/>
    <w:rsid w:val="00F6081E"/>
    <w:rsid w:val="00F64077"/>
    <w:rsid w:val="00F708C5"/>
    <w:rsid w:val="00F7547A"/>
    <w:rsid w:val="00F76C97"/>
    <w:rsid w:val="00F77CE0"/>
    <w:rsid w:val="00F8117D"/>
    <w:rsid w:val="00F91015"/>
    <w:rsid w:val="00F93963"/>
    <w:rsid w:val="00F94C19"/>
    <w:rsid w:val="00F954C9"/>
    <w:rsid w:val="00FA215D"/>
    <w:rsid w:val="00FA4316"/>
    <w:rsid w:val="00FA4457"/>
    <w:rsid w:val="00FA5014"/>
    <w:rsid w:val="00FA61DF"/>
    <w:rsid w:val="00FA643F"/>
    <w:rsid w:val="00FA68AC"/>
    <w:rsid w:val="00FC5FCD"/>
    <w:rsid w:val="00FD5C1D"/>
    <w:rsid w:val="00FE0D21"/>
    <w:rsid w:val="00FE626C"/>
    <w:rsid w:val="00FF0F34"/>
    <w:rsid w:val="02849DE5"/>
    <w:rsid w:val="02EF6DB1"/>
    <w:rsid w:val="033AB464"/>
    <w:rsid w:val="04504F12"/>
    <w:rsid w:val="06D19BAD"/>
    <w:rsid w:val="084A12D3"/>
    <w:rsid w:val="08983ED9"/>
    <w:rsid w:val="0B7BF311"/>
    <w:rsid w:val="0C67B942"/>
    <w:rsid w:val="0D656795"/>
    <w:rsid w:val="0EAB4E9E"/>
    <w:rsid w:val="0F0137F6"/>
    <w:rsid w:val="10A336C8"/>
    <w:rsid w:val="131E7916"/>
    <w:rsid w:val="1360EC3E"/>
    <w:rsid w:val="13DE6711"/>
    <w:rsid w:val="1988EF96"/>
    <w:rsid w:val="1C82D05F"/>
    <w:rsid w:val="1F9CF380"/>
    <w:rsid w:val="20FE17B4"/>
    <w:rsid w:val="21DF70F6"/>
    <w:rsid w:val="22A1C3A3"/>
    <w:rsid w:val="24C56779"/>
    <w:rsid w:val="25689051"/>
    <w:rsid w:val="25B79742"/>
    <w:rsid w:val="26DEE214"/>
    <w:rsid w:val="277534C6"/>
    <w:rsid w:val="28131BB4"/>
    <w:rsid w:val="2946AEE5"/>
    <w:rsid w:val="2BD815C5"/>
    <w:rsid w:val="2BF2AE77"/>
    <w:rsid w:val="2CA6BC4C"/>
    <w:rsid w:val="2CE48B92"/>
    <w:rsid w:val="2E532162"/>
    <w:rsid w:val="2EF07DDF"/>
    <w:rsid w:val="3227F37C"/>
    <w:rsid w:val="32FF3C3D"/>
    <w:rsid w:val="344B8247"/>
    <w:rsid w:val="35F31E79"/>
    <w:rsid w:val="36FCF364"/>
    <w:rsid w:val="387F1B83"/>
    <w:rsid w:val="388E89E0"/>
    <w:rsid w:val="3A01C387"/>
    <w:rsid w:val="3A58769A"/>
    <w:rsid w:val="3AFCD0F5"/>
    <w:rsid w:val="3BE3BBD5"/>
    <w:rsid w:val="3BF446FB"/>
    <w:rsid w:val="3ED534AA"/>
    <w:rsid w:val="3F13043F"/>
    <w:rsid w:val="3FFB2A2D"/>
    <w:rsid w:val="40CB698E"/>
    <w:rsid w:val="4168CA88"/>
    <w:rsid w:val="4304A581"/>
    <w:rsid w:val="441C4A7B"/>
    <w:rsid w:val="44209D2F"/>
    <w:rsid w:val="44A9D860"/>
    <w:rsid w:val="453349FB"/>
    <w:rsid w:val="474EF30F"/>
    <w:rsid w:val="47CB23D4"/>
    <w:rsid w:val="493BA2F9"/>
    <w:rsid w:val="49D89216"/>
    <w:rsid w:val="49FD5396"/>
    <w:rsid w:val="4B2C1189"/>
    <w:rsid w:val="52A0C455"/>
    <w:rsid w:val="53664BFF"/>
    <w:rsid w:val="5635348E"/>
    <w:rsid w:val="56730423"/>
    <w:rsid w:val="59DB139F"/>
    <w:rsid w:val="5B42A6F4"/>
    <w:rsid w:val="6102AA66"/>
    <w:rsid w:val="61C4D5E5"/>
    <w:rsid w:val="6258E348"/>
    <w:rsid w:val="62AFB59E"/>
    <w:rsid w:val="64A3575C"/>
    <w:rsid w:val="65B37B1A"/>
    <w:rsid w:val="65D8288C"/>
    <w:rsid w:val="697FB76D"/>
    <w:rsid w:val="69D6A10F"/>
    <w:rsid w:val="6A820A95"/>
    <w:rsid w:val="6B7D6A14"/>
    <w:rsid w:val="6BE0253E"/>
    <w:rsid w:val="6BF39E51"/>
    <w:rsid w:val="70B9516C"/>
    <w:rsid w:val="7331C8E6"/>
    <w:rsid w:val="7411B5B9"/>
    <w:rsid w:val="754D51D7"/>
    <w:rsid w:val="75D5BE3F"/>
    <w:rsid w:val="7734BF94"/>
    <w:rsid w:val="7A089E45"/>
    <w:rsid w:val="7C4A4600"/>
    <w:rsid w:val="7CE969C9"/>
    <w:rsid w:val="7DCC6E1F"/>
    <w:rsid w:val="7FCC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38E72"/>
  <w15:docId w15:val="{F9AF36B4-C3A2-4761-AEE6-AA0B2CAB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aliases w:val="Subtitle Cover Page,igunore,Paragraph 1,Equipment,Figure_name,Numbered Indented Text,List Paragraph Char Char Char,List Paragraph Char Char,List Paragraph1,RFP SUB Points,Use Case List Paragraph,b1,Bullet for no #'s,Body Bullet,lp1"/>
    <w:basedOn w:val="Normal"/>
    <w:link w:val="ListParagraphChar"/>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0"/>
    <w:qFormat/>
    <w:rsid w:val="003B1258"/>
    <w:pPr>
      <w:numPr>
        <w:ilvl w:val="3"/>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
    <w:qFormat/>
    <w:rsid w:val="003B1258"/>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3B1258"/>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0"/>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AU"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0756"/>
    <w:pPr>
      <w:spacing w:after="0" w:line="240" w:lineRule="auto"/>
    </w:pPr>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22647"/>
    <w:rPr>
      <w:b/>
      <w:bCs/>
    </w:rPr>
  </w:style>
  <w:style w:type="character" w:customStyle="1" w:styleId="CommentSubjectChar">
    <w:name w:val="Comment Subject Char"/>
    <w:basedOn w:val="CommentTextChar"/>
    <w:link w:val="CommentSubject"/>
    <w:uiPriority w:val="99"/>
    <w:semiHidden/>
    <w:rsid w:val="00922647"/>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5560E"/>
    <w:pPr>
      <w:tabs>
        <w:tab w:val="center" w:pos="4513"/>
        <w:tab w:val="right" w:pos="9026"/>
      </w:tabs>
    </w:pPr>
  </w:style>
  <w:style w:type="character" w:customStyle="1" w:styleId="HeaderChar">
    <w:name w:val="Header Char"/>
    <w:basedOn w:val="DefaultParagraphFont"/>
    <w:link w:val="Header"/>
    <w:uiPriority w:val="99"/>
    <w:rsid w:val="0035560E"/>
    <w:rPr>
      <w:rFonts w:ascii="Times New Roman" w:eastAsia="Times New Roman" w:hAnsi="Times New Roman" w:cs="Times New Roman"/>
      <w:sz w:val="20"/>
      <w:szCs w:val="20"/>
      <w:lang w:val="en-AU" w:eastAsia="en-GB"/>
    </w:rPr>
  </w:style>
  <w:style w:type="character" w:styleId="UnresolvedMention">
    <w:name w:val="Unresolved Mention"/>
    <w:basedOn w:val="DefaultParagraphFont"/>
    <w:uiPriority w:val="99"/>
    <w:semiHidden/>
    <w:unhideWhenUsed/>
    <w:rsid w:val="007C3161"/>
    <w:rPr>
      <w:color w:val="605E5C"/>
      <w:shd w:val="clear" w:color="auto" w:fill="E1DFDD"/>
    </w:rPr>
  </w:style>
  <w:style w:type="character" w:customStyle="1" w:styleId="CERLEVEL7Char">
    <w:name w:val="CER LEVEL 7 Char"/>
    <w:basedOn w:val="DefaultParagraphFont"/>
    <w:link w:val="CERLEVEL7"/>
    <w:rsid w:val="00917E81"/>
    <w:rPr>
      <w:rFonts w:ascii="Arial" w:eastAsia="Times New Roman" w:hAnsi="Arial" w:cs="Times New Roman"/>
      <w:lang w:val="en-US"/>
    </w:rPr>
  </w:style>
  <w:style w:type="character" w:customStyle="1" w:styleId="ListParagraphChar">
    <w:name w:val="List Paragraph Char"/>
    <w:aliases w:val="Subtitle Cover Page Char,igunore Char,Paragraph 1 Char,Equipment Char,Figure_name Char,Numbered Indented Text Char,List Paragraph Char Char Char Char,List Paragraph Char Char Char1,List Paragraph1 Char,RFP SUB Points Char,b1 Char"/>
    <w:link w:val="ListParagraph"/>
    <w:uiPriority w:val="34"/>
    <w:qFormat/>
    <w:locked/>
    <w:rsid w:val="00D7520A"/>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10075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mcommittee.com/files/semcommittee/2024-05/SEM-24-035%20ILC%20Decision%20Pap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competition/state_aid/cases/267880/267880_1948214_166_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pacityModifications@sem-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morrow@energia.ie" TargetMode="External"/><Relationship Id="rId5" Type="http://schemas.openxmlformats.org/officeDocument/2006/relationships/numbering" Target="numbering.xml"/><Relationship Id="rId15" Type="http://schemas.openxmlformats.org/officeDocument/2006/relationships/hyperlink" Target="https://www.semcommittee.com/files/semcommittee/2023-11/Refurbishment%20Consultation%20Paper.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mcommittee.com/files/semcommittee/2024-05/3.%20Energia%20response%20SEM-23-0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sultationCode xmlns="05a6d433-11d3-4d6a-b3a7-742156d3363a" xsi:nil="true"/>
    <Jurisdiction xmlns="05a6d433-11d3-4d6a-b3a7-742156d3363a" xsi:nil="true"/>
    <lcf76f155ced4ddcb4097134ff3c332f xmlns="05a6d433-11d3-4d6a-b3a7-742156d3363a">
      <Terms xmlns="http://schemas.microsoft.com/office/infopath/2007/PartnerControls"/>
    </lcf76f155ced4ddcb4097134ff3c332f>
    <Date xmlns="05a6d433-11d3-4d6a-b3a7-742156d3363a" xsi:nil="true"/>
    <TaxCatchAll xmlns="3f0876e3-f064-4a55-b8cf-9578f374b342" xsi:nil="true"/>
    <ConsultationArea xmlns="05a6d433-11d3-4d6a-b3a7-742156d336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56382DF927049B3CF2E3276D2C51B" ma:contentTypeVersion="21" ma:contentTypeDescription="Create a new document." ma:contentTypeScope="" ma:versionID="14583affacfd353fc60c97f0fe8dd8b6">
  <xsd:schema xmlns:xsd="http://www.w3.org/2001/XMLSchema" xmlns:xs="http://www.w3.org/2001/XMLSchema" xmlns:p="http://schemas.microsoft.com/office/2006/metadata/properties" xmlns:ns2="05a6d433-11d3-4d6a-b3a7-742156d3363a" xmlns:ns3="3f0876e3-f064-4a55-b8cf-9578f374b342" targetNamespace="http://schemas.microsoft.com/office/2006/metadata/properties" ma:root="true" ma:fieldsID="3f100f2f2324bf843519847151f91ec4" ns2:_="" ns3:_="">
    <xsd:import namespace="05a6d433-11d3-4d6a-b3a7-742156d3363a"/>
    <xsd:import namespace="3f0876e3-f064-4a55-b8cf-9578f374b3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3:TaxCatchAll" minOccurs="0"/>
                <xsd:element ref="ns2:Jurisdiction" minOccurs="0"/>
                <xsd:element ref="ns2:ConsultationCode" minOccurs="0"/>
                <xsd:element ref="ns2:ConsultationArea"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6d433-11d3-4d6a-b3a7-742156d33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e26019-6df8-4984-9b78-d061ae8daa56" ma:termSetId="09814cd3-568e-fe90-9814-8d621ff8fb84" ma:anchorId="fba54fb3-c3e1-fe81-a776-ca4b69148c4d" ma:open="true" ma:isKeyword="false">
      <xsd:complexType>
        <xsd:sequence>
          <xsd:element ref="pc:Terms" minOccurs="0" maxOccurs="1"/>
        </xsd:sequence>
      </xsd:complexType>
    </xsd:element>
    <xsd:element name="Jurisdiction" ma:index="23" nillable="true" ma:displayName="Jurisdiction" ma:description="ROI, NI or All Island (Ai)" ma:format="Dropdown" ma:internalName="Jurisdiction">
      <xsd:simpleType>
        <xsd:restriction base="dms:Choice">
          <xsd:enumeration value="ROI"/>
          <xsd:enumeration value="NI"/>
          <xsd:enumeration value="All Island"/>
          <xsd:enumeration value="EU, other"/>
        </xsd:restriction>
      </xsd:simpleType>
    </xsd:element>
    <xsd:element name="ConsultationCode" ma:index="24" nillable="true" ma:displayName="Consultation Code" ma:description="e.g. CRU XXXX" ma:format="Dropdown" ma:internalName="ConsultationCode">
      <xsd:simpleType>
        <xsd:restriction base="dms:Text">
          <xsd:maxLength value="255"/>
        </xsd:restriction>
      </xsd:simpleType>
    </xsd:element>
    <xsd:element name="ConsultationArea" ma:index="25" nillable="true" ma:displayName="Consultation Area" ma:format="Dropdown" ma:internalName="ConsultationArea">
      <xsd:simpleType>
        <xsd:restriction base="dms:Choice">
          <xsd:enumeration value="CMC"/>
          <xsd:enumeration value="DS3"/>
          <xsd:enumeration value="Smart Metering"/>
          <xsd:enumeration value="Renewables (CEP, RESS, PSO)"/>
          <xsd:enumeration value="Supplier Handbook"/>
          <xsd:enumeration value="Policy"/>
          <xsd:enumeration value="Retail"/>
          <xsd:enumeration value="Microgen"/>
          <xsd:enumeration value="Demand Strategy"/>
          <xsd:enumeration value="Renewable Energy Communities"/>
          <xsd:enumeration value="Obligation Schemes"/>
          <xsd:enumeration value="Climate"/>
          <xsd:enumeration value="Billing"/>
        </xsd:restriction>
      </xsd:simpleType>
    </xsd:element>
    <xsd:element name="Date" ma:index="26" nillable="true" ma:displayName="Date" ma:format="Dropdown" ma:internalName="Date">
      <xsd:simpleType>
        <xsd:restriction base="dms:Choice">
          <xsd:enumeration value="2021"/>
          <xsd:enumeration value="2022"/>
          <xsd:enumeration value="2023"/>
          <xsd:enumeration value="2024"/>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876e3-f064-4a55-b8cf-9578f374b3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4dffdf-aab0-4ac9-9a15-7de5d128af3f}" ma:internalName="TaxCatchAll" ma:showField="CatchAllData" ma:web="3f0876e3-f064-4a55-b8cf-9578f374b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FCE6-AE1B-4253-9D2A-6AD2EB5BB799}">
  <ds:schemaRefs>
    <ds:schemaRef ds:uri="http://schemas.microsoft.com/office/2006/metadata/properties"/>
    <ds:schemaRef ds:uri="http://schemas.microsoft.com/office/infopath/2007/PartnerControls"/>
    <ds:schemaRef ds:uri="05a6d433-11d3-4d6a-b3a7-742156d3363a"/>
    <ds:schemaRef ds:uri="3f0876e3-f064-4a55-b8cf-9578f374b342"/>
  </ds:schemaRefs>
</ds:datastoreItem>
</file>

<file path=customXml/itemProps2.xml><?xml version="1.0" encoding="utf-8"?>
<ds:datastoreItem xmlns:ds="http://schemas.openxmlformats.org/officeDocument/2006/customXml" ds:itemID="{CB1CFCF9-AE17-4FC0-93D9-8837F1573E8D}">
  <ds:schemaRefs>
    <ds:schemaRef ds:uri="http://schemas.microsoft.com/sharepoint/v3/contenttype/forms"/>
  </ds:schemaRefs>
</ds:datastoreItem>
</file>

<file path=customXml/itemProps3.xml><?xml version="1.0" encoding="utf-8"?>
<ds:datastoreItem xmlns:ds="http://schemas.openxmlformats.org/officeDocument/2006/customXml" ds:itemID="{5159C350-9DEE-4642-B0B4-79F89D16B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6d433-11d3-4d6a-b3a7-742156d3363a"/>
    <ds:schemaRef ds:uri="3f0876e3-f064-4a55-b8cf-9578f374b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D3647-901F-44F3-BEB0-FF4D2A2B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2702</Words>
  <Characters>15402</Characters>
  <Application>Microsoft Office Word</Application>
  <DocSecurity>0</DocSecurity>
  <Lines>128</Lines>
  <Paragraphs>36</Paragraphs>
  <ScaleCrop>false</ScaleCrop>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David</dc:creator>
  <cp:keywords/>
  <cp:lastModifiedBy>Linnane, Sandra</cp:lastModifiedBy>
  <cp:revision>2</cp:revision>
  <dcterms:created xsi:type="dcterms:W3CDTF">2024-06-26T13:22:00Z</dcterms:created>
  <dcterms:modified xsi:type="dcterms:W3CDTF">2024-06-26T13:22:00Z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e43ea0-dce2-40f6-9480-e1942f400725_Enabled">
    <vt:lpwstr>true</vt:lpwstr>
  </property>
  <property fmtid="{D5CDD505-2E9C-101B-9397-08002B2CF9AE}" pid="3" name="MSIP_Label_45e43ea0-dce2-40f6-9480-e1942f400725_SetDate">
    <vt:lpwstr>2024-05-09T12:35:33Z</vt:lpwstr>
  </property>
  <property fmtid="{D5CDD505-2E9C-101B-9397-08002B2CF9AE}" pid="4" name="MSIP_Label_45e43ea0-dce2-40f6-9480-e1942f400725_Method">
    <vt:lpwstr>Privileged</vt:lpwstr>
  </property>
  <property fmtid="{D5CDD505-2E9C-101B-9397-08002B2CF9AE}" pid="5" name="MSIP_Label_45e43ea0-dce2-40f6-9480-e1942f400725_Name">
    <vt:lpwstr>Internal</vt:lpwstr>
  </property>
  <property fmtid="{D5CDD505-2E9C-101B-9397-08002B2CF9AE}" pid="6" name="MSIP_Label_45e43ea0-dce2-40f6-9480-e1942f400725_SiteId">
    <vt:lpwstr>50908038-218c-44e8-a019-0a66fbe9abcf</vt:lpwstr>
  </property>
  <property fmtid="{D5CDD505-2E9C-101B-9397-08002B2CF9AE}" pid="7" name="MSIP_Label_45e43ea0-dce2-40f6-9480-e1942f400725_ActionId">
    <vt:lpwstr>675d5c44-946d-4ca6-9fae-cac01fae6a46</vt:lpwstr>
  </property>
  <property fmtid="{D5CDD505-2E9C-101B-9397-08002B2CF9AE}" pid="8" name="MSIP_Label_45e43ea0-dce2-40f6-9480-e1942f400725_ContentBits">
    <vt:lpwstr>0</vt:lpwstr>
  </property>
  <property fmtid="{D5CDD505-2E9C-101B-9397-08002B2CF9AE}" pid="9" name="ContentTypeId">
    <vt:lpwstr>0x01010026856382DF927049B3CF2E3276D2C51B</vt:lpwstr>
  </property>
  <property fmtid="{D5CDD505-2E9C-101B-9397-08002B2CF9AE}" pid="10" name="MediaServiceImageTags">
    <vt:lpwstr/>
  </property>
  <property fmtid="{D5CDD505-2E9C-101B-9397-08002B2CF9AE}" pid="11" name="MSIP_Label_4c99bc9a-9772-4b7e-bcf5-e39ce86bfb30_Enabled">
    <vt:lpwstr>true</vt:lpwstr>
  </property>
  <property fmtid="{D5CDD505-2E9C-101B-9397-08002B2CF9AE}" pid="12" name="MSIP_Label_4c99bc9a-9772-4b7e-bcf5-e39ce86bfb30_SetDate">
    <vt:lpwstr>2024-06-26T13:22:47Z</vt:lpwstr>
  </property>
  <property fmtid="{D5CDD505-2E9C-101B-9397-08002B2CF9AE}" pid="13" name="MSIP_Label_4c99bc9a-9772-4b7e-bcf5-e39ce86bfb30_Method">
    <vt:lpwstr>Standard</vt:lpwstr>
  </property>
  <property fmtid="{D5CDD505-2E9C-101B-9397-08002B2CF9AE}" pid="14" name="MSIP_Label_4c99bc9a-9772-4b7e-bcf5-e39ce86bfb30_Name">
    <vt:lpwstr>Internal</vt:lpwstr>
  </property>
  <property fmtid="{D5CDD505-2E9C-101B-9397-08002B2CF9AE}" pid="15" name="MSIP_Label_4c99bc9a-9772-4b7e-bcf5-e39ce86bfb30_SiteId">
    <vt:lpwstr>c1528ebb-73e5-4ac2-9d93-677ac4834cc5</vt:lpwstr>
  </property>
  <property fmtid="{D5CDD505-2E9C-101B-9397-08002B2CF9AE}" pid="16" name="MSIP_Label_4c99bc9a-9772-4b7e-bcf5-e39ce86bfb30_ActionId">
    <vt:lpwstr>91c7e9c2-773a-414f-a10f-79925254eb15</vt:lpwstr>
  </property>
  <property fmtid="{D5CDD505-2E9C-101B-9397-08002B2CF9AE}" pid="17" name="MSIP_Label_4c99bc9a-9772-4b7e-bcf5-e39ce86bfb30_ContentBits">
    <vt:lpwstr>0</vt:lpwstr>
  </property>
</Properties>
</file>