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FA6C1" w14:textId="77777777" w:rsidR="00EE2B7C" w:rsidRPr="00AD37E6" w:rsidRDefault="00EE2B7C">
      <w:pPr>
        <w:rPr>
          <w:rFonts w:ascii="Arial" w:hAnsi="Arial" w:cs="Arial"/>
          <w:sz w:val="22"/>
          <w:szCs w:val="2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AD37E6" w14:paraId="5DAA84DB" w14:textId="77777777" w:rsidTr="0013032E">
        <w:tc>
          <w:tcPr>
            <w:tcW w:w="9450" w:type="dxa"/>
            <w:gridSpan w:val="6"/>
            <w:shd w:val="clear" w:color="auto" w:fill="548DD4"/>
            <w:vAlign w:val="center"/>
          </w:tcPr>
          <w:p w14:paraId="72FCDADB" w14:textId="77777777" w:rsidR="004C53E7" w:rsidRPr="00AD37E6" w:rsidRDefault="004C53E7" w:rsidP="00EE2B7C">
            <w:pPr>
              <w:jc w:val="center"/>
              <w:rPr>
                <w:rFonts w:ascii="Arial" w:hAnsi="Arial" w:cs="Arial"/>
                <w:sz w:val="22"/>
                <w:szCs w:val="22"/>
                <w:lang w:val="en-IE"/>
              </w:rPr>
            </w:pPr>
          </w:p>
          <w:p w14:paraId="6964EBDB" w14:textId="77777777" w:rsidR="004C53E7" w:rsidRPr="00AD37E6" w:rsidRDefault="004C53E7" w:rsidP="00EE2B7C">
            <w:pPr>
              <w:jc w:val="center"/>
              <w:rPr>
                <w:rFonts w:ascii="Arial" w:hAnsi="Arial" w:cs="Arial"/>
                <w:sz w:val="22"/>
                <w:szCs w:val="22"/>
                <w:lang w:val="en-IE"/>
              </w:rPr>
            </w:pPr>
            <w:r w:rsidRPr="00AD37E6">
              <w:rPr>
                <w:rFonts w:ascii="Arial" w:hAnsi="Arial" w:cs="Arial"/>
                <w:b/>
                <w:sz w:val="22"/>
                <w:szCs w:val="22"/>
                <w:lang w:val="en-IE"/>
              </w:rPr>
              <w:t>MODIFICATION PROPOSAL FORM</w:t>
            </w:r>
          </w:p>
          <w:p w14:paraId="5FB92AC4" w14:textId="77777777" w:rsidR="004C53E7" w:rsidRPr="00AD37E6" w:rsidRDefault="004C53E7" w:rsidP="00EE2B7C">
            <w:pPr>
              <w:jc w:val="center"/>
              <w:rPr>
                <w:rFonts w:ascii="Arial" w:hAnsi="Arial" w:cs="Arial"/>
                <w:sz w:val="22"/>
                <w:szCs w:val="22"/>
                <w:lang w:val="en-IE"/>
              </w:rPr>
            </w:pPr>
          </w:p>
        </w:tc>
      </w:tr>
      <w:tr w:rsidR="004C53E7" w:rsidRPr="00AD37E6" w14:paraId="4D505580" w14:textId="77777777" w:rsidTr="0013032E">
        <w:tc>
          <w:tcPr>
            <w:tcW w:w="2070" w:type="dxa"/>
            <w:vAlign w:val="center"/>
          </w:tcPr>
          <w:p w14:paraId="71B7B5B9"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Proposer</w:t>
            </w:r>
          </w:p>
          <w:p w14:paraId="2FC37730" w14:textId="77777777" w:rsidR="004C53E7" w:rsidRPr="00AD37E6" w:rsidRDefault="004C53E7" w:rsidP="00EE2B7C">
            <w:pPr>
              <w:jc w:val="center"/>
              <w:rPr>
                <w:rFonts w:ascii="Arial" w:hAnsi="Arial" w:cs="Arial"/>
                <w:sz w:val="22"/>
                <w:szCs w:val="22"/>
                <w:lang w:val="en-IE"/>
              </w:rPr>
            </w:pPr>
            <w:r w:rsidRPr="00AD37E6">
              <w:rPr>
                <w:rFonts w:ascii="Arial" w:hAnsi="Arial" w:cs="Arial"/>
                <w:i/>
                <w:sz w:val="22"/>
                <w:szCs w:val="22"/>
                <w:lang w:val="en-IE"/>
              </w:rPr>
              <w:t>(Company)</w:t>
            </w:r>
          </w:p>
        </w:tc>
        <w:tc>
          <w:tcPr>
            <w:tcW w:w="2533" w:type="dxa"/>
            <w:gridSpan w:val="2"/>
            <w:vAlign w:val="center"/>
          </w:tcPr>
          <w:p w14:paraId="78C04560"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Date of receipt</w:t>
            </w:r>
          </w:p>
          <w:p w14:paraId="03326505" w14:textId="77777777" w:rsidR="004C53E7" w:rsidRPr="00AD37E6" w:rsidRDefault="004C53E7" w:rsidP="009342A5">
            <w:pPr>
              <w:jc w:val="center"/>
              <w:rPr>
                <w:rFonts w:ascii="Arial" w:hAnsi="Arial" w:cs="Arial"/>
                <w:sz w:val="22"/>
                <w:szCs w:val="22"/>
                <w:lang w:val="en-IE"/>
              </w:rPr>
            </w:pPr>
            <w:r w:rsidRPr="00AD37E6">
              <w:rPr>
                <w:rFonts w:ascii="Arial" w:hAnsi="Arial" w:cs="Arial"/>
                <w:i/>
                <w:sz w:val="22"/>
                <w:szCs w:val="22"/>
                <w:lang w:val="en-IE"/>
              </w:rPr>
              <w:t xml:space="preserve">(assigned by </w:t>
            </w:r>
            <w:r w:rsidR="009342A5" w:rsidRPr="00AD37E6">
              <w:rPr>
                <w:rFonts w:ascii="Arial" w:hAnsi="Arial" w:cs="Arial"/>
                <w:i/>
                <w:sz w:val="22"/>
                <w:szCs w:val="22"/>
                <w:lang w:val="en-IE"/>
              </w:rPr>
              <w:t>System Operator</w:t>
            </w:r>
            <w:r w:rsidRPr="00AD37E6">
              <w:rPr>
                <w:rFonts w:ascii="Arial" w:hAnsi="Arial" w:cs="Arial"/>
                <w:i/>
                <w:sz w:val="22"/>
                <w:szCs w:val="22"/>
                <w:lang w:val="en-IE"/>
              </w:rPr>
              <w:t>)</w:t>
            </w:r>
          </w:p>
        </w:tc>
        <w:tc>
          <w:tcPr>
            <w:tcW w:w="2311" w:type="dxa"/>
            <w:gridSpan w:val="2"/>
            <w:vAlign w:val="center"/>
          </w:tcPr>
          <w:p w14:paraId="3F5A2F15"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Type of Proposal</w:t>
            </w:r>
          </w:p>
          <w:p w14:paraId="01CD104D" w14:textId="77777777" w:rsidR="004C53E7" w:rsidRPr="00AD37E6" w:rsidRDefault="004C53E7" w:rsidP="00EE2B7C">
            <w:pPr>
              <w:jc w:val="center"/>
              <w:rPr>
                <w:rFonts w:ascii="Arial" w:hAnsi="Arial" w:cs="Arial"/>
                <w:sz w:val="22"/>
                <w:szCs w:val="22"/>
                <w:lang w:val="en-IE"/>
              </w:rPr>
            </w:pPr>
            <w:r w:rsidRPr="00AD37E6">
              <w:rPr>
                <w:rFonts w:ascii="Arial" w:hAnsi="Arial" w:cs="Arial"/>
                <w:bCs/>
                <w:i/>
                <w:sz w:val="22"/>
                <w:szCs w:val="22"/>
                <w:lang w:val="en-IE"/>
              </w:rPr>
              <w:t>(delete as appropriate)</w:t>
            </w:r>
          </w:p>
        </w:tc>
        <w:tc>
          <w:tcPr>
            <w:tcW w:w="2536" w:type="dxa"/>
            <w:vAlign w:val="center"/>
          </w:tcPr>
          <w:p w14:paraId="32F71205" w14:textId="77777777" w:rsidR="004C53E7" w:rsidRPr="00AD37E6" w:rsidRDefault="004C53E7" w:rsidP="00EE2B7C">
            <w:pPr>
              <w:jc w:val="center"/>
              <w:rPr>
                <w:rFonts w:ascii="Arial" w:hAnsi="Arial" w:cs="Arial"/>
                <w:color w:val="000000"/>
                <w:sz w:val="22"/>
                <w:szCs w:val="22"/>
                <w:lang w:val="en-IE"/>
              </w:rPr>
            </w:pPr>
            <w:r w:rsidRPr="00AD37E6">
              <w:rPr>
                <w:rFonts w:ascii="Arial" w:hAnsi="Arial" w:cs="Arial"/>
                <w:b/>
                <w:bCs/>
                <w:color w:val="000000"/>
                <w:sz w:val="22"/>
                <w:szCs w:val="22"/>
                <w:lang w:val="en-IE"/>
              </w:rPr>
              <w:t>Modification Proposal ID</w:t>
            </w:r>
          </w:p>
          <w:p w14:paraId="4B7B1E90" w14:textId="77777777" w:rsidR="004C53E7" w:rsidRPr="00AD37E6" w:rsidRDefault="004C53E7" w:rsidP="009342A5">
            <w:pPr>
              <w:jc w:val="center"/>
              <w:rPr>
                <w:rFonts w:ascii="Arial" w:hAnsi="Arial" w:cs="Arial"/>
                <w:sz w:val="22"/>
                <w:szCs w:val="22"/>
                <w:lang w:val="en-IE"/>
              </w:rPr>
            </w:pPr>
            <w:r w:rsidRPr="00AD37E6">
              <w:rPr>
                <w:rFonts w:ascii="Arial" w:hAnsi="Arial" w:cs="Arial"/>
                <w:i/>
                <w:sz w:val="22"/>
                <w:szCs w:val="22"/>
                <w:lang w:val="en-IE"/>
              </w:rPr>
              <w:t xml:space="preserve">(assigned by </w:t>
            </w:r>
            <w:r w:rsidR="009342A5" w:rsidRPr="00AD37E6">
              <w:rPr>
                <w:rFonts w:ascii="Arial" w:hAnsi="Arial" w:cs="Arial"/>
                <w:i/>
                <w:sz w:val="22"/>
                <w:szCs w:val="22"/>
                <w:lang w:val="en-IE"/>
              </w:rPr>
              <w:t>System Operator</w:t>
            </w:r>
            <w:r w:rsidRPr="00AD37E6">
              <w:rPr>
                <w:rFonts w:ascii="Arial" w:hAnsi="Arial" w:cs="Arial"/>
                <w:i/>
                <w:sz w:val="22"/>
                <w:szCs w:val="22"/>
                <w:lang w:val="en-IE"/>
              </w:rPr>
              <w:t>)</w:t>
            </w:r>
          </w:p>
        </w:tc>
      </w:tr>
      <w:tr w:rsidR="004C53E7" w:rsidRPr="00AD37E6" w14:paraId="1F39356E" w14:textId="77777777" w:rsidTr="0013032E">
        <w:tc>
          <w:tcPr>
            <w:tcW w:w="2070" w:type="dxa"/>
            <w:vAlign w:val="center"/>
          </w:tcPr>
          <w:p w14:paraId="1DECEB84" w14:textId="6D58F246" w:rsidR="004C53E7" w:rsidRPr="00AD37E6" w:rsidRDefault="00B47C97" w:rsidP="00EE2B7C">
            <w:pPr>
              <w:jc w:val="center"/>
              <w:rPr>
                <w:rFonts w:ascii="Arial" w:hAnsi="Arial" w:cs="Arial"/>
                <w:b/>
                <w:sz w:val="22"/>
                <w:szCs w:val="22"/>
                <w:lang w:val="en-IE"/>
              </w:rPr>
            </w:pPr>
            <w:r w:rsidRPr="00AD37E6">
              <w:rPr>
                <w:rFonts w:ascii="Arial" w:hAnsi="Arial" w:cs="Arial"/>
                <w:b/>
                <w:sz w:val="22"/>
                <w:szCs w:val="22"/>
                <w:lang w:val="en-IE"/>
              </w:rPr>
              <w:t>Tynagh Energy Limited</w:t>
            </w:r>
          </w:p>
        </w:tc>
        <w:tc>
          <w:tcPr>
            <w:tcW w:w="2533" w:type="dxa"/>
            <w:gridSpan w:val="2"/>
            <w:vAlign w:val="center"/>
          </w:tcPr>
          <w:p w14:paraId="2513DC87" w14:textId="09135264" w:rsidR="004C53E7" w:rsidRPr="00AD37E6" w:rsidRDefault="002D7959" w:rsidP="00EE2B7C">
            <w:pPr>
              <w:jc w:val="center"/>
              <w:rPr>
                <w:rFonts w:ascii="Arial" w:hAnsi="Arial" w:cs="Arial"/>
                <w:b/>
                <w:sz w:val="22"/>
                <w:szCs w:val="22"/>
                <w:lang w:val="en-IE"/>
              </w:rPr>
            </w:pPr>
            <w:r>
              <w:rPr>
                <w:rFonts w:ascii="Arial" w:hAnsi="Arial" w:cs="Arial"/>
                <w:b/>
                <w:sz w:val="22"/>
                <w:szCs w:val="22"/>
                <w:lang w:val="en-IE"/>
              </w:rPr>
              <w:t>07 November 2019</w:t>
            </w:r>
          </w:p>
        </w:tc>
        <w:tc>
          <w:tcPr>
            <w:tcW w:w="2311" w:type="dxa"/>
            <w:gridSpan w:val="2"/>
            <w:vAlign w:val="center"/>
          </w:tcPr>
          <w:p w14:paraId="05FFFC04" w14:textId="5B94BF09" w:rsidR="004C53E7" w:rsidRPr="00AD37E6" w:rsidRDefault="00100FD7" w:rsidP="00584447">
            <w:pPr>
              <w:jc w:val="center"/>
              <w:rPr>
                <w:rFonts w:ascii="Arial" w:hAnsi="Arial" w:cs="Arial"/>
                <w:b/>
                <w:sz w:val="22"/>
                <w:szCs w:val="22"/>
                <w:lang w:val="en-IE"/>
              </w:rPr>
            </w:pPr>
            <w:r>
              <w:rPr>
                <w:rFonts w:ascii="Arial" w:hAnsi="Arial" w:cs="Arial"/>
                <w:b/>
                <w:sz w:val="22"/>
                <w:szCs w:val="22"/>
                <w:lang w:val="en-IE"/>
              </w:rPr>
              <w:t>Provisional</w:t>
            </w:r>
          </w:p>
        </w:tc>
        <w:tc>
          <w:tcPr>
            <w:tcW w:w="2536" w:type="dxa"/>
            <w:vAlign w:val="center"/>
          </w:tcPr>
          <w:p w14:paraId="4873D82E" w14:textId="4CE33FA7" w:rsidR="004C53E7" w:rsidRPr="002D7959" w:rsidRDefault="002D7959" w:rsidP="00EE2B7C">
            <w:pPr>
              <w:jc w:val="center"/>
              <w:rPr>
                <w:rFonts w:ascii="Arial" w:hAnsi="Arial" w:cs="Arial"/>
                <w:b/>
                <w:color w:val="0D0D0D" w:themeColor="text1" w:themeTint="F2"/>
                <w:sz w:val="22"/>
                <w:szCs w:val="22"/>
                <w:lang w:val="en-IE"/>
              </w:rPr>
            </w:pPr>
            <w:r>
              <w:rPr>
                <w:rFonts w:ascii="Arial" w:hAnsi="Arial" w:cs="Arial"/>
                <w:b/>
                <w:color w:val="0D0D0D" w:themeColor="text1" w:themeTint="F2"/>
                <w:sz w:val="22"/>
                <w:szCs w:val="22"/>
                <w:lang w:val="en-IE"/>
              </w:rPr>
              <w:t>CMC_09_19</w:t>
            </w:r>
          </w:p>
        </w:tc>
      </w:tr>
      <w:tr w:rsidR="004C53E7" w:rsidRPr="00AD37E6" w14:paraId="15194639" w14:textId="77777777" w:rsidTr="0013032E">
        <w:trPr>
          <w:trHeight w:val="467"/>
        </w:trPr>
        <w:tc>
          <w:tcPr>
            <w:tcW w:w="9450" w:type="dxa"/>
            <w:gridSpan w:val="6"/>
            <w:shd w:val="clear" w:color="auto" w:fill="C6D9F1"/>
            <w:vAlign w:val="center"/>
          </w:tcPr>
          <w:p w14:paraId="70C372D5"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Contact Details for Modification Proposal Originator</w:t>
            </w:r>
          </w:p>
        </w:tc>
      </w:tr>
      <w:tr w:rsidR="004C53E7" w:rsidRPr="00AD37E6" w14:paraId="385E4A1B" w14:textId="77777777" w:rsidTr="0013032E">
        <w:tc>
          <w:tcPr>
            <w:tcW w:w="2925" w:type="dxa"/>
            <w:gridSpan w:val="2"/>
            <w:vAlign w:val="center"/>
          </w:tcPr>
          <w:p w14:paraId="05A7C177"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Name</w:t>
            </w:r>
          </w:p>
        </w:tc>
        <w:tc>
          <w:tcPr>
            <w:tcW w:w="2925" w:type="dxa"/>
            <w:gridSpan w:val="2"/>
            <w:vAlign w:val="center"/>
          </w:tcPr>
          <w:p w14:paraId="0FB5B405"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Telephone number</w:t>
            </w:r>
          </w:p>
        </w:tc>
        <w:tc>
          <w:tcPr>
            <w:tcW w:w="3600" w:type="dxa"/>
            <w:gridSpan w:val="2"/>
            <w:vAlign w:val="center"/>
          </w:tcPr>
          <w:p w14:paraId="48C7E9B9" w14:textId="77777777" w:rsidR="004C53E7" w:rsidRPr="00AD37E6" w:rsidRDefault="004C53E7" w:rsidP="00EE2B7C">
            <w:pPr>
              <w:jc w:val="center"/>
              <w:rPr>
                <w:rFonts w:ascii="Arial" w:hAnsi="Arial" w:cs="Arial"/>
                <w:sz w:val="22"/>
                <w:szCs w:val="22"/>
                <w:lang w:val="en-IE"/>
              </w:rPr>
            </w:pPr>
            <w:r w:rsidRPr="00AD37E6">
              <w:rPr>
                <w:rFonts w:ascii="Arial" w:hAnsi="Arial" w:cs="Arial"/>
                <w:b/>
                <w:bCs/>
                <w:sz w:val="22"/>
                <w:szCs w:val="22"/>
                <w:lang w:val="en-IE"/>
              </w:rPr>
              <w:t>Email address</w:t>
            </w:r>
          </w:p>
        </w:tc>
      </w:tr>
      <w:tr w:rsidR="004C53E7" w:rsidRPr="00AD37E6" w14:paraId="72B7A46B" w14:textId="77777777" w:rsidTr="0013032E">
        <w:tc>
          <w:tcPr>
            <w:tcW w:w="2925" w:type="dxa"/>
            <w:gridSpan w:val="2"/>
            <w:vAlign w:val="center"/>
          </w:tcPr>
          <w:p w14:paraId="144DB6DE" w14:textId="531E47F6" w:rsidR="004C53E7" w:rsidRPr="00AD37E6" w:rsidRDefault="00B47C97" w:rsidP="00EE2B7C">
            <w:pPr>
              <w:jc w:val="center"/>
              <w:rPr>
                <w:rFonts w:ascii="Arial" w:hAnsi="Arial" w:cs="Arial"/>
                <w:b/>
                <w:sz w:val="22"/>
                <w:szCs w:val="22"/>
                <w:lang w:val="en-IE"/>
              </w:rPr>
            </w:pPr>
            <w:r w:rsidRPr="00AD37E6">
              <w:rPr>
                <w:rFonts w:ascii="Arial" w:hAnsi="Arial" w:cs="Arial"/>
                <w:b/>
                <w:sz w:val="22"/>
                <w:szCs w:val="22"/>
                <w:lang w:val="en-IE"/>
              </w:rPr>
              <w:t>Cormac Daly</w:t>
            </w:r>
          </w:p>
        </w:tc>
        <w:tc>
          <w:tcPr>
            <w:tcW w:w="2925" w:type="dxa"/>
            <w:gridSpan w:val="2"/>
            <w:vAlign w:val="center"/>
          </w:tcPr>
          <w:p w14:paraId="046D19F3" w14:textId="454C7648" w:rsidR="004C53E7" w:rsidRPr="00AD37E6" w:rsidRDefault="004C53E7" w:rsidP="00EE2B7C">
            <w:pPr>
              <w:jc w:val="center"/>
              <w:rPr>
                <w:rFonts w:ascii="Arial" w:hAnsi="Arial" w:cs="Arial"/>
                <w:b/>
                <w:sz w:val="22"/>
                <w:szCs w:val="22"/>
                <w:lang w:val="en-IE"/>
              </w:rPr>
            </w:pPr>
            <w:bookmarkStart w:id="0" w:name="_GoBack"/>
            <w:bookmarkEnd w:id="0"/>
          </w:p>
        </w:tc>
        <w:tc>
          <w:tcPr>
            <w:tcW w:w="3600" w:type="dxa"/>
            <w:gridSpan w:val="2"/>
            <w:vAlign w:val="center"/>
          </w:tcPr>
          <w:p w14:paraId="688934B3" w14:textId="4D08D2F3" w:rsidR="00355080" w:rsidRPr="00AD37E6" w:rsidRDefault="00B47C97" w:rsidP="00355080">
            <w:pPr>
              <w:jc w:val="center"/>
              <w:rPr>
                <w:rFonts w:ascii="Arial" w:hAnsi="Arial" w:cs="Arial"/>
                <w:b/>
                <w:sz w:val="22"/>
                <w:szCs w:val="22"/>
                <w:lang w:val="en-IE"/>
              </w:rPr>
            </w:pPr>
            <w:r w:rsidRPr="00AD37E6">
              <w:rPr>
                <w:rFonts w:ascii="Arial" w:hAnsi="Arial" w:cs="Arial"/>
                <w:b/>
                <w:sz w:val="22"/>
                <w:szCs w:val="22"/>
                <w:lang w:val="en-IE"/>
              </w:rPr>
              <w:t>c.daly@tynaghenergy.ie</w:t>
            </w:r>
          </w:p>
        </w:tc>
      </w:tr>
      <w:tr w:rsidR="004C53E7" w:rsidRPr="00AD37E6" w14:paraId="475526B7" w14:textId="77777777" w:rsidTr="0013032E">
        <w:trPr>
          <w:trHeight w:val="327"/>
        </w:trPr>
        <w:tc>
          <w:tcPr>
            <w:tcW w:w="9450" w:type="dxa"/>
            <w:gridSpan w:val="6"/>
            <w:shd w:val="clear" w:color="auto" w:fill="C6D9F1"/>
            <w:vAlign w:val="center"/>
          </w:tcPr>
          <w:p w14:paraId="0A2BA492"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Modification Proposal Title</w:t>
            </w:r>
          </w:p>
        </w:tc>
      </w:tr>
      <w:tr w:rsidR="004C53E7" w:rsidRPr="00AD37E6" w14:paraId="2E7CE324" w14:textId="77777777" w:rsidTr="0013032E">
        <w:trPr>
          <w:trHeight w:val="323"/>
        </w:trPr>
        <w:tc>
          <w:tcPr>
            <w:tcW w:w="9450" w:type="dxa"/>
            <w:gridSpan w:val="6"/>
            <w:vAlign w:val="center"/>
          </w:tcPr>
          <w:p w14:paraId="28BB24BB" w14:textId="3ED53A80" w:rsidR="004C53E7" w:rsidRPr="00AD37E6" w:rsidRDefault="00F306AE" w:rsidP="00730238">
            <w:pPr>
              <w:jc w:val="center"/>
              <w:rPr>
                <w:rFonts w:ascii="Arial" w:hAnsi="Arial" w:cs="Arial"/>
                <w:b/>
                <w:sz w:val="22"/>
                <w:szCs w:val="22"/>
                <w:lang w:val="en-IE"/>
              </w:rPr>
            </w:pPr>
            <w:r>
              <w:rPr>
                <w:rFonts w:ascii="Arial" w:hAnsi="Arial" w:cs="Arial"/>
                <w:b/>
                <w:sz w:val="22"/>
                <w:szCs w:val="22"/>
                <w:lang w:val="en-IE"/>
              </w:rPr>
              <w:t xml:space="preserve">Supplementary </w:t>
            </w:r>
            <w:r w:rsidR="00B47C97" w:rsidRPr="00AD37E6">
              <w:rPr>
                <w:rFonts w:ascii="Arial" w:hAnsi="Arial" w:cs="Arial"/>
                <w:b/>
                <w:sz w:val="22"/>
                <w:szCs w:val="22"/>
                <w:lang w:val="en-IE"/>
              </w:rPr>
              <w:t>Interim Secondary Trading</w:t>
            </w:r>
          </w:p>
        </w:tc>
      </w:tr>
      <w:tr w:rsidR="004C53E7" w:rsidRPr="00AD37E6" w14:paraId="57F50614" w14:textId="77777777" w:rsidTr="0013032E">
        <w:tc>
          <w:tcPr>
            <w:tcW w:w="2925" w:type="dxa"/>
            <w:gridSpan w:val="2"/>
            <w:shd w:val="clear" w:color="auto" w:fill="C6D9F1"/>
            <w:vAlign w:val="center"/>
          </w:tcPr>
          <w:p w14:paraId="0822A151"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Documents affected</w:t>
            </w:r>
          </w:p>
          <w:p w14:paraId="33934D9C" w14:textId="77777777" w:rsidR="004C53E7" w:rsidRPr="00AD37E6" w:rsidRDefault="004C53E7" w:rsidP="00EE2B7C">
            <w:pPr>
              <w:jc w:val="center"/>
              <w:rPr>
                <w:rFonts w:ascii="Arial" w:hAnsi="Arial" w:cs="Arial"/>
                <w:b/>
                <w:bCs/>
                <w:sz w:val="22"/>
                <w:szCs w:val="22"/>
                <w:lang w:val="en-IE"/>
              </w:rPr>
            </w:pPr>
            <w:r w:rsidRPr="00AD37E6">
              <w:rPr>
                <w:rFonts w:ascii="Arial" w:hAnsi="Arial" w:cs="Arial"/>
                <w:i/>
                <w:sz w:val="22"/>
                <w:szCs w:val="22"/>
                <w:lang w:val="en-IE"/>
              </w:rPr>
              <w:t>(delete as appropriate)</w:t>
            </w:r>
          </w:p>
        </w:tc>
        <w:tc>
          <w:tcPr>
            <w:tcW w:w="2925" w:type="dxa"/>
            <w:gridSpan w:val="2"/>
            <w:shd w:val="clear" w:color="auto" w:fill="C6D9F1"/>
            <w:vAlign w:val="center"/>
          </w:tcPr>
          <w:p w14:paraId="35152174" w14:textId="77777777" w:rsidR="004C53E7" w:rsidRPr="00AD37E6" w:rsidRDefault="004C53E7" w:rsidP="00EE2B7C">
            <w:pPr>
              <w:jc w:val="center"/>
              <w:rPr>
                <w:rStyle w:val="IntenseEmphasis"/>
                <w:rFonts w:ascii="Arial" w:hAnsi="Arial" w:cs="Arial"/>
                <w:sz w:val="22"/>
                <w:szCs w:val="22"/>
                <w:lang w:val="en-IE"/>
              </w:rPr>
            </w:pPr>
            <w:r w:rsidRPr="00AD37E6">
              <w:rPr>
                <w:rFonts w:ascii="Arial" w:hAnsi="Arial" w:cs="Arial"/>
                <w:b/>
                <w:bCs/>
                <w:sz w:val="22"/>
                <w:szCs w:val="22"/>
                <w:lang w:val="en-IE"/>
              </w:rPr>
              <w:t>Section(s) Affected</w:t>
            </w:r>
          </w:p>
        </w:tc>
        <w:tc>
          <w:tcPr>
            <w:tcW w:w="3600" w:type="dxa"/>
            <w:gridSpan w:val="2"/>
            <w:shd w:val="clear" w:color="auto" w:fill="C6D9F1"/>
            <w:vAlign w:val="center"/>
          </w:tcPr>
          <w:p w14:paraId="06B1396F" w14:textId="77777777" w:rsidR="004C53E7" w:rsidRPr="00AD37E6" w:rsidRDefault="004C53E7" w:rsidP="009342A5">
            <w:pPr>
              <w:jc w:val="center"/>
              <w:rPr>
                <w:rStyle w:val="IntenseEmphasis"/>
                <w:rFonts w:ascii="Arial" w:hAnsi="Arial" w:cs="Arial"/>
                <w:sz w:val="22"/>
                <w:szCs w:val="22"/>
                <w:lang w:val="en-IE"/>
              </w:rPr>
            </w:pPr>
            <w:r w:rsidRPr="00AD37E6">
              <w:rPr>
                <w:rFonts w:ascii="Arial" w:hAnsi="Arial" w:cs="Arial"/>
                <w:b/>
                <w:sz w:val="22"/>
                <w:szCs w:val="22"/>
                <w:lang w:val="en-IE"/>
              </w:rPr>
              <w:t xml:space="preserve">Version number of </w:t>
            </w:r>
            <w:r w:rsidR="009342A5" w:rsidRPr="00AD37E6">
              <w:rPr>
                <w:rFonts w:ascii="Arial" w:hAnsi="Arial" w:cs="Arial"/>
                <w:b/>
                <w:sz w:val="22"/>
                <w:szCs w:val="22"/>
                <w:lang w:val="en-IE"/>
              </w:rPr>
              <w:t>CMC</w:t>
            </w:r>
            <w:r w:rsidRPr="00AD37E6">
              <w:rPr>
                <w:rFonts w:ascii="Arial" w:hAnsi="Arial" w:cs="Arial"/>
                <w:b/>
                <w:sz w:val="22"/>
                <w:szCs w:val="22"/>
                <w:lang w:val="en-IE"/>
              </w:rPr>
              <w:t xml:space="preserve"> used in Drafting</w:t>
            </w:r>
          </w:p>
        </w:tc>
      </w:tr>
      <w:tr w:rsidR="004C53E7" w:rsidRPr="00AD37E6" w14:paraId="5D4B5A8E" w14:textId="77777777" w:rsidTr="0013032E">
        <w:tc>
          <w:tcPr>
            <w:tcW w:w="2925" w:type="dxa"/>
            <w:gridSpan w:val="2"/>
            <w:shd w:val="clear" w:color="auto" w:fill="FFFFFF"/>
            <w:vAlign w:val="center"/>
          </w:tcPr>
          <w:p w14:paraId="6DF7144A" w14:textId="5C08B8D7" w:rsidR="004C53E7" w:rsidRPr="00AD37E6" w:rsidDel="00476388" w:rsidRDefault="00B47C97" w:rsidP="00EE2B7C">
            <w:pPr>
              <w:jc w:val="center"/>
              <w:rPr>
                <w:rFonts w:ascii="Arial" w:hAnsi="Arial" w:cs="Arial"/>
                <w:b/>
                <w:sz w:val="22"/>
                <w:szCs w:val="22"/>
                <w:lang w:val="en-IE"/>
              </w:rPr>
            </w:pPr>
            <w:r w:rsidRPr="00AD37E6">
              <w:rPr>
                <w:rFonts w:ascii="Arial" w:hAnsi="Arial" w:cs="Arial"/>
                <w:b/>
                <w:sz w:val="22"/>
                <w:szCs w:val="22"/>
                <w:lang w:val="en-IE"/>
              </w:rPr>
              <w:t>CMC</w:t>
            </w:r>
          </w:p>
        </w:tc>
        <w:tc>
          <w:tcPr>
            <w:tcW w:w="2925" w:type="dxa"/>
            <w:gridSpan w:val="2"/>
            <w:vAlign w:val="center"/>
          </w:tcPr>
          <w:p w14:paraId="3AD251B8" w14:textId="6A968D32" w:rsidR="004C53E7" w:rsidRPr="00AD37E6" w:rsidRDefault="00B47C97" w:rsidP="000069DF">
            <w:pPr>
              <w:jc w:val="center"/>
              <w:rPr>
                <w:rFonts w:ascii="Arial" w:hAnsi="Arial" w:cs="Arial"/>
                <w:b/>
                <w:sz w:val="22"/>
                <w:szCs w:val="22"/>
                <w:lang w:val="en-IE"/>
              </w:rPr>
            </w:pPr>
            <w:r w:rsidRPr="00AD37E6">
              <w:rPr>
                <w:rFonts w:ascii="Arial" w:hAnsi="Arial" w:cs="Arial"/>
                <w:b/>
                <w:sz w:val="22"/>
                <w:szCs w:val="22"/>
                <w:lang w:val="en-IE"/>
              </w:rPr>
              <w:t>M.10</w:t>
            </w:r>
          </w:p>
        </w:tc>
        <w:tc>
          <w:tcPr>
            <w:tcW w:w="3600" w:type="dxa"/>
            <w:gridSpan w:val="2"/>
            <w:vAlign w:val="center"/>
          </w:tcPr>
          <w:p w14:paraId="3195DCFB" w14:textId="77777777" w:rsidR="004C53E7" w:rsidRPr="00AD37E6" w:rsidRDefault="004C53E7" w:rsidP="00EE2B7C">
            <w:pPr>
              <w:jc w:val="center"/>
              <w:rPr>
                <w:rFonts w:ascii="Arial" w:hAnsi="Arial" w:cs="Arial"/>
                <w:b/>
                <w:sz w:val="22"/>
                <w:szCs w:val="22"/>
                <w:lang w:val="en-IE"/>
              </w:rPr>
            </w:pPr>
          </w:p>
        </w:tc>
      </w:tr>
      <w:tr w:rsidR="004C53E7" w:rsidRPr="00AD37E6" w14:paraId="7F4573CD" w14:textId="77777777" w:rsidTr="0013032E">
        <w:trPr>
          <w:trHeight w:val="375"/>
        </w:trPr>
        <w:tc>
          <w:tcPr>
            <w:tcW w:w="9450" w:type="dxa"/>
            <w:gridSpan w:val="6"/>
            <w:shd w:val="clear" w:color="auto" w:fill="C6D9F1"/>
            <w:vAlign w:val="center"/>
          </w:tcPr>
          <w:p w14:paraId="2EDDDD77" w14:textId="77777777" w:rsidR="004C53E7" w:rsidRPr="00AD37E6" w:rsidRDefault="004C53E7" w:rsidP="00EE2B7C">
            <w:pPr>
              <w:jc w:val="center"/>
              <w:rPr>
                <w:rFonts w:ascii="Arial" w:hAnsi="Arial" w:cs="Arial"/>
                <w:b/>
                <w:bCs/>
                <w:sz w:val="22"/>
                <w:szCs w:val="22"/>
                <w:lang w:val="en-IE"/>
              </w:rPr>
            </w:pPr>
            <w:r w:rsidRPr="00AD37E6">
              <w:rPr>
                <w:rFonts w:ascii="Arial" w:hAnsi="Arial" w:cs="Arial"/>
                <w:b/>
                <w:bCs/>
                <w:sz w:val="22"/>
                <w:szCs w:val="22"/>
                <w:lang w:val="en-IE"/>
              </w:rPr>
              <w:t>Explanation of Proposed Change</w:t>
            </w:r>
          </w:p>
          <w:p w14:paraId="1085FCF1" w14:textId="77777777" w:rsidR="004C53E7" w:rsidRPr="00AD37E6" w:rsidRDefault="004C53E7" w:rsidP="00EE2B7C">
            <w:pPr>
              <w:jc w:val="center"/>
              <w:rPr>
                <w:rFonts w:ascii="Arial" w:hAnsi="Arial" w:cs="Arial"/>
                <w:sz w:val="22"/>
                <w:szCs w:val="22"/>
                <w:lang w:val="en-IE"/>
              </w:rPr>
            </w:pPr>
            <w:r w:rsidRPr="00AD37E6">
              <w:rPr>
                <w:rFonts w:ascii="Arial" w:hAnsi="Arial" w:cs="Arial"/>
                <w:i/>
                <w:spacing w:val="-3"/>
                <w:sz w:val="22"/>
                <w:szCs w:val="22"/>
                <w:lang w:val="en-IE"/>
              </w:rPr>
              <w:t>(mandatory by originator)</w:t>
            </w:r>
          </w:p>
        </w:tc>
      </w:tr>
      <w:tr w:rsidR="004C53E7" w:rsidRPr="00AD37E6" w14:paraId="6E9F821E" w14:textId="77777777" w:rsidTr="0013032E">
        <w:trPr>
          <w:trHeight w:val="467"/>
        </w:trPr>
        <w:tc>
          <w:tcPr>
            <w:tcW w:w="9450" w:type="dxa"/>
            <w:gridSpan w:val="6"/>
            <w:vAlign w:val="center"/>
          </w:tcPr>
          <w:p w14:paraId="32DD1180" w14:textId="3DDE4F31" w:rsidR="005F13AE" w:rsidRDefault="005F13AE" w:rsidP="005F13AE">
            <w:pPr>
              <w:rPr>
                <w:rFonts w:ascii="Arial" w:hAnsi="Arial" w:cs="Arial"/>
                <w:i/>
                <w:iCs/>
                <w:sz w:val="22"/>
                <w:szCs w:val="22"/>
              </w:rPr>
            </w:pPr>
            <w:r w:rsidRPr="00AD37E6">
              <w:rPr>
                <w:rFonts w:ascii="Arial" w:hAnsi="Arial" w:cs="Arial"/>
                <w:i/>
                <w:iCs/>
                <w:sz w:val="22"/>
                <w:szCs w:val="22"/>
              </w:rPr>
              <w:t>Background</w:t>
            </w:r>
          </w:p>
          <w:p w14:paraId="1490F25B" w14:textId="77777777" w:rsidR="00AD37E6" w:rsidRPr="00AD37E6" w:rsidRDefault="00AD37E6" w:rsidP="005F13AE">
            <w:pPr>
              <w:rPr>
                <w:rFonts w:ascii="Arial" w:hAnsi="Arial" w:cs="Arial"/>
                <w:i/>
                <w:iCs/>
                <w:sz w:val="22"/>
                <w:szCs w:val="22"/>
              </w:rPr>
            </w:pPr>
          </w:p>
          <w:p w14:paraId="65F51AD0" w14:textId="77777777" w:rsidR="005F13AE" w:rsidRPr="00AD37E6" w:rsidRDefault="005F13AE" w:rsidP="005F13AE">
            <w:pPr>
              <w:spacing w:line="360" w:lineRule="auto"/>
              <w:rPr>
                <w:rFonts w:ascii="Arial" w:hAnsi="Arial" w:cs="Arial"/>
                <w:sz w:val="22"/>
                <w:szCs w:val="22"/>
              </w:rPr>
            </w:pPr>
            <w:r w:rsidRPr="00AD37E6">
              <w:rPr>
                <w:rFonts w:ascii="Arial" w:hAnsi="Arial" w:cs="Arial"/>
                <w:sz w:val="22"/>
                <w:szCs w:val="22"/>
              </w:rPr>
              <w:t>The Capacity Market Code (CMC) envisaged two ways to transfer RO Obligations:</w:t>
            </w:r>
          </w:p>
          <w:p w14:paraId="07128A10" w14:textId="77777777" w:rsidR="005F13AE" w:rsidRPr="00AD37E6" w:rsidRDefault="005F13AE" w:rsidP="004F1E04">
            <w:pPr>
              <w:pStyle w:val="ListParagraph"/>
              <w:numPr>
                <w:ilvl w:val="0"/>
                <w:numId w:val="8"/>
              </w:numPr>
              <w:overflowPunct/>
              <w:autoSpaceDE/>
              <w:autoSpaceDN/>
              <w:adjustRightInd/>
              <w:spacing w:line="360" w:lineRule="auto"/>
              <w:jc w:val="both"/>
              <w:textAlignment w:val="auto"/>
              <w:rPr>
                <w:rFonts w:ascii="Arial" w:hAnsi="Arial" w:cs="Arial"/>
                <w:sz w:val="22"/>
                <w:szCs w:val="22"/>
              </w:rPr>
            </w:pPr>
            <w:r w:rsidRPr="00AD37E6">
              <w:rPr>
                <w:rFonts w:ascii="Arial" w:hAnsi="Arial" w:cs="Arial"/>
                <w:sz w:val="22"/>
                <w:szCs w:val="22"/>
              </w:rPr>
              <w:t>Secondary Auctions (section H)</w:t>
            </w:r>
          </w:p>
          <w:p w14:paraId="6D473BE3" w14:textId="77777777" w:rsidR="005F13AE" w:rsidRPr="00AD37E6" w:rsidRDefault="005F13AE" w:rsidP="004F1E04">
            <w:pPr>
              <w:pStyle w:val="ListParagraph"/>
              <w:numPr>
                <w:ilvl w:val="0"/>
                <w:numId w:val="8"/>
              </w:numPr>
              <w:overflowPunct/>
              <w:autoSpaceDE/>
              <w:autoSpaceDN/>
              <w:adjustRightInd/>
              <w:spacing w:line="360" w:lineRule="auto"/>
              <w:jc w:val="both"/>
              <w:textAlignment w:val="auto"/>
              <w:rPr>
                <w:rFonts w:ascii="Arial" w:hAnsi="Arial" w:cs="Arial"/>
                <w:sz w:val="22"/>
                <w:szCs w:val="22"/>
              </w:rPr>
            </w:pPr>
            <w:r w:rsidRPr="00AD37E6">
              <w:rPr>
                <w:rFonts w:ascii="Arial" w:hAnsi="Arial" w:cs="Arial"/>
                <w:sz w:val="22"/>
                <w:szCs w:val="22"/>
              </w:rPr>
              <w:t>Assignment (B.21)</w:t>
            </w:r>
          </w:p>
          <w:p w14:paraId="60D15685" w14:textId="77777777" w:rsidR="005F13AE" w:rsidRPr="00AD37E6" w:rsidRDefault="005F13AE" w:rsidP="005F13AE">
            <w:pPr>
              <w:pStyle w:val="ListParagraph"/>
              <w:spacing w:line="360" w:lineRule="auto"/>
              <w:rPr>
                <w:rFonts w:ascii="Arial" w:hAnsi="Arial" w:cs="Arial"/>
                <w:sz w:val="22"/>
                <w:szCs w:val="22"/>
              </w:rPr>
            </w:pPr>
          </w:p>
          <w:p w14:paraId="0F49756A" w14:textId="5BD7B87E" w:rsidR="005F13AE" w:rsidRDefault="005F13AE" w:rsidP="005F13AE">
            <w:pPr>
              <w:spacing w:line="360" w:lineRule="auto"/>
              <w:rPr>
                <w:rFonts w:ascii="Arial" w:hAnsi="Arial" w:cs="Arial"/>
                <w:sz w:val="22"/>
                <w:szCs w:val="22"/>
              </w:rPr>
            </w:pPr>
            <w:r w:rsidRPr="00AD37E6">
              <w:rPr>
                <w:rFonts w:ascii="Arial" w:hAnsi="Arial" w:cs="Arial"/>
                <w:sz w:val="22"/>
                <w:szCs w:val="22"/>
              </w:rPr>
              <w:t xml:space="preserve">Prior to go-live it was clear that secondary auctions would not be available in time for the start of the market, at this stage </w:t>
            </w:r>
            <w:r w:rsidR="00BE7F2F">
              <w:rPr>
                <w:rFonts w:ascii="Arial" w:hAnsi="Arial" w:cs="Arial"/>
                <w:sz w:val="22"/>
                <w:szCs w:val="22"/>
              </w:rPr>
              <w:t>the SEMO roadmap indicates that CRM secondary trading will be assessed in 2021</w:t>
            </w:r>
            <w:r w:rsidRPr="00AD37E6">
              <w:rPr>
                <w:rFonts w:ascii="Arial" w:hAnsi="Arial" w:cs="Arial"/>
                <w:sz w:val="22"/>
                <w:szCs w:val="22"/>
              </w:rPr>
              <w:t xml:space="preserve">. As the secondary market was not available at go-live the RA’s introduced an opt out for </w:t>
            </w:r>
            <w:r w:rsidR="008C496E" w:rsidRPr="00AD37E6">
              <w:rPr>
                <w:rFonts w:ascii="Arial" w:hAnsi="Arial" w:cs="Arial"/>
                <w:sz w:val="22"/>
                <w:szCs w:val="22"/>
              </w:rPr>
              <w:t>units</w:t>
            </w:r>
            <w:r w:rsidRPr="00AD37E6">
              <w:rPr>
                <w:rFonts w:ascii="Arial" w:hAnsi="Arial" w:cs="Arial"/>
                <w:sz w:val="22"/>
                <w:szCs w:val="22"/>
              </w:rPr>
              <w:t xml:space="preserve"> who were undergoing a planned outage (M.7). If a participant notified </w:t>
            </w:r>
            <w:proofErr w:type="spellStart"/>
            <w:r w:rsidRPr="00AD37E6">
              <w:rPr>
                <w:rFonts w:ascii="Arial" w:hAnsi="Arial" w:cs="Arial"/>
                <w:sz w:val="22"/>
                <w:szCs w:val="22"/>
              </w:rPr>
              <w:t>Eirgrid</w:t>
            </w:r>
            <w:proofErr w:type="spellEnd"/>
            <w:r w:rsidRPr="00AD37E6">
              <w:rPr>
                <w:rFonts w:ascii="Arial" w:hAnsi="Arial" w:cs="Arial"/>
                <w:sz w:val="22"/>
                <w:szCs w:val="22"/>
              </w:rPr>
              <w:t xml:space="preserve"> nine days prior to the month that they were going on scheduled outage, then they would be allowed opt out of their obligation and therefore would not carry the risk </w:t>
            </w:r>
            <w:r w:rsidR="002F2010">
              <w:rPr>
                <w:rFonts w:ascii="Arial" w:hAnsi="Arial" w:cs="Arial"/>
                <w:sz w:val="22"/>
                <w:szCs w:val="22"/>
              </w:rPr>
              <w:t>and</w:t>
            </w:r>
            <w:r w:rsidRPr="00AD37E6">
              <w:rPr>
                <w:rFonts w:ascii="Arial" w:hAnsi="Arial" w:cs="Arial"/>
                <w:sz w:val="22"/>
                <w:szCs w:val="22"/>
              </w:rPr>
              <w:t xml:space="preserve"> get paid the RO payment.</w:t>
            </w:r>
          </w:p>
          <w:p w14:paraId="7DCDADC2" w14:textId="77777777" w:rsidR="00F27C65" w:rsidRDefault="00F27C65" w:rsidP="005F13AE">
            <w:pPr>
              <w:spacing w:line="360" w:lineRule="auto"/>
              <w:rPr>
                <w:rFonts w:ascii="Arial" w:hAnsi="Arial" w:cs="Arial"/>
                <w:sz w:val="22"/>
                <w:szCs w:val="22"/>
              </w:rPr>
            </w:pPr>
          </w:p>
          <w:p w14:paraId="442B6EF6" w14:textId="4A1AE2D9" w:rsidR="00F27C65" w:rsidRDefault="00F27C65" w:rsidP="005F13AE">
            <w:pPr>
              <w:spacing w:line="360" w:lineRule="auto"/>
              <w:rPr>
                <w:rFonts w:ascii="Arial" w:hAnsi="Arial" w:cs="Arial"/>
                <w:sz w:val="22"/>
                <w:szCs w:val="22"/>
              </w:rPr>
            </w:pPr>
            <w:r>
              <w:rPr>
                <w:rFonts w:ascii="Arial" w:hAnsi="Arial" w:cs="Arial"/>
                <w:sz w:val="22"/>
                <w:szCs w:val="22"/>
              </w:rPr>
              <w:t xml:space="preserve">According to Recital 51 of the State aid Decision, Reliability Options will be tradable on the Secondary Market by Q4 2018. This has passed. This modification will allow the Code to </w:t>
            </w:r>
            <w:r w:rsidR="002D32C2">
              <w:rPr>
                <w:rFonts w:ascii="Arial" w:hAnsi="Arial" w:cs="Arial"/>
                <w:sz w:val="22"/>
                <w:szCs w:val="22"/>
              </w:rPr>
              <w:t>comply</w:t>
            </w:r>
            <w:r>
              <w:rPr>
                <w:rFonts w:ascii="Arial" w:hAnsi="Arial" w:cs="Arial"/>
                <w:sz w:val="22"/>
                <w:szCs w:val="22"/>
              </w:rPr>
              <w:t xml:space="preserve"> the Decision.</w:t>
            </w:r>
          </w:p>
          <w:p w14:paraId="62B0F516" w14:textId="77777777" w:rsidR="00F27C65" w:rsidRDefault="00F27C65" w:rsidP="005F13AE">
            <w:pPr>
              <w:spacing w:line="360" w:lineRule="auto"/>
              <w:rPr>
                <w:rFonts w:ascii="Arial" w:hAnsi="Arial" w:cs="Arial"/>
                <w:sz w:val="22"/>
                <w:szCs w:val="22"/>
              </w:rPr>
            </w:pPr>
          </w:p>
          <w:p w14:paraId="102A0AD9" w14:textId="6A8C3665" w:rsidR="005F13AE" w:rsidRPr="00AD37E6" w:rsidRDefault="00F27C65" w:rsidP="005F13AE">
            <w:pPr>
              <w:spacing w:line="360" w:lineRule="auto"/>
              <w:rPr>
                <w:rFonts w:ascii="Arial" w:hAnsi="Arial" w:cs="Arial"/>
                <w:sz w:val="22"/>
                <w:szCs w:val="22"/>
              </w:rPr>
            </w:pPr>
            <w:r>
              <w:rPr>
                <w:rFonts w:ascii="Arial" w:hAnsi="Arial" w:cs="Arial"/>
                <w:sz w:val="22"/>
                <w:szCs w:val="22"/>
              </w:rPr>
              <w:t>The Modification will also contribute to Security of Supply, as it will ensure that the effective obligation is the cleared capacity.</w:t>
            </w:r>
            <w:r w:rsidR="005B0926">
              <w:rPr>
                <w:rFonts w:ascii="Arial" w:hAnsi="Arial" w:cs="Arial"/>
                <w:sz w:val="22"/>
                <w:szCs w:val="22"/>
              </w:rPr>
              <w:t xml:space="preserve"> </w:t>
            </w:r>
            <w:r>
              <w:rPr>
                <w:rFonts w:ascii="Arial" w:hAnsi="Arial" w:cs="Arial"/>
                <w:sz w:val="22"/>
                <w:szCs w:val="22"/>
              </w:rPr>
              <w:t xml:space="preserve">The current </w:t>
            </w:r>
            <w:r w:rsidR="00A03BA1">
              <w:rPr>
                <w:rFonts w:ascii="Arial" w:hAnsi="Arial" w:cs="Arial"/>
                <w:sz w:val="22"/>
                <w:szCs w:val="22"/>
              </w:rPr>
              <w:t xml:space="preserve">interim </w:t>
            </w:r>
            <w:r>
              <w:rPr>
                <w:rFonts w:ascii="Arial" w:hAnsi="Arial" w:cs="Arial"/>
                <w:sz w:val="22"/>
                <w:szCs w:val="22"/>
              </w:rPr>
              <w:t xml:space="preserve">solution does not provide </w:t>
            </w:r>
            <w:r w:rsidR="005F13AE" w:rsidRPr="00AD37E6">
              <w:rPr>
                <w:rFonts w:ascii="Arial" w:hAnsi="Arial" w:cs="Arial"/>
                <w:sz w:val="22"/>
                <w:szCs w:val="22"/>
              </w:rPr>
              <w:t xml:space="preserve">the </w:t>
            </w:r>
            <w:r w:rsidR="002F2010">
              <w:rPr>
                <w:rFonts w:ascii="Arial" w:hAnsi="Arial" w:cs="Arial"/>
                <w:sz w:val="22"/>
                <w:szCs w:val="22"/>
              </w:rPr>
              <w:t>benefits</w:t>
            </w:r>
            <w:r w:rsidR="005F13AE" w:rsidRPr="00AD37E6">
              <w:rPr>
                <w:rFonts w:ascii="Arial" w:hAnsi="Arial" w:cs="Arial"/>
                <w:sz w:val="22"/>
                <w:szCs w:val="22"/>
              </w:rPr>
              <w:t xml:space="preserve"> of RO trading either bilaterally or through auctions, as there will be no </w:t>
            </w:r>
            <w:r w:rsidR="002F2010">
              <w:rPr>
                <w:rFonts w:ascii="Arial" w:hAnsi="Arial" w:cs="Arial"/>
                <w:sz w:val="22"/>
                <w:szCs w:val="22"/>
              </w:rPr>
              <w:t xml:space="preserve">additional </w:t>
            </w:r>
            <w:r w:rsidR="005F13AE" w:rsidRPr="00AD37E6">
              <w:rPr>
                <w:rFonts w:ascii="Arial" w:hAnsi="Arial" w:cs="Arial"/>
                <w:sz w:val="22"/>
                <w:szCs w:val="22"/>
              </w:rPr>
              <w:t>revenue for participants when there is an outage</w:t>
            </w:r>
            <w:r>
              <w:rPr>
                <w:rFonts w:ascii="Arial" w:hAnsi="Arial" w:cs="Arial"/>
                <w:sz w:val="22"/>
                <w:szCs w:val="22"/>
              </w:rPr>
              <w:t>.</w:t>
            </w:r>
            <w:r w:rsidR="005F13AE" w:rsidRPr="00AD37E6">
              <w:rPr>
                <w:rFonts w:ascii="Arial" w:hAnsi="Arial" w:cs="Arial"/>
                <w:sz w:val="22"/>
                <w:szCs w:val="22"/>
              </w:rPr>
              <w:t xml:space="preserve"> </w:t>
            </w:r>
          </w:p>
          <w:p w14:paraId="37EEE82C" w14:textId="77777777" w:rsidR="005F13AE" w:rsidRPr="00AD37E6" w:rsidRDefault="005F13AE" w:rsidP="005F13AE">
            <w:pPr>
              <w:spacing w:line="360" w:lineRule="auto"/>
              <w:rPr>
                <w:rFonts w:ascii="Arial" w:hAnsi="Arial" w:cs="Arial"/>
                <w:sz w:val="22"/>
                <w:szCs w:val="22"/>
              </w:rPr>
            </w:pPr>
          </w:p>
          <w:p w14:paraId="48B5C22B" w14:textId="6A0A7EB0" w:rsidR="00332195" w:rsidRDefault="005F13AE" w:rsidP="005F13AE">
            <w:pPr>
              <w:spacing w:line="360" w:lineRule="auto"/>
              <w:rPr>
                <w:rFonts w:ascii="Arial" w:hAnsi="Arial" w:cs="Arial"/>
                <w:sz w:val="22"/>
                <w:szCs w:val="22"/>
              </w:rPr>
            </w:pPr>
            <w:r w:rsidRPr="00AD37E6">
              <w:rPr>
                <w:rFonts w:ascii="Arial" w:hAnsi="Arial" w:cs="Arial"/>
                <w:sz w:val="22"/>
                <w:szCs w:val="22"/>
              </w:rPr>
              <w:t xml:space="preserve">It is not possible to have a secondary financial agreement outside of the market due to the way the capacity obligation is handled. </w:t>
            </w:r>
            <w:r w:rsidR="002F2010">
              <w:rPr>
                <w:rFonts w:ascii="Arial" w:hAnsi="Arial" w:cs="Arial"/>
                <w:sz w:val="22"/>
                <w:szCs w:val="22"/>
              </w:rPr>
              <w:t xml:space="preserve"> </w:t>
            </w:r>
            <w:r w:rsidRPr="00AD37E6">
              <w:rPr>
                <w:rFonts w:ascii="Arial" w:hAnsi="Arial" w:cs="Arial"/>
                <w:sz w:val="22"/>
                <w:szCs w:val="22"/>
              </w:rPr>
              <w:t>Currently a participant’s obligation is managed by the TSO being able to ratchet the exposure depending on the point of power sales. I.e. if a participant sells Day Ahead to a value greater than their load following obligation then they will not be exposed if the</w:t>
            </w:r>
            <w:r w:rsidR="00CD7AE7">
              <w:rPr>
                <w:rFonts w:ascii="Arial" w:hAnsi="Arial" w:cs="Arial"/>
                <w:sz w:val="22"/>
                <w:szCs w:val="22"/>
              </w:rPr>
              <w:t xml:space="preserve">re is a pricing event </w:t>
            </w:r>
            <w:r w:rsidRPr="00AD37E6">
              <w:rPr>
                <w:rFonts w:ascii="Arial" w:hAnsi="Arial" w:cs="Arial"/>
                <w:sz w:val="22"/>
                <w:szCs w:val="22"/>
              </w:rPr>
              <w:t xml:space="preserve">in the Balancing Market. This is because the TSO have this obligation as a registered obligation and track the point of sales. </w:t>
            </w:r>
            <w:r w:rsidR="002F2010">
              <w:rPr>
                <w:rFonts w:ascii="Arial" w:hAnsi="Arial" w:cs="Arial"/>
                <w:sz w:val="22"/>
                <w:szCs w:val="22"/>
              </w:rPr>
              <w:t xml:space="preserve"> </w:t>
            </w:r>
            <w:r w:rsidRPr="00AD37E6">
              <w:rPr>
                <w:rFonts w:ascii="Arial" w:hAnsi="Arial" w:cs="Arial"/>
                <w:sz w:val="22"/>
                <w:szCs w:val="22"/>
              </w:rPr>
              <w:t>But with a purely financial deal, the obligation is not registered</w:t>
            </w:r>
            <w:r w:rsidR="00332195">
              <w:rPr>
                <w:rFonts w:ascii="Arial" w:hAnsi="Arial" w:cs="Arial"/>
                <w:sz w:val="22"/>
                <w:szCs w:val="22"/>
              </w:rPr>
              <w:t xml:space="preserve"> and transferred from Participant A to Participant B</w:t>
            </w:r>
            <w:r w:rsidRPr="00AD37E6">
              <w:rPr>
                <w:rFonts w:ascii="Arial" w:hAnsi="Arial" w:cs="Arial"/>
                <w:sz w:val="22"/>
                <w:szCs w:val="22"/>
              </w:rPr>
              <w:t xml:space="preserve">. </w:t>
            </w:r>
          </w:p>
          <w:p w14:paraId="634DA272" w14:textId="0CEA3455" w:rsidR="005F13AE" w:rsidRPr="00AD37E6" w:rsidRDefault="005F13AE" w:rsidP="005F13AE">
            <w:pPr>
              <w:spacing w:line="360" w:lineRule="auto"/>
              <w:rPr>
                <w:rFonts w:ascii="Arial" w:hAnsi="Arial" w:cs="Arial"/>
                <w:sz w:val="22"/>
                <w:szCs w:val="22"/>
              </w:rPr>
            </w:pPr>
            <w:r w:rsidRPr="00AD37E6">
              <w:rPr>
                <w:rFonts w:ascii="Arial" w:hAnsi="Arial" w:cs="Arial"/>
                <w:sz w:val="22"/>
                <w:szCs w:val="22"/>
              </w:rPr>
              <w:t>If Participant A had an agreement with Participant B</w:t>
            </w:r>
            <w:r w:rsidR="00BE7F2F">
              <w:rPr>
                <w:rFonts w:ascii="Arial" w:hAnsi="Arial" w:cs="Arial"/>
                <w:sz w:val="22"/>
                <w:szCs w:val="22"/>
              </w:rPr>
              <w:t xml:space="preserve"> (who are on an outage)</w:t>
            </w:r>
            <w:r w:rsidRPr="00AD37E6">
              <w:rPr>
                <w:rFonts w:ascii="Arial" w:hAnsi="Arial" w:cs="Arial"/>
                <w:sz w:val="22"/>
                <w:szCs w:val="22"/>
              </w:rPr>
              <w:t xml:space="preserve"> for instance, then this could be illustrated as follows:</w:t>
            </w:r>
          </w:p>
          <w:p w14:paraId="345DCDAD" w14:textId="77777777" w:rsidR="005F13AE" w:rsidRPr="00AD37E6" w:rsidRDefault="005F13AE" w:rsidP="005F13AE">
            <w:pPr>
              <w:spacing w:line="360" w:lineRule="auto"/>
              <w:rPr>
                <w:rFonts w:ascii="Arial" w:hAnsi="Arial" w:cs="Arial"/>
                <w:sz w:val="22"/>
                <w:szCs w:val="22"/>
              </w:rPr>
            </w:pPr>
            <w:r w:rsidRPr="00AD37E6">
              <w:rPr>
                <w:rFonts w:ascii="Arial" w:hAnsi="Arial" w:cs="Arial"/>
                <w:noProof/>
                <w:sz w:val="22"/>
                <w:szCs w:val="22"/>
                <w:lang w:val="en-IE" w:eastAsia="en-IE"/>
              </w:rPr>
              <w:drawing>
                <wp:inline distT="0" distB="0" distL="0" distR="0" wp14:anchorId="429B519D" wp14:editId="5B96CCAD">
                  <wp:extent cx="4559935" cy="2865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935" cy="2865120"/>
                          </a:xfrm>
                          <a:prstGeom prst="rect">
                            <a:avLst/>
                          </a:prstGeom>
                          <a:noFill/>
                        </pic:spPr>
                      </pic:pic>
                    </a:graphicData>
                  </a:graphic>
                </wp:inline>
              </w:drawing>
            </w:r>
          </w:p>
          <w:p w14:paraId="0DA82CA9" w14:textId="6C227C45" w:rsidR="005F13AE" w:rsidRPr="00AD37E6" w:rsidRDefault="005F13AE" w:rsidP="005F13AE">
            <w:pPr>
              <w:spacing w:line="360" w:lineRule="auto"/>
              <w:rPr>
                <w:rFonts w:ascii="Arial" w:hAnsi="Arial" w:cs="Arial"/>
                <w:sz w:val="22"/>
                <w:szCs w:val="22"/>
              </w:rPr>
            </w:pPr>
            <w:r w:rsidRPr="00AD37E6">
              <w:rPr>
                <w:rFonts w:ascii="Arial" w:hAnsi="Arial" w:cs="Arial"/>
                <w:sz w:val="22"/>
                <w:szCs w:val="22"/>
              </w:rPr>
              <w:t>The Participant A registered obligation is less than its DAM sales and Participant A will not be exposed to any BM movement, but Participant B will be exposed</w:t>
            </w:r>
            <w:r w:rsidR="00BE7F2F">
              <w:rPr>
                <w:rFonts w:ascii="Arial" w:hAnsi="Arial" w:cs="Arial"/>
                <w:sz w:val="22"/>
                <w:szCs w:val="22"/>
              </w:rPr>
              <w:t xml:space="preserve"> to difference charges due</w:t>
            </w:r>
            <w:r w:rsidRPr="00AD37E6">
              <w:rPr>
                <w:rFonts w:ascii="Arial" w:hAnsi="Arial" w:cs="Arial"/>
                <w:sz w:val="22"/>
                <w:szCs w:val="22"/>
              </w:rPr>
              <w:t xml:space="preserve"> to BM prices, Participant A would not be able to gain from the high price in the BM to compensate</w:t>
            </w:r>
            <w:r w:rsidR="00332195">
              <w:rPr>
                <w:rFonts w:ascii="Arial" w:hAnsi="Arial" w:cs="Arial"/>
                <w:sz w:val="22"/>
                <w:szCs w:val="22"/>
              </w:rPr>
              <w:t xml:space="preserve"> Participant B loss of revenue</w:t>
            </w:r>
            <w:r w:rsidRPr="00AD37E6">
              <w:rPr>
                <w:rFonts w:ascii="Arial" w:hAnsi="Arial" w:cs="Arial"/>
                <w:sz w:val="22"/>
                <w:szCs w:val="22"/>
              </w:rPr>
              <w:t>. Effectively</w:t>
            </w:r>
            <w:r w:rsidR="00332195">
              <w:rPr>
                <w:rFonts w:ascii="Arial" w:hAnsi="Arial" w:cs="Arial"/>
                <w:sz w:val="22"/>
                <w:szCs w:val="22"/>
              </w:rPr>
              <w:t>, this creates</w:t>
            </w:r>
            <w:r w:rsidRPr="00AD37E6">
              <w:rPr>
                <w:rFonts w:ascii="Arial" w:hAnsi="Arial" w:cs="Arial"/>
                <w:sz w:val="22"/>
                <w:szCs w:val="22"/>
              </w:rPr>
              <w:t xml:space="preserve"> a very large hole in </w:t>
            </w:r>
            <w:r w:rsidR="00BE7F2F">
              <w:rPr>
                <w:rFonts w:ascii="Arial" w:hAnsi="Arial" w:cs="Arial"/>
                <w:sz w:val="22"/>
                <w:szCs w:val="22"/>
              </w:rPr>
              <w:t xml:space="preserve">the participant’s financial </w:t>
            </w:r>
            <w:r w:rsidRPr="00AD37E6">
              <w:rPr>
                <w:rFonts w:ascii="Arial" w:hAnsi="Arial" w:cs="Arial"/>
                <w:sz w:val="22"/>
                <w:szCs w:val="22"/>
              </w:rPr>
              <w:t>hedge.</w:t>
            </w:r>
          </w:p>
          <w:p w14:paraId="2827B2FE" w14:textId="77777777" w:rsidR="00683FAA" w:rsidRPr="00AD37E6" w:rsidRDefault="00683FAA" w:rsidP="005F13AE">
            <w:pPr>
              <w:spacing w:line="360" w:lineRule="auto"/>
              <w:rPr>
                <w:rFonts w:ascii="Arial" w:hAnsi="Arial" w:cs="Arial"/>
                <w:sz w:val="22"/>
                <w:szCs w:val="22"/>
              </w:rPr>
            </w:pPr>
          </w:p>
          <w:p w14:paraId="07C5F576" w14:textId="7C724F1F" w:rsidR="005F13AE" w:rsidRPr="00AD37E6" w:rsidRDefault="005F13AE" w:rsidP="005F13AE">
            <w:pPr>
              <w:spacing w:line="360" w:lineRule="auto"/>
              <w:rPr>
                <w:rFonts w:ascii="Arial" w:hAnsi="Arial" w:cs="Arial"/>
                <w:sz w:val="22"/>
                <w:szCs w:val="22"/>
              </w:rPr>
            </w:pPr>
            <w:r w:rsidRPr="00AD37E6">
              <w:rPr>
                <w:rFonts w:ascii="Arial" w:hAnsi="Arial" w:cs="Arial"/>
                <w:sz w:val="22"/>
                <w:szCs w:val="22"/>
              </w:rPr>
              <w:t>However,</w:t>
            </w:r>
            <w:r w:rsidR="00683FAA" w:rsidRPr="00AD37E6">
              <w:rPr>
                <w:rFonts w:ascii="Arial" w:hAnsi="Arial" w:cs="Arial"/>
                <w:sz w:val="22"/>
                <w:szCs w:val="22"/>
              </w:rPr>
              <w:t xml:space="preserve"> if the trade was registered with the System Operator then </w:t>
            </w:r>
            <w:r w:rsidRPr="00AD37E6">
              <w:rPr>
                <w:rFonts w:ascii="Arial" w:hAnsi="Arial" w:cs="Arial"/>
                <w:sz w:val="22"/>
                <w:szCs w:val="22"/>
              </w:rPr>
              <w:t>Participant A c</w:t>
            </w:r>
            <w:r w:rsidR="00683FAA" w:rsidRPr="00AD37E6">
              <w:rPr>
                <w:rFonts w:ascii="Arial" w:hAnsi="Arial" w:cs="Arial"/>
                <w:sz w:val="22"/>
                <w:szCs w:val="22"/>
              </w:rPr>
              <w:t>ould</w:t>
            </w:r>
            <w:r w:rsidRPr="00AD37E6">
              <w:rPr>
                <w:rFonts w:ascii="Arial" w:hAnsi="Arial" w:cs="Arial"/>
                <w:sz w:val="22"/>
                <w:szCs w:val="22"/>
              </w:rPr>
              <w:t xml:space="preserve"> add the Participant B obligation to A’s as part of A’s registered obligation, then both parties would be covered. As displayed below:</w:t>
            </w:r>
          </w:p>
          <w:p w14:paraId="50666DD5" w14:textId="77777777" w:rsidR="005F13AE" w:rsidRPr="00AD37E6" w:rsidRDefault="005F13AE" w:rsidP="005F13AE">
            <w:pPr>
              <w:spacing w:line="360" w:lineRule="auto"/>
              <w:rPr>
                <w:rFonts w:ascii="Arial" w:hAnsi="Arial" w:cs="Arial"/>
                <w:sz w:val="22"/>
                <w:szCs w:val="22"/>
              </w:rPr>
            </w:pPr>
            <w:r w:rsidRPr="00AD37E6">
              <w:rPr>
                <w:rFonts w:ascii="Arial" w:hAnsi="Arial" w:cs="Arial"/>
                <w:noProof/>
                <w:sz w:val="22"/>
                <w:szCs w:val="22"/>
                <w:lang w:val="en-IE" w:eastAsia="en-IE"/>
              </w:rPr>
              <w:lastRenderedPageBreak/>
              <w:drawing>
                <wp:inline distT="0" distB="0" distL="0" distR="0" wp14:anchorId="4336DE1E" wp14:editId="2AF3F380">
                  <wp:extent cx="4559935" cy="2865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935" cy="2865120"/>
                          </a:xfrm>
                          <a:prstGeom prst="rect">
                            <a:avLst/>
                          </a:prstGeom>
                          <a:noFill/>
                        </pic:spPr>
                      </pic:pic>
                    </a:graphicData>
                  </a:graphic>
                </wp:inline>
              </w:drawing>
            </w:r>
          </w:p>
          <w:p w14:paraId="0490668A" w14:textId="77777777" w:rsidR="005F13AE" w:rsidRPr="00AD37E6" w:rsidRDefault="005F13AE" w:rsidP="005F13AE">
            <w:pPr>
              <w:spacing w:line="360" w:lineRule="auto"/>
              <w:rPr>
                <w:rFonts w:ascii="Arial" w:hAnsi="Arial" w:cs="Arial"/>
                <w:sz w:val="22"/>
                <w:szCs w:val="22"/>
              </w:rPr>
            </w:pPr>
          </w:p>
          <w:p w14:paraId="32BA6DA9" w14:textId="25A3830C" w:rsidR="005F13AE" w:rsidRDefault="005F13AE" w:rsidP="005F13AE">
            <w:pPr>
              <w:rPr>
                <w:rFonts w:ascii="Arial" w:hAnsi="Arial" w:cs="Arial"/>
                <w:i/>
                <w:iCs/>
                <w:sz w:val="22"/>
                <w:szCs w:val="22"/>
              </w:rPr>
            </w:pPr>
            <w:bookmarkStart w:id="1" w:name="_Toc8399946"/>
            <w:r w:rsidRPr="00AD37E6">
              <w:rPr>
                <w:rFonts w:ascii="Arial" w:hAnsi="Arial" w:cs="Arial"/>
                <w:i/>
                <w:iCs/>
                <w:sz w:val="22"/>
                <w:szCs w:val="22"/>
              </w:rPr>
              <w:t>Overview</w:t>
            </w:r>
            <w:bookmarkEnd w:id="1"/>
          </w:p>
          <w:p w14:paraId="0CE71E55" w14:textId="77777777" w:rsidR="00497A32" w:rsidRPr="00AD37E6" w:rsidRDefault="00497A32" w:rsidP="005F13AE">
            <w:pPr>
              <w:rPr>
                <w:rFonts w:ascii="Arial" w:hAnsi="Arial" w:cs="Arial"/>
                <w:i/>
                <w:iCs/>
                <w:sz w:val="22"/>
                <w:szCs w:val="22"/>
              </w:rPr>
            </w:pPr>
          </w:p>
          <w:p w14:paraId="350DC8B5" w14:textId="11B434A3" w:rsidR="005F13AE" w:rsidRPr="005B0926" w:rsidRDefault="005F13AE" w:rsidP="005F13AE">
            <w:pPr>
              <w:spacing w:line="360" w:lineRule="auto"/>
              <w:rPr>
                <w:rFonts w:ascii="Arial" w:hAnsi="Arial" w:cs="Arial"/>
                <w:b/>
                <w:bCs/>
                <w:sz w:val="22"/>
                <w:szCs w:val="22"/>
              </w:rPr>
            </w:pPr>
            <w:r w:rsidRPr="00AD37E6">
              <w:rPr>
                <w:rFonts w:ascii="Arial" w:hAnsi="Arial" w:cs="Arial"/>
                <w:sz w:val="22"/>
                <w:szCs w:val="22"/>
              </w:rPr>
              <w:t>This M</w:t>
            </w:r>
            <w:r w:rsidR="00F27C65">
              <w:rPr>
                <w:rFonts w:ascii="Arial" w:hAnsi="Arial" w:cs="Arial"/>
                <w:sz w:val="22"/>
                <w:szCs w:val="22"/>
              </w:rPr>
              <w:t xml:space="preserve">odification is an attempt to </w:t>
            </w:r>
            <w:r w:rsidR="005B0926">
              <w:rPr>
                <w:rFonts w:ascii="Arial" w:hAnsi="Arial" w:cs="Arial"/>
                <w:sz w:val="22"/>
                <w:szCs w:val="22"/>
              </w:rPr>
              <w:t xml:space="preserve">meet the requirements of the State aid Decision. It will also improve the security of the system compared to the existing interim solution as the total obligation may not be reduced when there is a scheduled outage. </w:t>
            </w:r>
            <w:r w:rsidRPr="00AD37E6">
              <w:rPr>
                <w:rFonts w:ascii="Arial" w:hAnsi="Arial" w:cs="Arial"/>
                <w:sz w:val="22"/>
                <w:szCs w:val="22"/>
              </w:rPr>
              <w:t xml:space="preserve"> </w:t>
            </w:r>
            <w:r w:rsidR="00A03BA1">
              <w:rPr>
                <w:rFonts w:ascii="Arial" w:hAnsi="Arial" w:cs="Arial"/>
                <w:sz w:val="22"/>
                <w:szCs w:val="22"/>
              </w:rPr>
              <w:t xml:space="preserve">It </w:t>
            </w:r>
            <w:r w:rsidRPr="00AD37E6">
              <w:rPr>
                <w:rFonts w:ascii="Arial" w:hAnsi="Arial" w:cs="Arial"/>
                <w:sz w:val="22"/>
                <w:szCs w:val="22"/>
              </w:rPr>
              <w:t>is an attempt to manage the risk of RO trading by allowing the counterparty obligation to be registered with a</w:t>
            </w:r>
            <w:r w:rsidR="00332195">
              <w:rPr>
                <w:rFonts w:ascii="Arial" w:hAnsi="Arial" w:cs="Arial"/>
                <w:sz w:val="22"/>
                <w:szCs w:val="22"/>
              </w:rPr>
              <w:t xml:space="preserve">nother qualified market </w:t>
            </w:r>
            <w:r w:rsidR="00DE29F5">
              <w:rPr>
                <w:rFonts w:ascii="Arial" w:hAnsi="Arial" w:cs="Arial"/>
                <w:sz w:val="22"/>
                <w:szCs w:val="22"/>
              </w:rPr>
              <w:t>party</w:t>
            </w:r>
            <w:r w:rsidRPr="00AD37E6">
              <w:rPr>
                <w:rFonts w:ascii="Arial" w:hAnsi="Arial" w:cs="Arial"/>
                <w:sz w:val="22"/>
                <w:szCs w:val="22"/>
              </w:rPr>
              <w:t xml:space="preserve">. This would allow participants to trade out their RO obligations during </w:t>
            </w:r>
            <w:r w:rsidR="00332195">
              <w:rPr>
                <w:rFonts w:ascii="Arial" w:hAnsi="Arial" w:cs="Arial"/>
                <w:sz w:val="22"/>
                <w:szCs w:val="22"/>
              </w:rPr>
              <w:t xml:space="preserve">all </w:t>
            </w:r>
            <w:r w:rsidRPr="00AD37E6">
              <w:rPr>
                <w:rFonts w:ascii="Arial" w:hAnsi="Arial" w:cs="Arial"/>
                <w:sz w:val="22"/>
                <w:szCs w:val="22"/>
              </w:rPr>
              <w:t>outages</w:t>
            </w:r>
            <w:r w:rsidR="00332195">
              <w:rPr>
                <w:rFonts w:ascii="Arial" w:hAnsi="Arial" w:cs="Arial"/>
                <w:sz w:val="22"/>
                <w:szCs w:val="22"/>
              </w:rPr>
              <w:t xml:space="preserve"> (planned/forced)</w:t>
            </w:r>
            <w:r w:rsidRPr="00AD37E6">
              <w:rPr>
                <w:rFonts w:ascii="Arial" w:hAnsi="Arial" w:cs="Arial"/>
                <w:sz w:val="22"/>
                <w:szCs w:val="22"/>
              </w:rPr>
              <w:t xml:space="preserve">. Secondary RO trading will </w:t>
            </w:r>
            <w:r w:rsidR="00332195">
              <w:rPr>
                <w:rFonts w:ascii="Arial" w:hAnsi="Arial" w:cs="Arial"/>
                <w:sz w:val="22"/>
                <w:szCs w:val="22"/>
              </w:rPr>
              <w:t xml:space="preserve">incentivise </w:t>
            </w:r>
            <w:r w:rsidRPr="00AD37E6">
              <w:rPr>
                <w:rFonts w:ascii="Arial" w:hAnsi="Arial" w:cs="Arial"/>
                <w:sz w:val="22"/>
                <w:szCs w:val="22"/>
              </w:rPr>
              <w:t xml:space="preserve">present participants </w:t>
            </w:r>
            <w:r w:rsidR="002B0A91">
              <w:rPr>
                <w:rFonts w:ascii="Arial" w:hAnsi="Arial" w:cs="Arial"/>
                <w:sz w:val="22"/>
                <w:szCs w:val="22"/>
              </w:rPr>
              <w:t>to optimise their commercial position by:</w:t>
            </w:r>
            <w:r w:rsidRPr="00AD37E6">
              <w:rPr>
                <w:rFonts w:ascii="Arial" w:hAnsi="Arial" w:cs="Arial"/>
                <w:sz w:val="22"/>
                <w:szCs w:val="22"/>
              </w:rPr>
              <w:t xml:space="preserve"> (1) Receive RO payments via other participants’ capacity contracts when other participants are on an outage, (2) Receive a portion of RO payments even when they are on outage.</w:t>
            </w:r>
          </w:p>
          <w:p w14:paraId="6CD99933" w14:textId="77777777" w:rsidR="005F13AE" w:rsidRPr="00AD37E6" w:rsidRDefault="005F13AE" w:rsidP="005F13AE">
            <w:pPr>
              <w:spacing w:line="360" w:lineRule="auto"/>
              <w:rPr>
                <w:rFonts w:ascii="Arial" w:hAnsi="Arial" w:cs="Arial"/>
                <w:sz w:val="22"/>
                <w:szCs w:val="22"/>
              </w:rPr>
            </w:pPr>
          </w:p>
          <w:p w14:paraId="72D7245F" w14:textId="04853B3C" w:rsidR="005F13AE" w:rsidRPr="00AD37E6" w:rsidRDefault="005F13AE" w:rsidP="005F13AE">
            <w:pPr>
              <w:spacing w:line="360" w:lineRule="auto"/>
              <w:rPr>
                <w:rFonts w:ascii="Arial" w:hAnsi="Arial" w:cs="Arial"/>
                <w:sz w:val="22"/>
                <w:szCs w:val="22"/>
              </w:rPr>
            </w:pPr>
            <w:r w:rsidRPr="00AD37E6">
              <w:rPr>
                <w:rFonts w:ascii="Arial" w:hAnsi="Arial" w:cs="Arial"/>
                <w:sz w:val="22"/>
                <w:szCs w:val="22"/>
              </w:rPr>
              <w:t xml:space="preserve">A key aspect of this is the load following nature of the obligation. While 100% of a participant’s obligation is the value that it has sold in the auction, for most trading periods it is considerably less. The obligation is scaled back based on the ratio of system demand (plus the allocated auction reserve) to the volume cleared in the auction (minus any cleared but not yet 90% commissioned capacity). This ratio is called </w:t>
            </w:r>
            <w:r w:rsidR="004F3CF3" w:rsidRPr="00AD37E6">
              <w:rPr>
                <w:rFonts w:ascii="Arial" w:hAnsi="Arial" w:cs="Arial"/>
                <w:sz w:val="22"/>
                <w:szCs w:val="22"/>
              </w:rPr>
              <w:t xml:space="preserve">Capacity Quantity Scaling Factor </w:t>
            </w:r>
            <w:r w:rsidRPr="00AD37E6">
              <w:rPr>
                <w:rFonts w:ascii="Arial" w:hAnsi="Arial" w:cs="Arial"/>
                <w:sz w:val="22"/>
                <w:szCs w:val="22"/>
              </w:rPr>
              <w:t xml:space="preserve">with the </w:t>
            </w:r>
            <w:r w:rsidR="00DE29F5">
              <w:rPr>
                <w:rFonts w:ascii="Arial" w:hAnsi="Arial" w:cs="Arial"/>
                <w:sz w:val="22"/>
                <w:szCs w:val="22"/>
              </w:rPr>
              <w:t xml:space="preserve">algebraic shorthand </w:t>
            </w:r>
            <w:r w:rsidR="002B0A91">
              <w:rPr>
                <w:rFonts w:ascii="Arial" w:hAnsi="Arial" w:cs="Arial"/>
                <w:sz w:val="22"/>
                <w:szCs w:val="22"/>
              </w:rPr>
              <w:t xml:space="preserve">of </w:t>
            </w:r>
            <w:r w:rsidRPr="00AD37E6">
              <w:rPr>
                <w:rFonts w:ascii="Arial" w:hAnsi="Arial" w:cs="Arial"/>
                <w:sz w:val="22"/>
                <w:szCs w:val="22"/>
              </w:rPr>
              <w:t xml:space="preserve">FSQC. At times of lower demand, the load following may be significantly reduced. This means that at a time of 50% load following, a participant’s own holding would be far lower than its trading period obligation, allowing the participant to take on all or part of another participant’s obligation. </w:t>
            </w:r>
          </w:p>
          <w:p w14:paraId="5D3DC7DC" w14:textId="26292EAC" w:rsidR="00956DEC" w:rsidRPr="00AD37E6" w:rsidRDefault="00956DEC" w:rsidP="005F13AE">
            <w:pPr>
              <w:spacing w:line="360" w:lineRule="auto"/>
              <w:rPr>
                <w:rFonts w:ascii="Arial" w:hAnsi="Arial" w:cs="Arial"/>
                <w:sz w:val="22"/>
                <w:szCs w:val="22"/>
              </w:rPr>
            </w:pPr>
          </w:p>
          <w:p w14:paraId="14F0379B" w14:textId="06381464" w:rsidR="00956DEC" w:rsidRDefault="00956DEC" w:rsidP="005F13AE">
            <w:pPr>
              <w:spacing w:line="360" w:lineRule="auto"/>
              <w:rPr>
                <w:rFonts w:ascii="Arial" w:hAnsi="Arial" w:cs="Arial"/>
                <w:sz w:val="22"/>
                <w:szCs w:val="22"/>
              </w:rPr>
            </w:pPr>
            <w:r w:rsidRPr="00AD37E6">
              <w:rPr>
                <w:rFonts w:ascii="Arial" w:hAnsi="Arial" w:cs="Arial"/>
                <w:sz w:val="22"/>
                <w:szCs w:val="22"/>
              </w:rPr>
              <w:t>At a high level the process would see both parties submitting a</w:t>
            </w:r>
            <w:r w:rsidR="002B0A91">
              <w:rPr>
                <w:rFonts w:ascii="Arial" w:hAnsi="Arial" w:cs="Arial"/>
                <w:sz w:val="22"/>
                <w:szCs w:val="22"/>
              </w:rPr>
              <w:t xml:space="preserve"> </w:t>
            </w:r>
            <w:r w:rsidR="006A0370">
              <w:rPr>
                <w:rFonts w:ascii="Arial" w:hAnsi="Arial" w:cs="Arial"/>
                <w:sz w:val="22"/>
                <w:szCs w:val="22"/>
              </w:rPr>
              <w:t>Master trade</w:t>
            </w:r>
            <w:r w:rsidRPr="00AD37E6">
              <w:rPr>
                <w:rFonts w:ascii="Arial" w:hAnsi="Arial" w:cs="Arial"/>
                <w:sz w:val="22"/>
                <w:szCs w:val="22"/>
              </w:rPr>
              <w:t xml:space="preserve"> request to the RA’s for approval. Once this request is approved, this </w:t>
            </w:r>
            <w:r w:rsidR="002B0A91">
              <w:rPr>
                <w:rFonts w:ascii="Arial" w:hAnsi="Arial" w:cs="Arial"/>
                <w:sz w:val="22"/>
                <w:szCs w:val="22"/>
              </w:rPr>
              <w:t>submission will be sent</w:t>
            </w:r>
            <w:r w:rsidRPr="00AD37E6">
              <w:rPr>
                <w:rFonts w:ascii="Arial" w:hAnsi="Arial" w:cs="Arial"/>
                <w:sz w:val="22"/>
                <w:szCs w:val="22"/>
              </w:rPr>
              <w:t xml:space="preserve"> to the System </w:t>
            </w:r>
            <w:r w:rsidRPr="00AD37E6">
              <w:rPr>
                <w:rFonts w:ascii="Arial" w:hAnsi="Arial" w:cs="Arial"/>
                <w:sz w:val="22"/>
                <w:szCs w:val="22"/>
              </w:rPr>
              <w:lastRenderedPageBreak/>
              <w:t xml:space="preserve">Operators. At this stage the parties can submit a trade request to the System Operators stating the </w:t>
            </w:r>
            <w:r w:rsidR="00C51AD8" w:rsidRPr="00AD37E6">
              <w:rPr>
                <w:rFonts w:ascii="Arial" w:hAnsi="Arial" w:cs="Arial"/>
                <w:sz w:val="22"/>
                <w:szCs w:val="22"/>
              </w:rPr>
              <w:t>buyer</w:t>
            </w:r>
            <w:r w:rsidRPr="00AD37E6">
              <w:rPr>
                <w:rFonts w:ascii="Arial" w:hAnsi="Arial" w:cs="Arial"/>
                <w:sz w:val="22"/>
                <w:szCs w:val="22"/>
              </w:rPr>
              <w:t xml:space="preserve">, the </w:t>
            </w:r>
            <w:r w:rsidR="00C51AD8" w:rsidRPr="00AD37E6">
              <w:rPr>
                <w:rFonts w:ascii="Arial" w:hAnsi="Arial" w:cs="Arial"/>
                <w:sz w:val="22"/>
                <w:szCs w:val="22"/>
              </w:rPr>
              <w:t>seller</w:t>
            </w:r>
            <w:r w:rsidRPr="00AD37E6">
              <w:rPr>
                <w:rFonts w:ascii="Arial" w:hAnsi="Arial" w:cs="Arial"/>
                <w:sz w:val="22"/>
                <w:szCs w:val="22"/>
              </w:rPr>
              <w:t xml:space="preserve">, the quantity, the exact period covered, and the </w:t>
            </w:r>
            <w:r w:rsidR="00AE769D">
              <w:rPr>
                <w:rFonts w:ascii="Arial" w:hAnsi="Arial" w:cs="Arial"/>
                <w:sz w:val="22"/>
                <w:szCs w:val="22"/>
              </w:rPr>
              <w:t>M</w:t>
            </w:r>
            <w:r w:rsidRPr="00AD37E6">
              <w:rPr>
                <w:rFonts w:ascii="Arial" w:hAnsi="Arial" w:cs="Arial"/>
                <w:sz w:val="22"/>
                <w:szCs w:val="22"/>
              </w:rPr>
              <w:t xml:space="preserve">aximum Forecasted FSQC for the period in question. </w:t>
            </w:r>
          </w:p>
          <w:p w14:paraId="0B67E3E3" w14:textId="77777777" w:rsidR="00DE29F5" w:rsidRPr="00AD37E6" w:rsidRDefault="00DE29F5" w:rsidP="005F13AE">
            <w:pPr>
              <w:spacing w:line="360" w:lineRule="auto"/>
              <w:rPr>
                <w:rFonts w:ascii="Arial" w:hAnsi="Arial" w:cs="Arial"/>
                <w:sz w:val="22"/>
                <w:szCs w:val="22"/>
              </w:rPr>
            </w:pPr>
          </w:p>
          <w:p w14:paraId="2A969BEC" w14:textId="671A863B" w:rsidR="00EC68E2" w:rsidRPr="00AD37E6" w:rsidRDefault="00956DEC" w:rsidP="005F13AE">
            <w:pPr>
              <w:spacing w:line="360" w:lineRule="auto"/>
              <w:rPr>
                <w:rFonts w:ascii="Arial" w:hAnsi="Arial" w:cs="Arial"/>
                <w:sz w:val="22"/>
                <w:szCs w:val="22"/>
              </w:rPr>
            </w:pPr>
            <w:r w:rsidRPr="00AD37E6">
              <w:rPr>
                <w:rFonts w:ascii="Arial" w:hAnsi="Arial" w:cs="Arial"/>
                <w:sz w:val="22"/>
                <w:szCs w:val="22"/>
              </w:rPr>
              <w:t>The</w:t>
            </w:r>
            <w:r w:rsidR="00EC68E2" w:rsidRPr="00AD37E6">
              <w:rPr>
                <w:rFonts w:ascii="Arial" w:hAnsi="Arial" w:cs="Arial"/>
                <w:sz w:val="22"/>
                <w:szCs w:val="22"/>
              </w:rPr>
              <w:t xml:space="preserve"> </w:t>
            </w:r>
            <w:r w:rsidRPr="00AD37E6">
              <w:rPr>
                <w:rFonts w:ascii="Arial" w:hAnsi="Arial" w:cs="Arial"/>
                <w:sz w:val="22"/>
                <w:szCs w:val="22"/>
              </w:rPr>
              <w:t xml:space="preserve">Forecasted FSQC for </w:t>
            </w:r>
            <w:r w:rsidR="00EC68E2" w:rsidRPr="00AD37E6">
              <w:rPr>
                <w:rFonts w:ascii="Arial" w:hAnsi="Arial" w:cs="Arial"/>
                <w:sz w:val="22"/>
                <w:szCs w:val="22"/>
              </w:rPr>
              <w:t>any trading</w:t>
            </w:r>
            <w:r w:rsidRPr="00AD37E6">
              <w:rPr>
                <w:rFonts w:ascii="Arial" w:hAnsi="Arial" w:cs="Arial"/>
                <w:sz w:val="22"/>
                <w:szCs w:val="22"/>
              </w:rPr>
              <w:t xml:space="preserve"> period will be</w:t>
            </w:r>
            <w:r w:rsidR="002B0A91">
              <w:rPr>
                <w:rFonts w:ascii="Arial" w:hAnsi="Arial" w:cs="Arial"/>
                <w:sz w:val="22"/>
                <w:szCs w:val="22"/>
              </w:rPr>
              <w:t xml:space="preserve"> equal to</w:t>
            </w:r>
            <w:r w:rsidRPr="00AD37E6">
              <w:rPr>
                <w:rFonts w:ascii="Arial" w:hAnsi="Arial" w:cs="Arial"/>
                <w:sz w:val="22"/>
                <w:szCs w:val="22"/>
              </w:rPr>
              <w:t xml:space="preserve"> </w:t>
            </w:r>
            <w:r w:rsidR="00EC68E2" w:rsidRPr="00AD37E6">
              <w:rPr>
                <w:rFonts w:ascii="Arial" w:hAnsi="Arial" w:cs="Arial"/>
                <w:sz w:val="22"/>
                <w:szCs w:val="22"/>
              </w:rPr>
              <w:t>(</w:t>
            </w:r>
            <w:r w:rsidRPr="00AD37E6">
              <w:rPr>
                <w:rFonts w:ascii="Arial" w:hAnsi="Arial" w:cs="Arial"/>
                <w:sz w:val="22"/>
                <w:szCs w:val="22"/>
              </w:rPr>
              <w:t xml:space="preserve">Forecasted System Demand + </w:t>
            </w:r>
            <w:r w:rsidR="00EC68E2" w:rsidRPr="00AD37E6">
              <w:rPr>
                <w:rFonts w:ascii="Arial" w:hAnsi="Arial" w:cs="Arial"/>
                <w:sz w:val="22"/>
                <w:szCs w:val="22"/>
              </w:rPr>
              <w:t>Reserve Adjustment Capacity Quantity)/</w:t>
            </w:r>
            <w:r w:rsidRPr="00AD37E6">
              <w:rPr>
                <w:rFonts w:ascii="Arial" w:hAnsi="Arial" w:cs="Arial"/>
                <w:sz w:val="22"/>
                <w:szCs w:val="22"/>
              </w:rPr>
              <w:t xml:space="preserve"> </w:t>
            </w:r>
            <w:r w:rsidR="00EC68E2" w:rsidRPr="00AD37E6">
              <w:rPr>
                <w:rFonts w:ascii="Arial" w:hAnsi="Arial" w:cs="Arial"/>
                <w:sz w:val="22"/>
                <w:szCs w:val="22"/>
              </w:rPr>
              <w:t>Total awarded capacity.</w:t>
            </w:r>
          </w:p>
          <w:p w14:paraId="184814BF" w14:textId="20509032" w:rsidR="00EC68E2" w:rsidRPr="00AD37E6" w:rsidRDefault="00EC68E2" w:rsidP="005F13AE">
            <w:pPr>
              <w:spacing w:line="360" w:lineRule="auto"/>
              <w:rPr>
                <w:rFonts w:ascii="Arial" w:hAnsi="Arial" w:cs="Arial"/>
                <w:sz w:val="22"/>
                <w:szCs w:val="22"/>
              </w:rPr>
            </w:pPr>
          </w:p>
          <w:p w14:paraId="4DB89977" w14:textId="1E496148" w:rsidR="00EC68E2" w:rsidRPr="00AD37E6" w:rsidRDefault="00EC68E2" w:rsidP="005F13AE">
            <w:pPr>
              <w:spacing w:line="360" w:lineRule="auto"/>
              <w:rPr>
                <w:rFonts w:ascii="Arial" w:hAnsi="Arial" w:cs="Arial"/>
                <w:sz w:val="22"/>
                <w:szCs w:val="22"/>
              </w:rPr>
            </w:pPr>
            <w:r w:rsidRPr="00AD37E6">
              <w:rPr>
                <w:rFonts w:ascii="Arial" w:hAnsi="Arial" w:cs="Arial"/>
                <w:sz w:val="22"/>
                <w:szCs w:val="22"/>
              </w:rPr>
              <w:t>Once the System Operator is satisfied that the party relationship has been approved by the RA’s, that the details are correct and that the forecasted Obligated Capacity Quantity of the seller does not exceed the</w:t>
            </w:r>
            <w:r w:rsidR="00E4293F">
              <w:rPr>
                <w:rFonts w:ascii="Arial" w:hAnsi="Arial" w:cs="Arial"/>
                <w:sz w:val="22"/>
                <w:szCs w:val="22"/>
              </w:rPr>
              <w:t xml:space="preserve"> Seller’</w:t>
            </w:r>
            <w:r w:rsidR="00DE29F5">
              <w:rPr>
                <w:rFonts w:ascii="Arial" w:hAnsi="Arial" w:cs="Arial"/>
                <w:sz w:val="22"/>
                <w:szCs w:val="22"/>
              </w:rPr>
              <w:t>s</w:t>
            </w:r>
            <w:r w:rsidR="00E4293F">
              <w:rPr>
                <w:rFonts w:ascii="Arial" w:hAnsi="Arial" w:cs="Arial"/>
                <w:sz w:val="22"/>
                <w:szCs w:val="22"/>
              </w:rPr>
              <w:t xml:space="preserve"> Limit</w:t>
            </w:r>
            <w:r w:rsidR="0038763B" w:rsidRPr="00AD37E6">
              <w:rPr>
                <w:rFonts w:ascii="Arial" w:hAnsi="Arial" w:cs="Arial"/>
                <w:sz w:val="22"/>
                <w:szCs w:val="22"/>
              </w:rPr>
              <w:t xml:space="preserve"> then the trade will be registered by the System Operator in the Capacity and Trade Register.</w:t>
            </w:r>
          </w:p>
          <w:p w14:paraId="77CF8147" w14:textId="23360FC7" w:rsidR="00BC24D9" w:rsidRPr="00AD37E6" w:rsidRDefault="00EC68E2" w:rsidP="0038763B">
            <w:pPr>
              <w:spacing w:line="360" w:lineRule="auto"/>
              <w:rPr>
                <w:rFonts w:ascii="Arial" w:hAnsi="Arial" w:cs="Arial"/>
                <w:bCs/>
                <w:sz w:val="22"/>
                <w:szCs w:val="22"/>
              </w:rPr>
            </w:pPr>
            <w:r w:rsidRPr="00AD37E6">
              <w:rPr>
                <w:rFonts w:ascii="Arial" w:hAnsi="Arial" w:cs="Arial"/>
                <w:sz w:val="22"/>
                <w:szCs w:val="22"/>
              </w:rPr>
              <w:t xml:space="preserve"> </w:t>
            </w:r>
          </w:p>
        </w:tc>
      </w:tr>
      <w:tr w:rsidR="004C53E7" w:rsidRPr="00AD37E6" w:rsidDel="00404964" w14:paraId="70475F59" w14:textId="77777777" w:rsidTr="0013032E">
        <w:tc>
          <w:tcPr>
            <w:tcW w:w="9450" w:type="dxa"/>
            <w:gridSpan w:val="6"/>
            <w:shd w:val="clear" w:color="auto" w:fill="C6D9F1"/>
            <w:vAlign w:val="center"/>
          </w:tcPr>
          <w:p w14:paraId="784FA684" w14:textId="77777777" w:rsidR="004C53E7" w:rsidRPr="00AD37E6" w:rsidRDefault="004C53E7" w:rsidP="00EE2B7C">
            <w:pPr>
              <w:jc w:val="center"/>
              <w:rPr>
                <w:rFonts w:ascii="Arial" w:hAnsi="Arial" w:cs="Arial"/>
                <w:iCs/>
                <w:sz w:val="22"/>
                <w:szCs w:val="22"/>
                <w:lang w:val="en-IE"/>
              </w:rPr>
            </w:pPr>
            <w:r w:rsidRPr="00AD37E6">
              <w:rPr>
                <w:rFonts w:ascii="Arial" w:hAnsi="Arial" w:cs="Arial"/>
                <w:b/>
                <w:bCs/>
                <w:iCs/>
                <w:sz w:val="22"/>
                <w:szCs w:val="22"/>
                <w:lang w:val="en-IE"/>
              </w:rPr>
              <w:lastRenderedPageBreak/>
              <w:t>Legal Drafting Change</w:t>
            </w:r>
          </w:p>
          <w:p w14:paraId="22B40C44" w14:textId="77777777" w:rsidR="004C53E7" w:rsidRPr="00AD37E6" w:rsidDel="00404964" w:rsidRDefault="004C53E7" w:rsidP="00EE2B7C">
            <w:pPr>
              <w:jc w:val="center"/>
              <w:rPr>
                <w:rFonts w:ascii="Arial" w:hAnsi="Arial" w:cs="Arial"/>
                <w:sz w:val="22"/>
                <w:szCs w:val="22"/>
                <w:lang w:val="en-IE"/>
              </w:rPr>
            </w:pPr>
            <w:r w:rsidRPr="00AD37E6">
              <w:rPr>
                <w:rFonts w:ascii="Arial" w:hAnsi="Arial" w:cs="Arial"/>
                <w:i/>
                <w:iCs/>
                <w:sz w:val="22"/>
                <w:szCs w:val="22"/>
                <w:lang w:val="en-IE"/>
              </w:rPr>
              <w:t xml:space="preserve">(Clearly show proposed code change using </w:t>
            </w:r>
            <w:r w:rsidRPr="00AD37E6">
              <w:rPr>
                <w:rFonts w:ascii="Arial" w:hAnsi="Arial" w:cs="Arial"/>
                <w:b/>
                <w:i/>
                <w:iCs/>
                <w:sz w:val="22"/>
                <w:szCs w:val="22"/>
                <w:lang w:val="en-IE"/>
              </w:rPr>
              <w:t>tracked</w:t>
            </w:r>
            <w:r w:rsidRPr="00AD37E6">
              <w:rPr>
                <w:rFonts w:ascii="Arial" w:hAnsi="Arial" w:cs="Arial"/>
                <w:i/>
                <w:iCs/>
                <w:sz w:val="22"/>
                <w:szCs w:val="22"/>
                <w:lang w:val="en-IE"/>
              </w:rPr>
              <w:t xml:space="preserve"> changes, if proposer fails to identify changes, please indicate best estimate of potential changes)</w:t>
            </w:r>
          </w:p>
        </w:tc>
      </w:tr>
      <w:tr w:rsidR="00C22D11" w:rsidRPr="00AD37E6" w:rsidDel="00404964" w14:paraId="03FFE369" w14:textId="77777777" w:rsidTr="0013032E">
        <w:tc>
          <w:tcPr>
            <w:tcW w:w="9450" w:type="dxa"/>
            <w:gridSpan w:val="6"/>
            <w:vAlign w:val="center"/>
          </w:tcPr>
          <w:p w14:paraId="05C5CB32" w14:textId="2506D689" w:rsidR="0038763B" w:rsidRDefault="0038763B" w:rsidP="00AD37E6">
            <w:pPr>
              <w:pStyle w:val="Heading6"/>
              <w:tabs>
                <w:tab w:val="left" w:pos="1716"/>
              </w:tabs>
              <w:rPr>
                <w:sz w:val="22"/>
                <w:szCs w:val="22"/>
              </w:rPr>
            </w:pPr>
            <w:r w:rsidRPr="00AD37E6">
              <w:rPr>
                <w:sz w:val="22"/>
                <w:szCs w:val="22"/>
              </w:rPr>
              <w:t>M.10</w:t>
            </w:r>
            <w:r w:rsidRPr="00AD37E6">
              <w:rPr>
                <w:sz w:val="22"/>
                <w:szCs w:val="22"/>
              </w:rPr>
              <w:tab/>
            </w:r>
            <w:r w:rsidR="00A03BA1">
              <w:rPr>
                <w:sz w:val="22"/>
                <w:szCs w:val="22"/>
              </w:rPr>
              <w:t xml:space="preserve">Supplementary </w:t>
            </w:r>
            <w:r w:rsidRPr="00AD37E6">
              <w:rPr>
                <w:sz w:val="22"/>
                <w:szCs w:val="22"/>
              </w:rPr>
              <w:t>Interim Secondary Trading</w:t>
            </w:r>
          </w:p>
          <w:p w14:paraId="3873E86C" w14:textId="77777777" w:rsidR="00182C8A" w:rsidRPr="00AD37E6" w:rsidRDefault="00182C8A" w:rsidP="00AD37E6">
            <w:pPr>
              <w:pStyle w:val="Heading6"/>
              <w:tabs>
                <w:tab w:val="left" w:pos="1716"/>
              </w:tabs>
              <w:rPr>
                <w:sz w:val="22"/>
                <w:szCs w:val="22"/>
              </w:rPr>
            </w:pPr>
          </w:p>
          <w:p w14:paraId="1010E9C0" w14:textId="77777777" w:rsidR="0038763B" w:rsidRPr="00AD37E6" w:rsidRDefault="0038763B" w:rsidP="00AD37E6">
            <w:pPr>
              <w:pStyle w:val="Heading7"/>
              <w:keepNext w:val="0"/>
              <w:keepLines w:val="0"/>
              <w:widowControl w:val="0"/>
              <w:tabs>
                <w:tab w:val="left" w:pos="1716"/>
              </w:tabs>
              <w:autoSpaceDE w:val="0"/>
              <w:autoSpaceDN w:val="0"/>
              <w:spacing w:before="0"/>
              <w:ind w:left="399"/>
              <w:jc w:val="left"/>
              <w:rPr>
                <w:rFonts w:ascii="Arial" w:hAnsi="Arial" w:cs="Arial"/>
                <w:szCs w:val="22"/>
              </w:rPr>
            </w:pPr>
            <w:r w:rsidRPr="00AD37E6">
              <w:rPr>
                <w:rFonts w:ascii="Arial" w:hAnsi="Arial" w:cs="Arial"/>
                <w:szCs w:val="22"/>
              </w:rPr>
              <w:t>M10.1</w:t>
            </w:r>
            <w:r w:rsidRPr="00AD37E6">
              <w:rPr>
                <w:rFonts w:ascii="Arial" w:hAnsi="Arial" w:cs="Arial"/>
                <w:szCs w:val="22"/>
              </w:rPr>
              <w:tab/>
              <w:t>Purpose</w:t>
            </w:r>
          </w:p>
          <w:p w14:paraId="73E42125" w14:textId="591C9F88" w:rsidR="0038763B" w:rsidRPr="00AD37E6" w:rsidRDefault="0038763B" w:rsidP="00AD37E6">
            <w:pPr>
              <w:widowControl w:val="0"/>
              <w:tabs>
                <w:tab w:val="left" w:pos="1716"/>
              </w:tabs>
              <w:spacing w:before="124"/>
              <w:ind w:left="1716" w:right="1134" w:hanging="1290"/>
              <w:jc w:val="both"/>
              <w:rPr>
                <w:rFonts w:ascii="Arial" w:hAnsi="Arial" w:cs="Arial"/>
                <w:sz w:val="22"/>
                <w:szCs w:val="22"/>
              </w:rPr>
            </w:pPr>
            <w:r w:rsidRPr="00AD37E6">
              <w:rPr>
                <w:rFonts w:ascii="Arial" w:hAnsi="Arial" w:cs="Arial"/>
                <w:sz w:val="22"/>
                <w:szCs w:val="22"/>
              </w:rPr>
              <w:t>M.10.1</w:t>
            </w:r>
            <w:r w:rsidRPr="00AD37E6">
              <w:rPr>
                <w:rFonts w:ascii="Arial" w:hAnsi="Arial" w:cs="Arial"/>
                <w:sz w:val="22"/>
                <w:szCs w:val="22"/>
              </w:rPr>
              <w:tab/>
              <w:t xml:space="preserve">Secondary trading allows a </w:t>
            </w:r>
            <w:r w:rsidR="00C51AD8" w:rsidRPr="00AD37E6">
              <w:rPr>
                <w:rFonts w:ascii="Arial" w:hAnsi="Arial" w:cs="Arial"/>
                <w:sz w:val="22"/>
                <w:szCs w:val="22"/>
              </w:rPr>
              <w:t>Party</w:t>
            </w:r>
            <w:r w:rsidRPr="00AD37E6">
              <w:rPr>
                <w:rFonts w:ascii="Arial" w:hAnsi="Arial" w:cs="Arial"/>
                <w:sz w:val="22"/>
                <w:szCs w:val="22"/>
              </w:rPr>
              <w:t xml:space="preserve"> to offset Awarded Capacity in respect of a Capacity Market Unit with another Capacity Market Unit providing replacement capacity in its place. The buyer of a Secondary Trade is effectively offsetting the capacity it has "sold" previously, and the seller of a Secondary Trade takes on the obligation to provide the capacity traded.</w:t>
            </w:r>
          </w:p>
          <w:p w14:paraId="17CF6A9C" w14:textId="2D3C1E71" w:rsidR="00C51AD8" w:rsidRPr="00AD37E6" w:rsidRDefault="0038763B" w:rsidP="00AD37E6">
            <w:pPr>
              <w:widowControl w:val="0"/>
              <w:tabs>
                <w:tab w:val="left" w:pos="1716"/>
              </w:tabs>
              <w:spacing w:before="122"/>
              <w:ind w:left="1716" w:hanging="1317"/>
              <w:rPr>
                <w:rFonts w:ascii="Arial" w:hAnsi="Arial" w:cs="Arial"/>
                <w:sz w:val="22"/>
                <w:szCs w:val="22"/>
              </w:rPr>
            </w:pPr>
            <w:r w:rsidRPr="00AD37E6">
              <w:rPr>
                <w:rFonts w:ascii="Arial" w:hAnsi="Arial" w:cs="Arial"/>
                <w:sz w:val="22"/>
                <w:szCs w:val="22"/>
              </w:rPr>
              <w:t>M.10.2</w:t>
            </w:r>
            <w:r w:rsidRPr="00AD37E6">
              <w:rPr>
                <w:rFonts w:ascii="Arial" w:hAnsi="Arial" w:cs="Arial"/>
                <w:sz w:val="22"/>
                <w:szCs w:val="22"/>
              </w:rPr>
              <w:tab/>
            </w:r>
            <w:r w:rsidR="00C51AD8" w:rsidRPr="00AD37E6">
              <w:rPr>
                <w:rFonts w:ascii="Arial" w:eastAsiaTheme="majorEastAsia" w:hAnsi="Arial" w:cs="Arial"/>
                <w:i/>
                <w:iCs/>
                <w:color w:val="243F60" w:themeColor="accent1" w:themeShade="7F"/>
                <w:sz w:val="22"/>
                <w:szCs w:val="22"/>
                <w:lang w:val="en-GB" w:eastAsia="en-US"/>
              </w:rPr>
              <w:t>Master Trade Request</w:t>
            </w:r>
          </w:p>
          <w:p w14:paraId="11D883B4" w14:textId="70A2E46A" w:rsidR="0038763B" w:rsidRPr="00AD37E6" w:rsidRDefault="00C51AD8" w:rsidP="00AD37E6">
            <w:pPr>
              <w:widowControl w:val="0"/>
              <w:tabs>
                <w:tab w:val="left" w:pos="1716"/>
              </w:tabs>
              <w:spacing w:before="122"/>
              <w:ind w:left="1716" w:hanging="1317"/>
              <w:rPr>
                <w:rFonts w:ascii="Arial" w:hAnsi="Arial" w:cs="Arial"/>
                <w:sz w:val="22"/>
                <w:szCs w:val="22"/>
              </w:rPr>
            </w:pPr>
            <w:r w:rsidRPr="00AD37E6">
              <w:rPr>
                <w:rFonts w:ascii="Arial" w:hAnsi="Arial" w:cs="Arial"/>
                <w:sz w:val="22"/>
                <w:szCs w:val="22"/>
              </w:rPr>
              <w:t>M.10.2.1</w:t>
            </w:r>
            <w:r w:rsidRPr="00AD37E6">
              <w:rPr>
                <w:rFonts w:ascii="Arial" w:hAnsi="Arial" w:cs="Arial"/>
                <w:sz w:val="22"/>
                <w:szCs w:val="22"/>
              </w:rPr>
              <w:tab/>
            </w:r>
            <w:r w:rsidR="0038763B" w:rsidRPr="00AD37E6">
              <w:rPr>
                <w:rFonts w:ascii="Arial" w:hAnsi="Arial" w:cs="Arial"/>
                <w:sz w:val="22"/>
                <w:szCs w:val="22"/>
              </w:rPr>
              <w:t xml:space="preserve">A Party shall not </w:t>
            </w:r>
            <w:r w:rsidRPr="00AD37E6">
              <w:rPr>
                <w:rFonts w:ascii="Arial" w:hAnsi="Arial" w:cs="Arial"/>
                <w:sz w:val="22"/>
                <w:szCs w:val="22"/>
              </w:rPr>
              <w:t>sell or buy secondary traded capacity without first submitting a</w:t>
            </w:r>
            <w:r w:rsidR="00AD37E6">
              <w:rPr>
                <w:rFonts w:ascii="Arial" w:hAnsi="Arial" w:cs="Arial"/>
                <w:sz w:val="22"/>
                <w:szCs w:val="22"/>
              </w:rPr>
              <w:t xml:space="preserve"> </w:t>
            </w:r>
            <w:r w:rsidRPr="00AD37E6">
              <w:rPr>
                <w:rFonts w:ascii="Arial" w:hAnsi="Arial" w:cs="Arial"/>
                <w:sz w:val="22"/>
                <w:szCs w:val="22"/>
              </w:rPr>
              <w:t>Master Trade Request to the Regulatory Authorities</w:t>
            </w:r>
            <w:r w:rsidR="0038763B" w:rsidRPr="00AD37E6">
              <w:rPr>
                <w:rFonts w:ascii="Arial" w:hAnsi="Arial" w:cs="Arial"/>
                <w:sz w:val="22"/>
                <w:szCs w:val="22"/>
              </w:rPr>
              <w:t>:</w:t>
            </w:r>
          </w:p>
          <w:p w14:paraId="52544900" w14:textId="5583E27B" w:rsidR="00C51AD8" w:rsidRPr="00AD37E6" w:rsidRDefault="00C51AD8" w:rsidP="00AD37E6">
            <w:pPr>
              <w:widowControl w:val="0"/>
              <w:tabs>
                <w:tab w:val="left" w:pos="1716"/>
              </w:tabs>
              <w:spacing w:before="122"/>
              <w:ind w:left="3033" w:hanging="1317"/>
              <w:rPr>
                <w:rFonts w:ascii="Arial" w:hAnsi="Arial" w:cs="Arial"/>
                <w:sz w:val="22"/>
                <w:szCs w:val="22"/>
              </w:rPr>
            </w:pPr>
            <w:r w:rsidRPr="00AD37E6">
              <w:rPr>
                <w:rFonts w:ascii="Arial" w:hAnsi="Arial" w:cs="Arial"/>
                <w:sz w:val="22"/>
                <w:szCs w:val="22"/>
              </w:rPr>
              <w:t>a) The Master Trade Request must be signed by directors of both parties.</w:t>
            </w:r>
          </w:p>
          <w:p w14:paraId="3A413C39" w14:textId="5A962815" w:rsidR="0038763B" w:rsidRPr="00AD37E6" w:rsidRDefault="00C51AD8" w:rsidP="00AD37E6">
            <w:pPr>
              <w:widowControl w:val="0"/>
              <w:tabs>
                <w:tab w:val="left" w:pos="1716"/>
              </w:tabs>
              <w:spacing w:before="122"/>
              <w:ind w:left="1716"/>
              <w:rPr>
                <w:rFonts w:ascii="Arial" w:hAnsi="Arial" w:cs="Arial"/>
                <w:sz w:val="22"/>
                <w:szCs w:val="22"/>
              </w:rPr>
            </w:pPr>
            <w:r w:rsidRPr="00AD37E6">
              <w:rPr>
                <w:rFonts w:ascii="Arial" w:hAnsi="Arial" w:cs="Arial"/>
                <w:sz w:val="22"/>
                <w:szCs w:val="22"/>
              </w:rPr>
              <w:t>b)</w:t>
            </w:r>
            <w:r w:rsidR="0038763B" w:rsidRPr="00AD37E6">
              <w:rPr>
                <w:rFonts w:ascii="Arial" w:hAnsi="Arial" w:cs="Arial"/>
                <w:sz w:val="22"/>
                <w:szCs w:val="22"/>
              </w:rPr>
              <w:t xml:space="preserve"> In giving consent under this paragraph, the Regulatory Authorities may impose such conditions as they determine are necessary for the purposes of the proper functioning of the</w:t>
            </w:r>
            <w:r w:rsidR="0038763B" w:rsidRPr="00AD37E6">
              <w:rPr>
                <w:rFonts w:ascii="Arial" w:hAnsi="Arial" w:cs="Arial"/>
                <w:spacing w:val="-6"/>
                <w:sz w:val="22"/>
                <w:szCs w:val="22"/>
              </w:rPr>
              <w:t xml:space="preserve"> </w:t>
            </w:r>
            <w:r w:rsidR="0038763B" w:rsidRPr="00AD37E6">
              <w:rPr>
                <w:rFonts w:ascii="Arial" w:hAnsi="Arial" w:cs="Arial"/>
                <w:sz w:val="22"/>
                <w:szCs w:val="22"/>
              </w:rPr>
              <w:t>SEM.</w:t>
            </w:r>
          </w:p>
          <w:p w14:paraId="4D8C928F" w14:textId="3FB5E74C" w:rsidR="00C51AD8" w:rsidRPr="00AD37E6" w:rsidRDefault="00C51AD8" w:rsidP="00AD37E6">
            <w:pPr>
              <w:widowControl w:val="0"/>
              <w:tabs>
                <w:tab w:val="left" w:pos="1716"/>
              </w:tabs>
              <w:spacing w:before="122"/>
              <w:ind w:left="1716"/>
              <w:rPr>
                <w:rFonts w:ascii="Arial" w:hAnsi="Arial" w:cs="Arial"/>
                <w:sz w:val="22"/>
                <w:szCs w:val="22"/>
              </w:rPr>
            </w:pPr>
            <w:r w:rsidRPr="00AD37E6">
              <w:rPr>
                <w:rFonts w:ascii="Arial" w:hAnsi="Arial" w:cs="Arial"/>
                <w:sz w:val="22"/>
                <w:szCs w:val="22"/>
              </w:rPr>
              <w:t>c) The Regulatory Authorities must inform the System Operator that they are satisfied for the parties to enter into a Trade Relationship for the purposes of Secondary Trading.</w:t>
            </w:r>
          </w:p>
          <w:p w14:paraId="2F398407" w14:textId="77777777" w:rsidR="00AD37E6" w:rsidRDefault="0038763B" w:rsidP="00AD37E6">
            <w:pPr>
              <w:widowControl w:val="0"/>
              <w:tabs>
                <w:tab w:val="left" w:pos="1712"/>
              </w:tabs>
              <w:spacing w:before="118"/>
              <w:ind w:left="1716" w:right="1134" w:hanging="1317"/>
              <w:jc w:val="both"/>
              <w:rPr>
                <w:rFonts w:ascii="Arial" w:hAnsi="Arial" w:cs="Arial"/>
                <w:sz w:val="22"/>
                <w:szCs w:val="22"/>
              </w:rPr>
            </w:pPr>
            <w:bookmarkStart w:id="2" w:name="_bookmark269"/>
            <w:bookmarkEnd w:id="2"/>
            <w:r w:rsidRPr="00AD37E6">
              <w:rPr>
                <w:rFonts w:ascii="Arial" w:hAnsi="Arial" w:cs="Arial"/>
                <w:sz w:val="22"/>
                <w:szCs w:val="22"/>
              </w:rPr>
              <w:t>M.10.</w:t>
            </w:r>
            <w:r w:rsidR="00C51AD8" w:rsidRPr="00AD37E6">
              <w:rPr>
                <w:rFonts w:ascii="Arial" w:hAnsi="Arial" w:cs="Arial"/>
                <w:sz w:val="22"/>
                <w:szCs w:val="22"/>
              </w:rPr>
              <w:t>3</w:t>
            </w:r>
            <w:r w:rsidRPr="00AD37E6">
              <w:rPr>
                <w:rFonts w:ascii="Arial" w:hAnsi="Arial" w:cs="Arial"/>
                <w:sz w:val="22"/>
                <w:szCs w:val="22"/>
              </w:rPr>
              <w:tab/>
            </w:r>
            <w:r w:rsidR="00BA2A44" w:rsidRPr="00AD37E6">
              <w:rPr>
                <w:rFonts w:ascii="Arial" w:eastAsiaTheme="majorEastAsia" w:hAnsi="Arial" w:cs="Arial"/>
                <w:i/>
                <w:iCs/>
                <w:color w:val="243F60" w:themeColor="accent1" w:themeShade="7F"/>
                <w:sz w:val="22"/>
                <w:szCs w:val="22"/>
                <w:lang w:val="en-GB" w:eastAsia="en-US"/>
              </w:rPr>
              <w:t>Secondary Trade Request</w:t>
            </w:r>
          </w:p>
          <w:p w14:paraId="149B2BDC" w14:textId="77777777" w:rsidR="00AD37E6" w:rsidRDefault="00BA2A44" w:rsidP="00AD37E6">
            <w:pPr>
              <w:widowControl w:val="0"/>
              <w:tabs>
                <w:tab w:val="left" w:pos="1712"/>
              </w:tabs>
              <w:spacing w:before="118"/>
              <w:ind w:left="1716" w:right="1134" w:hanging="1317"/>
              <w:jc w:val="both"/>
              <w:rPr>
                <w:rFonts w:ascii="Arial" w:hAnsi="Arial" w:cs="Arial"/>
                <w:sz w:val="22"/>
                <w:szCs w:val="22"/>
              </w:rPr>
            </w:pPr>
            <w:r w:rsidRPr="00AD37E6">
              <w:rPr>
                <w:rFonts w:ascii="Arial" w:hAnsi="Arial" w:cs="Arial"/>
                <w:sz w:val="22"/>
                <w:szCs w:val="22"/>
              </w:rPr>
              <w:t>M.10.3.1</w:t>
            </w:r>
            <w:r w:rsidRPr="00AD37E6">
              <w:rPr>
                <w:rFonts w:ascii="Arial" w:hAnsi="Arial" w:cs="Arial"/>
                <w:sz w:val="22"/>
                <w:szCs w:val="22"/>
              </w:rPr>
              <w:tab/>
            </w:r>
            <w:r w:rsidR="0038763B" w:rsidRPr="00AD37E6">
              <w:rPr>
                <w:rFonts w:ascii="Arial" w:hAnsi="Arial" w:cs="Arial"/>
                <w:sz w:val="22"/>
                <w:szCs w:val="22"/>
              </w:rPr>
              <w:t xml:space="preserve">Any request to </w:t>
            </w:r>
            <w:r w:rsidR="00C51AD8" w:rsidRPr="00AD37E6">
              <w:rPr>
                <w:rFonts w:ascii="Arial" w:hAnsi="Arial" w:cs="Arial"/>
                <w:sz w:val="22"/>
                <w:szCs w:val="22"/>
              </w:rPr>
              <w:t xml:space="preserve">buy or sell all or part of a unit’s obligation must be notified to the </w:t>
            </w:r>
            <w:r w:rsidR="0038763B" w:rsidRPr="00AD37E6">
              <w:rPr>
                <w:rFonts w:ascii="Arial" w:hAnsi="Arial" w:cs="Arial"/>
                <w:sz w:val="22"/>
                <w:szCs w:val="22"/>
              </w:rPr>
              <w:t>System Operators.</w:t>
            </w:r>
          </w:p>
          <w:p w14:paraId="39254620" w14:textId="05ABE72D" w:rsidR="00C51AD8" w:rsidRPr="00AD37E6" w:rsidRDefault="00C51AD8" w:rsidP="00AD37E6">
            <w:pPr>
              <w:widowControl w:val="0"/>
              <w:tabs>
                <w:tab w:val="left" w:pos="1712"/>
              </w:tabs>
              <w:spacing w:before="118"/>
              <w:ind w:left="1716" w:right="1134" w:hanging="1317"/>
              <w:jc w:val="both"/>
              <w:rPr>
                <w:rFonts w:ascii="Arial" w:hAnsi="Arial" w:cs="Arial"/>
                <w:sz w:val="22"/>
                <w:szCs w:val="22"/>
              </w:rPr>
            </w:pPr>
            <w:r w:rsidRPr="00AD37E6">
              <w:rPr>
                <w:rFonts w:ascii="Arial" w:hAnsi="Arial" w:cs="Arial"/>
                <w:sz w:val="22"/>
                <w:szCs w:val="22"/>
              </w:rPr>
              <w:t>M.10.3.</w:t>
            </w:r>
            <w:r w:rsidR="0000098C">
              <w:rPr>
                <w:rFonts w:ascii="Arial" w:hAnsi="Arial" w:cs="Arial"/>
                <w:sz w:val="22"/>
                <w:szCs w:val="22"/>
              </w:rPr>
              <w:t>2</w:t>
            </w:r>
            <w:r w:rsidRPr="00AD37E6">
              <w:rPr>
                <w:rFonts w:ascii="Arial" w:hAnsi="Arial" w:cs="Arial"/>
                <w:sz w:val="22"/>
                <w:szCs w:val="22"/>
              </w:rPr>
              <w:tab/>
              <w:t xml:space="preserve">The </w:t>
            </w:r>
            <w:r w:rsidR="00BA2A44" w:rsidRPr="00AD37E6">
              <w:rPr>
                <w:rFonts w:ascii="Arial" w:hAnsi="Arial" w:cs="Arial"/>
                <w:sz w:val="22"/>
                <w:szCs w:val="22"/>
              </w:rPr>
              <w:t xml:space="preserve">Secondary Trade Request </w:t>
            </w:r>
            <w:r w:rsidRPr="00AD37E6">
              <w:rPr>
                <w:rFonts w:ascii="Arial" w:hAnsi="Arial" w:cs="Arial"/>
                <w:sz w:val="22"/>
                <w:szCs w:val="22"/>
              </w:rPr>
              <w:t xml:space="preserve">must </w:t>
            </w:r>
            <w:r w:rsidR="00BA2A44" w:rsidRPr="00AD37E6">
              <w:rPr>
                <w:rFonts w:ascii="Arial" w:hAnsi="Arial" w:cs="Arial"/>
                <w:sz w:val="22"/>
                <w:szCs w:val="22"/>
              </w:rPr>
              <w:t>detail the following:</w:t>
            </w:r>
          </w:p>
          <w:p w14:paraId="647B3675" w14:textId="1D6D82E3" w:rsidR="00BA2A44" w:rsidRPr="00AD37E6" w:rsidRDefault="00BA2A44" w:rsidP="00552657">
            <w:pPr>
              <w:widowControl w:val="0"/>
              <w:tabs>
                <w:tab w:val="left" w:pos="1716"/>
              </w:tabs>
              <w:spacing w:before="119"/>
              <w:ind w:left="1710" w:right="1133" w:hanging="990"/>
              <w:jc w:val="both"/>
              <w:rPr>
                <w:rFonts w:ascii="Arial" w:hAnsi="Arial" w:cs="Arial"/>
                <w:sz w:val="22"/>
                <w:szCs w:val="22"/>
              </w:rPr>
            </w:pPr>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t>a) Buyer</w:t>
            </w:r>
          </w:p>
          <w:p w14:paraId="1E116486" w14:textId="0D42F0F8" w:rsidR="00BA2A44" w:rsidRPr="00AD37E6" w:rsidRDefault="00BA2A44" w:rsidP="00552657">
            <w:pPr>
              <w:widowControl w:val="0"/>
              <w:tabs>
                <w:tab w:val="left" w:pos="1392"/>
              </w:tabs>
              <w:spacing w:before="119"/>
              <w:ind w:left="1710" w:right="1133" w:hanging="990"/>
              <w:jc w:val="both"/>
              <w:rPr>
                <w:rFonts w:ascii="Arial" w:hAnsi="Arial" w:cs="Arial"/>
                <w:sz w:val="22"/>
                <w:szCs w:val="22"/>
              </w:rPr>
            </w:pPr>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t>b) Seller</w:t>
            </w:r>
          </w:p>
          <w:p w14:paraId="7A28370F" w14:textId="5C231DE7" w:rsidR="00BA2A44" w:rsidRPr="00AD37E6" w:rsidRDefault="00BA2A44" w:rsidP="00552657">
            <w:pPr>
              <w:widowControl w:val="0"/>
              <w:tabs>
                <w:tab w:val="left" w:pos="1392"/>
              </w:tabs>
              <w:spacing w:before="119"/>
              <w:ind w:left="1710" w:right="1133" w:hanging="990"/>
              <w:jc w:val="both"/>
              <w:rPr>
                <w:rFonts w:ascii="Arial" w:hAnsi="Arial" w:cs="Arial"/>
                <w:sz w:val="22"/>
                <w:szCs w:val="22"/>
              </w:rPr>
            </w:pPr>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t>c) Quantity</w:t>
            </w:r>
          </w:p>
          <w:p w14:paraId="71316172" w14:textId="4A3F0F84" w:rsidR="00BA2A44" w:rsidRPr="00AD37E6" w:rsidRDefault="00BA2A44" w:rsidP="00552657">
            <w:pPr>
              <w:widowControl w:val="0"/>
              <w:tabs>
                <w:tab w:val="left" w:pos="1392"/>
              </w:tabs>
              <w:spacing w:before="119"/>
              <w:ind w:left="1710" w:right="1133" w:hanging="990"/>
              <w:jc w:val="both"/>
              <w:rPr>
                <w:rFonts w:ascii="Arial" w:hAnsi="Arial" w:cs="Arial"/>
                <w:sz w:val="22"/>
                <w:szCs w:val="22"/>
              </w:rPr>
            </w:pPr>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t>d) Forward Period of the Trade</w:t>
            </w:r>
          </w:p>
          <w:p w14:paraId="07518CF7" w14:textId="64C5AAEE" w:rsidR="00BA2A44" w:rsidRDefault="00BA2A44" w:rsidP="00552657">
            <w:pPr>
              <w:widowControl w:val="0"/>
              <w:tabs>
                <w:tab w:val="left" w:pos="1392"/>
              </w:tabs>
              <w:spacing w:before="119"/>
              <w:ind w:left="1710" w:right="1133" w:hanging="990"/>
              <w:jc w:val="both"/>
              <w:rPr>
                <w:rFonts w:ascii="Arial" w:hAnsi="Arial" w:cs="Arial"/>
                <w:sz w:val="22"/>
                <w:szCs w:val="22"/>
              </w:rPr>
            </w:pPr>
            <w:r w:rsidRPr="00AD37E6">
              <w:rPr>
                <w:rFonts w:ascii="Arial" w:hAnsi="Arial" w:cs="Arial"/>
                <w:sz w:val="22"/>
                <w:szCs w:val="22"/>
              </w:rPr>
              <w:lastRenderedPageBreak/>
              <w:tab/>
            </w:r>
            <w:r w:rsidRPr="00AD37E6">
              <w:rPr>
                <w:rFonts w:ascii="Arial" w:hAnsi="Arial" w:cs="Arial"/>
                <w:sz w:val="22"/>
                <w:szCs w:val="22"/>
              </w:rPr>
              <w:tab/>
            </w:r>
            <w:r w:rsidRPr="00AD37E6">
              <w:rPr>
                <w:rFonts w:ascii="Arial" w:hAnsi="Arial" w:cs="Arial"/>
                <w:sz w:val="22"/>
                <w:szCs w:val="22"/>
              </w:rPr>
              <w:tab/>
              <w:t xml:space="preserve">e) The </w:t>
            </w:r>
            <w:r w:rsidR="0000098C">
              <w:rPr>
                <w:rFonts w:ascii="Arial" w:hAnsi="Arial" w:cs="Arial"/>
                <w:sz w:val="22"/>
                <w:szCs w:val="22"/>
              </w:rPr>
              <w:t>M</w:t>
            </w:r>
            <w:r w:rsidRPr="00AD37E6">
              <w:rPr>
                <w:rFonts w:ascii="Arial" w:hAnsi="Arial" w:cs="Arial"/>
                <w:sz w:val="22"/>
                <w:szCs w:val="22"/>
              </w:rPr>
              <w:t xml:space="preserve">aximum </w:t>
            </w:r>
            <w:r w:rsidR="00AE769D">
              <w:rPr>
                <w:rFonts w:ascii="Arial" w:hAnsi="Arial" w:cs="Arial"/>
                <w:sz w:val="22"/>
                <w:szCs w:val="22"/>
              </w:rPr>
              <w:t xml:space="preserve">Forecasted </w:t>
            </w:r>
            <w:r w:rsidRPr="00AD37E6">
              <w:rPr>
                <w:rFonts w:ascii="Arial" w:hAnsi="Arial" w:cs="Arial"/>
                <w:sz w:val="22"/>
                <w:szCs w:val="22"/>
              </w:rPr>
              <w:t>FSQC of the forward period</w:t>
            </w:r>
            <w:r w:rsidR="00F0679E">
              <w:rPr>
                <w:rFonts w:ascii="Arial" w:hAnsi="Arial" w:cs="Arial"/>
                <w:sz w:val="22"/>
                <w:szCs w:val="22"/>
              </w:rPr>
              <w:t xml:space="preserve"> </w:t>
            </w:r>
          </w:p>
          <w:p w14:paraId="5F2B31F5" w14:textId="279C9543" w:rsidR="00E82EFF" w:rsidRPr="00AD37E6" w:rsidRDefault="00DE29F5" w:rsidP="00552657">
            <w:pPr>
              <w:widowControl w:val="0"/>
              <w:tabs>
                <w:tab w:val="left" w:pos="1392"/>
              </w:tabs>
              <w:spacing w:before="119"/>
              <w:ind w:left="1710" w:right="1133" w:hanging="990"/>
              <w:jc w:val="both"/>
              <w:rPr>
                <w:rFonts w:ascii="Arial" w:hAnsi="Arial" w:cs="Arial"/>
                <w:sz w:val="22"/>
                <w:szCs w:val="22"/>
              </w:rPr>
            </w:pPr>
            <w:r w:rsidRPr="00AD37E6">
              <w:rPr>
                <w:rFonts w:ascii="Arial" w:hAnsi="Arial" w:cs="Arial"/>
                <w:sz w:val="22"/>
                <w:szCs w:val="22"/>
              </w:rPr>
              <w:tab/>
            </w:r>
            <w:r w:rsidRPr="00AD37E6">
              <w:rPr>
                <w:rFonts w:ascii="Arial" w:hAnsi="Arial" w:cs="Arial"/>
                <w:sz w:val="22"/>
                <w:szCs w:val="22"/>
              </w:rPr>
              <w:tab/>
            </w:r>
            <w:r w:rsidRPr="00AD37E6">
              <w:rPr>
                <w:rFonts w:ascii="Arial" w:hAnsi="Arial" w:cs="Arial"/>
                <w:sz w:val="22"/>
                <w:szCs w:val="22"/>
              </w:rPr>
              <w:tab/>
            </w:r>
            <w:r w:rsidR="00E82EFF">
              <w:rPr>
                <w:rFonts w:ascii="Arial" w:hAnsi="Arial" w:cs="Arial"/>
                <w:sz w:val="22"/>
                <w:szCs w:val="22"/>
              </w:rPr>
              <w:t>f) Price</w:t>
            </w:r>
          </w:p>
          <w:p w14:paraId="1547EB60" w14:textId="0D37BD4A" w:rsidR="00BA2A44" w:rsidRPr="00AD37E6" w:rsidRDefault="00BA2A44" w:rsidP="00AD37E6">
            <w:pPr>
              <w:widowControl w:val="0"/>
              <w:tabs>
                <w:tab w:val="left" w:pos="1716"/>
              </w:tabs>
              <w:spacing w:before="119"/>
              <w:ind w:left="1716" w:right="1133" w:hanging="1276"/>
              <w:jc w:val="both"/>
              <w:rPr>
                <w:rFonts w:ascii="Arial" w:hAnsi="Arial" w:cs="Arial"/>
                <w:sz w:val="22"/>
                <w:szCs w:val="22"/>
              </w:rPr>
            </w:pPr>
            <w:r w:rsidRPr="00AD37E6">
              <w:rPr>
                <w:rFonts w:ascii="Arial" w:hAnsi="Arial" w:cs="Arial"/>
                <w:sz w:val="22"/>
                <w:szCs w:val="22"/>
              </w:rPr>
              <w:t>M.10.3.</w:t>
            </w:r>
            <w:r w:rsidR="0000098C">
              <w:rPr>
                <w:rFonts w:ascii="Arial" w:hAnsi="Arial" w:cs="Arial"/>
                <w:sz w:val="22"/>
                <w:szCs w:val="22"/>
              </w:rPr>
              <w:t>3</w:t>
            </w:r>
            <w:r w:rsidRPr="00AD37E6">
              <w:rPr>
                <w:rFonts w:ascii="Arial" w:hAnsi="Arial" w:cs="Arial"/>
                <w:sz w:val="22"/>
                <w:szCs w:val="22"/>
              </w:rPr>
              <w:tab/>
              <w:t xml:space="preserve">The System Operators </w:t>
            </w:r>
            <w:r w:rsidR="00E04205">
              <w:rPr>
                <w:rFonts w:ascii="Arial" w:hAnsi="Arial" w:cs="Arial"/>
                <w:sz w:val="22"/>
                <w:szCs w:val="22"/>
              </w:rPr>
              <w:t>shall only</w:t>
            </w:r>
            <w:r w:rsidRPr="00AD37E6">
              <w:rPr>
                <w:rFonts w:ascii="Arial" w:hAnsi="Arial" w:cs="Arial"/>
                <w:sz w:val="22"/>
                <w:szCs w:val="22"/>
              </w:rPr>
              <w:t xml:space="preserve"> reject a Secondary Trade Request if:</w:t>
            </w:r>
          </w:p>
          <w:p w14:paraId="088A904D" w14:textId="09E84583" w:rsidR="00BA2A44" w:rsidRPr="00AD37E6" w:rsidRDefault="00BA2A44" w:rsidP="00BA2A44">
            <w:pPr>
              <w:pStyle w:val="ListParagraph"/>
              <w:widowControl w:val="0"/>
              <w:numPr>
                <w:ilvl w:val="5"/>
                <w:numId w:val="10"/>
              </w:numPr>
              <w:tabs>
                <w:tab w:val="left" w:pos="1391"/>
                <w:tab w:val="left" w:pos="1392"/>
              </w:tabs>
              <w:overflowPunct/>
              <w:adjustRightInd/>
              <w:spacing w:before="123"/>
              <w:ind w:right="1140"/>
              <w:contextualSpacing w:val="0"/>
              <w:textAlignment w:val="auto"/>
              <w:rPr>
                <w:rFonts w:ascii="Arial" w:hAnsi="Arial" w:cs="Arial"/>
                <w:sz w:val="22"/>
                <w:szCs w:val="22"/>
              </w:rPr>
            </w:pPr>
            <w:r w:rsidRPr="00AD37E6">
              <w:rPr>
                <w:rFonts w:ascii="Arial" w:hAnsi="Arial" w:cs="Arial"/>
                <w:sz w:val="22"/>
                <w:szCs w:val="22"/>
              </w:rPr>
              <w:t xml:space="preserve">The Maximum </w:t>
            </w:r>
            <w:r w:rsidR="00E04205">
              <w:rPr>
                <w:rFonts w:ascii="Arial" w:hAnsi="Arial" w:cs="Arial"/>
                <w:sz w:val="22"/>
                <w:szCs w:val="22"/>
              </w:rPr>
              <w:t xml:space="preserve">Forecasted </w:t>
            </w:r>
            <w:r w:rsidRPr="00AD37E6">
              <w:rPr>
                <w:rFonts w:ascii="Arial" w:hAnsi="Arial" w:cs="Arial"/>
                <w:sz w:val="22"/>
                <w:szCs w:val="22"/>
              </w:rPr>
              <w:t>FSQC provided is incorrect</w:t>
            </w:r>
          </w:p>
          <w:p w14:paraId="1095F5AB" w14:textId="3068636E" w:rsidR="00BA2A44" w:rsidRPr="00AD37E6" w:rsidRDefault="00BA2A44" w:rsidP="00E4293F">
            <w:pPr>
              <w:pStyle w:val="ListParagraph"/>
              <w:widowControl w:val="0"/>
              <w:numPr>
                <w:ilvl w:val="5"/>
                <w:numId w:val="10"/>
              </w:numPr>
              <w:tabs>
                <w:tab w:val="left" w:pos="1391"/>
                <w:tab w:val="left" w:pos="1392"/>
              </w:tabs>
              <w:overflowPunct/>
              <w:adjustRightInd/>
              <w:spacing w:before="123"/>
              <w:ind w:right="1140"/>
              <w:contextualSpacing w:val="0"/>
              <w:textAlignment w:val="auto"/>
              <w:rPr>
                <w:rFonts w:ascii="Arial" w:hAnsi="Arial" w:cs="Arial"/>
                <w:sz w:val="22"/>
                <w:szCs w:val="22"/>
              </w:rPr>
            </w:pPr>
            <w:r w:rsidRPr="00AD37E6">
              <w:rPr>
                <w:rFonts w:ascii="Arial" w:hAnsi="Arial" w:cs="Arial"/>
                <w:sz w:val="22"/>
                <w:szCs w:val="22"/>
              </w:rPr>
              <w:t xml:space="preserve">If the Seller Limit </w:t>
            </w:r>
            <w:r w:rsidR="00F0679E">
              <w:rPr>
                <w:rFonts w:ascii="Arial" w:hAnsi="Arial" w:cs="Arial"/>
                <w:sz w:val="22"/>
                <w:szCs w:val="22"/>
              </w:rPr>
              <w:t>is exceeded.</w:t>
            </w:r>
          </w:p>
          <w:p w14:paraId="15F2B4A9" w14:textId="1B096747" w:rsidR="0038763B" w:rsidRPr="00AD37E6" w:rsidRDefault="0038763B" w:rsidP="00200F10">
            <w:pPr>
              <w:pStyle w:val="BodyText"/>
              <w:spacing w:before="118"/>
            </w:pPr>
          </w:p>
          <w:p w14:paraId="1D43BC54" w14:textId="77777777" w:rsidR="00182C8A" w:rsidRDefault="00DA3C56" w:rsidP="00182C8A">
            <w:pPr>
              <w:pStyle w:val="Heading7"/>
              <w:keepNext w:val="0"/>
              <w:keepLines w:val="0"/>
              <w:widowControl w:val="0"/>
              <w:tabs>
                <w:tab w:val="left" w:pos="1716"/>
              </w:tabs>
              <w:autoSpaceDE w:val="0"/>
              <w:autoSpaceDN w:val="0"/>
              <w:spacing w:line="360" w:lineRule="auto"/>
              <w:ind w:left="1716" w:hanging="1276"/>
              <w:rPr>
                <w:rFonts w:ascii="Arial" w:hAnsi="Arial" w:cs="Arial"/>
                <w:szCs w:val="22"/>
              </w:rPr>
            </w:pPr>
            <w:r w:rsidRPr="00AD37E6">
              <w:rPr>
                <w:rFonts w:ascii="Arial" w:hAnsi="Arial" w:cs="Arial"/>
                <w:szCs w:val="22"/>
              </w:rPr>
              <w:t xml:space="preserve">M.10.4 </w:t>
            </w:r>
            <w:r w:rsidR="00AD37E6">
              <w:rPr>
                <w:rFonts w:ascii="Arial" w:hAnsi="Arial" w:cs="Arial"/>
                <w:szCs w:val="22"/>
              </w:rPr>
              <w:t xml:space="preserve">        </w:t>
            </w:r>
            <w:r w:rsidR="0038763B" w:rsidRPr="00AD37E6">
              <w:rPr>
                <w:rFonts w:ascii="Arial" w:hAnsi="Arial" w:cs="Arial"/>
                <w:szCs w:val="22"/>
              </w:rPr>
              <w:t>Role of System</w:t>
            </w:r>
            <w:r w:rsidR="0038763B" w:rsidRPr="00AD37E6">
              <w:rPr>
                <w:rFonts w:ascii="Arial" w:hAnsi="Arial" w:cs="Arial"/>
                <w:spacing w:val="-6"/>
                <w:szCs w:val="22"/>
              </w:rPr>
              <w:t xml:space="preserve"> </w:t>
            </w:r>
            <w:r w:rsidR="0038763B" w:rsidRPr="00AD37E6">
              <w:rPr>
                <w:rFonts w:ascii="Arial" w:hAnsi="Arial" w:cs="Arial"/>
                <w:szCs w:val="22"/>
              </w:rPr>
              <w:t>Operators</w:t>
            </w:r>
          </w:p>
          <w:p w14:paraId="3A704847" w14:textId="1F69147D" w:rsidR="00AD37E6" w:rsidRPr="00182C8A" w:rsidRDefault="00DA3C56" w:rsidP="00182C8A">
            <w:pPr>
              <w:pStyle w:val="Heading7"/>
              <w:keepNext w:val="0"/>
              <w:keepLines w:val="0"/>
              <w:widowControl w:val="0"/>
              <w:tabs>
                <w:tab w:val="left" w:pos="1716"/>
              </w:tabs>
              <w:autoSpaceDE w:val="0"/>
              <w:autoSpaceDN w:val="0"/>
              <w:ind w:left="1716" w:hanging="1276"/>
              <w:rPr>
                <w:rFonts w:ascii="Arial" w:hAnsi="Arial" w:cs="Arial"/>
                <w:szCs w:val="22"/>
              </w:rPr>
            </w:pPr>
            <w:r w:rsidRPr="00552657">
              <w:rPr>
                <w:rFonts w:ascii="Arial" w:hAnsi="Arial" w:cs="Arial"/>
                <w:i w:val="0"/>
                <w:iCs w:val="0"/>
                <w:color w:val="000000" w:themeColor="text1"/>
                <w:szCs w:val="22"/>
              </w:rPr>
              <w:t>M.10.4.1</w:t>
            </w:r>
            <w:r w:rsidRPr="00552657">
              <w:rPr>
                <w:rFonts w:ascii="Arial" w:hAnsi="Arial" w:cs="Arial"/>
                <w:color w:val="000000" w:themeColor="text1"/>
                <w:szCs w:val="22"/>
              </w:rPr>
              <w:t xml:space="preserve"> </w:t>
            </w:r>
            <w:r w:rsidR="00AD37E6" w:rsidRPr="00552657">
              <w:rPr>
                <w:rFonts w:ascii="Arial" w:hAnsi="Arial" w:cs="Arial"/>
                <w:color w:val="000000" w:themeColor="text1"/>
                <w:szCs w:val="22"/>
              </w:rPr>
              <w:t xml:space="preserve">     </w:t>
            </w:r>
            <w:r w:rsidR="0038763B" w:rsidRPr="00552657">
              <w:rPr>
                <w:rFonts w:ascii="Arial" w:hAnsi="Arial" w:cs="Arial"/>
                <w:i w:val="0"/>
                <w:iCs w:val="0"/>
                <w:color w:val="000000" w:themeColor="text1"/>
                <w:szCs w:val="22"/>
              </w:rPr>
              <w:t>The System Operators must do all things necessary to operate and administer</w:t>
            </w:r>
          </w:p>
          <w:p w14:paraId="4390FE7A" w14:textId="2A7BDFF5" w:rsidR="0038763B" w:rsidRPr="00552657" w:rsidRDefault="00552657" w:rsidP="00552657">
            <w:pPr>
              <w:pStyle w:val="Heading7"/>
              <w:keepNext w:val="0"/>
              <w:keepLines w:val="0"/>
              <w:widowControl w:val="0"/>
              <w:tabs>
                <w:tab w:val="left" w:pos="1716"/>
              </w:tabs>
              <w:autoSpaceDE w:val="0"/>
              <w:autoSpaceDN w:val="0"/>
              <w:spacing w:before="0"/>
              <w:ind w:left="4290" w:hanging="2850"/>
              <w:rPr>
                <w:rFonts w:ascii="Arial" w:hAnsi="Arial" w:cs="Arial"/>
                <w:i w:val="0"/>
                <w:iCs w:val="0"/>
                <w:color w:val="000000" w:themeColor="text1"/>
                <w:szCs w:val="22"/>
              </w:rPr>
            </w:pPr>
            <w:r w:rsidRPr="00552657">
              <w:rPr>
                <w:rFonts w:ascii="Arial" w:hAnsi="Arial" w:cs="Arial"/>
                <w:i w:val="0"/>
                <w:iCs w:val="0"/>
                <w:color w:val="000000" w:themeColor="text1"/>
                <w:szCs w:val="22"/>
              </w:rPr>
              <w:t xml:space="preserve">   </w:t>
            </w:r>
            <w:r>
              <w:rPr>
                <w:rFonts w:ascii="Arial" w:hAnsi="Arial" w:cs="Arial"/>
                <w:i w:val="0"/>
                <w:iCs w:val="0"/>
                <w:color w:val="000000" w:themeColor="text1"/>
                <w:szCs w:val="22"/>
              </w:rPr>
              <w:t xml:space="preserve"> </w:t>
            </w:r>
            <w:r w:rsidR="0038763B" w:rsidRPr="00552657">
              <w:rPr>
                <w:rFonts w:ascii="Arial" w:hAnsi="Arial" w:cs="Arial"/>
                <w:i w:val="0"/>
                <w:iCs w:val="0"/>
                <w:color w:val="000000" w:themeColor="text1"/>
                <w:szCs w:val="22"/>
              </w:rPr>
              <w:t>Secondary Trade</w:t>
            </w:r>
            <w:r w:rsidR="00DA3C56" w:rsidRPr="00552657">
              <w:rPr>
                <w:rFonts w:ascii="Arial" w:hAnsi="Arial" w:cs="Arial"/>
                <w:i w:val="0"/>
                <w:iCs w:val="0"/>
                <w:color w:val="000000" w:themeColor="text1"/>
                <w:szCs w:val="22"/>
              </w:rPr>
              <w:t>s</w:t>
            </w:r>
            <w:r w:rsidR="0038763B" w:rsidRPr="00552657">
              <w:rPr>
                <w:rFonts w:ascii="Arial" w:hAnsi="Arial" w:cs="Arial"/>
                <w:i w:val="0"/>
                <w:iCs w:val="0"/>
                <w:color w:val="000000" w:themeColor="text1"/>
                <w:szCs w:val="22"/>
              </w:rPr>
              <w:t xml:space="preserve"> in accordance with this Chapter</w:t>
            </w:r>
            <w:r w:rsidR="0038763B" w:rsidRPr="00552657">
              <w:rPr>
                <w:rFonts w:ascii="Arial" w:hAnsi="Arial" w:cs="Arial"/>
                <w:i w:val="0"/>
                <w:iCs w:val="0"/>
                <w:color w:val="000000" w:themeColor="text1"/>
                <w:spacing w:val="-5"/>
                <w:szCs w:val="22"/>
              </w:rPr>
              <w:t xml:space="preserve"> </w:t>
            </w:r>
            <w:r w:rsidR="0038763B" w:rsidRPr="00552657">
              <w:rPr>
                <w:rFonts w:ascii="Arial" w:hAnsi="Arial" w:cs="Arial"/>
                <w:i w:val="0"/>
                <w:iCs w:val="0"/>
                <w:color w:val="000000" w:themeColor="text1"/>
                <w:szCs w:val="22"/>
              </w:rPr>
              <w:t>including:</w:t>
            </w:r>
          </w:p>
          <w:p w14:paraId="6659EFC4" w14:textId="5409EFB7" w:rsidR="0038763B" w:rsidRPr="00AD37E6" w:rsidRDefault="0038763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rFonts w:ascii="Arial" w:hAnsi="Arial" w:cs="Arial"/>
                <w:sz w:val="22"/>
                <w:szCs w:val="22"/>
              </w:rPr>
            </w:pPr>
            <w:r w:rsidRPr="00AD37E6">
              <w:rPr>
                <w:rFonts w:ascii="Arial" w:hAnsi="Arial" w:cs="Arial"/>
                <w:sz w:val="22"/>
                <w:szCs w:val="22"/>
              </w:rPr>
              <w:t>Registering trading relationships</w:t>
            </w:r>
          </w:p>
          <w:p w14:paraId="51113E7A" w14:textId="77777777" w:rsidR="0038763B" w:rsidRPr="00AD37E6" w:rsidRDefault="0038763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rFonts w:ascii="Arial" w:hAnsi="Arial" w:cs="Arial"/>
                <w:sz w:val="22"/>
                <w:szCs w:val="22"/>
              </w:rPr>
            </w:pPr>
            <w:r w:rsidRPr="00AD37E6">
              <w:rPr>
                <w:rFonts w:ascii="Arial" w:hAnsi="Arial" w:cs="Arial"/>
                <w:sz w:val="22"/>
                <w:szCs w:val="22"/>
              </w:rPr>
              <w:t>Validating trading requests</w:t>
            </w:r>
          </w:p>
          <w:p w14:paraId="2C7F6D42" w14:textId="3AED07F0" w:rsidR="0038763B" w:rsidRPr="00E4293F" w:rsidRDefault="0038763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rFonts w:ascii="Arial" w:hAnsi="Arial" w:cs="Arial"/>
                <w:sz w:val="22"/>
                <w:szCs w:val="22"/>
              </w:rPr>
            </w:pPr>
            <w:r w:rsidRPr="00E4293F">
              <w:rPr>
                <w:rFonts w:ascii="Arial" w:hAnsi="Arial" w:cs="Arial"/>
                <w:sz w:val="22"/>
                <w:szCs w:val="22"/>
              </w:rPr>
              <w:t xml:space="preserve">Ensuring that the </w:t>
            </w:r>
            <w:r w:rsidR="006C28BB" w:rsidRPr="00E4293F">
              <w:rPr>
                <w:rFonts w:ascii="Arial" w:hAnsi="Arial" w:cs="Arial"/>
                <w:sz w:val="22"/>
                <w:szCs w:val="22"/>
              </w:rPr>
              <w:t>forecasted obligated capacity quantity does not exceed the seller limit</w:t>
            </w:r>
            <w:r w:rsidRPr="00E4293F">
              <w:rPr>
                <w:rFonts w:ascii="Arial" w:hAnsi="Arial" w:cs="Arial"/>
                <w:sz w:val="22"/>
                <w:szCs w:val="22"/>
              </w:rPr>
              <w:t>;</w:t>
            </w:r>
          </w:p>
          <w:p w14:paraId="3256677E" w14:textId="2A49D6EA" w:rsidR="006C28BB" w:rsidRPr="00AD37E6" w:rsidRDefault="006C28BB" w:rsidP="00552657">
            <w:pPr>
              <w:pStyle w:val="ListParagraph"/>
              <w:widowControl w:val="0"/>
              <w:numPr>
                <w:ilvl w:val="4"/>
                <w:numId w:val="13"/>
              </w:numPr>
              <w:tabs>
                <w:tab w:val="left" w:pos="2101"/>
                <w:tab w:val="left" w:pos="2102"/>
              </w:tabs>
              <w:overflowPunct/>
              <w:adjustRightInd/>
              <w:spacing w:before="121"/>
              <w:ind w:hanging="386"/>
              <w:contextualSpacing w:val="0"/>
              <w:textAlignment w:val="auto"/>
              <w:rPr>
                <w:rFonts w:ascii="Arial" w:hAnsi="Arial" w:cs="Arial"/>
                <w:sz w:val="22"/>
                <w:szCs w:val="22"/>
              </w:rPr>
            </w:pPr>
            <w:r w:rsidRPr="00E4293F">
              <w:rPr>
                <w:rFonts w:ascii="Arial" w:hAnsi="Arial" w:cs="Arial"/>
                <w:sz w:val="22"/>
                <w:szCs w:val="22"/>
              </w:rPr>
              <w:t>Ensuring that the</w:t>
            </w:r>
            <w:r w:rsidRPr="00AD37E6">
              <w:rPr>
                <w:rFonts w:ascii="Arial" w:hAnsi="Arial" w:cs="Arial"/>
                <w:sz w:val="22"/>
                <w:szCs w:val="22"/>
              </w:rPr>
              <w:t xml:space="preserve"> buyer cannot buy below a 0</w:t>
            </w:r>
            <w:r w:rsidR="003C3334">
              <w:rPr>
                <w:rFonts w:ascii="Arial" w:hAnsi="Arial" w:cs="Arial"/>
                <w:sz w:val="22"/>
                <w:szCs w:val="22"/>
              </w:rPr>
              <w:t>MW</w:t>
            </w:r>
            <w:r w:rsidRPr="00AD37E6">
              <w:rPr>
                <w:rFonts w:ascii="Arial" w:hAnsi="Arial" w:cs="Arial"/>
                <w:sz w:val="22"/>
                <w:szCs w:val="22"/>
              </w:rPr>
              <w:t xml:space="preserve"> obligation.</w:t>
            </w:r>
          </w:p>
          <w:p w14:paraId="51C4E4C5" w14:textId="77777777" w:rsidR="00552657" w:rsidRDefault="0038763B" w:rsidP="00552657">
            <w:pPr>
              <w:pStyle w:val="ListParagraph"/>
              <w:widowControl w:val="0"/>
              <w:numPr>
                <w:ilvl w:val="4"/>
                <w:numId w:val="13"/>
              </w:numPr>
              <w:tabs>
                <w:tab w:val="left" w:pos="2101"/>
                <w:tab w:val="left" w:pos="2102"/>
              </w:tabs>
              <w:overflowPunct/>
              <w:adjustRightInd/>
              <w:spacing w:before="119"/>
              <w:ind w:right="1135" w:hanging="386"/>
              <w:contextualSpacing w:val="0"/>
              <w:textAlignment w:val="auto"/>
              <w:rPr>
                <w:rFonts w:ascii="Arial" w:hAnsi="Arial" w:cs="Arial"/>
                <w:sz w:val="22"/>
                <w:szCs w:val="22"/>
              </w:rPr>
            </w:pPr>
            <w:r w:rsidRPr="00AD37E6">
              <w:rPr>
                <w:rFonts w:ascii="Arial" w:hAnsi="Arial" w:cs="Arial"/>
                <w:sz w:val="22"/>
                <w:szCs w:val="22"/>
              </w:rPr>
              <w:t xml:space="preserve">providing facilities for the receipt and processing of Secondary </w:t>
            </w:r>
            <w:r w:rsidR="006C28BB" w:rsidRPr="00AD37E6">
              <w:rPr>
                <w:rFonts w:ascii="Arial" w:hAnsi="Arial" w:cs="Arial"/>
                <w:sz w:val="22"/>
                <w:szCs w:val="22"/>
              </w:rPr>
              <w:t>Trade Requests</w:t>
            </w:r>
            <w:r w:rsidRPr="00AD37E6">
              <w:rPr>
                <w:rFonts w:ascii="Arial" w:hAnsi="Arial" w:cs="Arial"/>
                <w:sz w:val="22"/>
                <w:szCs w:val="22"/>
              </w:rPr>
              <w:t>;</w:t>
            </w:r>
          </w:p>
          <w:p w14:paraId="641A9A30" w14:textId="0D3D53B6" w:rsidR="0038763B" w:rsidRDefault="0038763B" w:rsidP="00552657">
            <w:pPr>
              <w:pStyle w:val="ListParagraph"/>
              <w:widowControl w:val="0"/>
              <w:numPr>
                <w:ilvl w:val="4"/>
                <w:numId w:val="13"/>
              </w:numPr>
              <w:tabs>
                <w:tab w:val="left" w:pos="1716"/>
              </w:tabs>
              <w:overflowPunct/>
              <w:adjustRightInd/>
              <w:spacing w:before="119"/>
              <w:ind w:right="1135" w:hanging="386"/>
              <w:contextualSpacing w:val="0"/>
              <w:textAlignment w:val="auto"/>
              <w:rPr>
                <w:rFonts w:ascii="Arial" w:hAnsi="Arial" w:cs="Arial"/>
                <w:sz w:val="22"/>
                <w:szCs w:val="22"/>
              </w:rPr>
            </w:pPr>
            <w:r w:rsidRPr="00552657">
              <w:rPr>
                <w:rFonts w:ascii="Arial" w:hAnsi="Arial" w:cs="Arial"/>
                <w:sz w:val="22"/>
                <w:szCs w:val="22"/>
              </w:rPr>
              <w:t xml:space="preserve">providing and managing the Capacity </w:t>
            </w:r>
            <w:r w:rsidR="006C28BB" w:rsidRPr="00552657">
              <w:rPr>
                <w:rFonts w:ascii="Arial" w:hAnsi="Arial" w:cs="Arial"/>
                <w:sz w:val="22"/>
                <w:szCs w:val="22"/>
              </w:rPr>
              <w:t>and Trade Register</w:t>
            </w:r>
            <w:r w:rsidRPr="00552657">
              <w:rPr>
                <w:rFonts w:ascii="Arial" w:hAnsi="Arial" w:cs="Arial"/>
                <w:sz w:val="22"/>
                <w:szCs w:val="22"/>
              </w:rPr>
              <w:t xml:space="preserve"> for the purpose of conducting Secondary Trad</w:t>
            </w:r>
            <w:r w:rsidR="00DA3C56" w:rsidRPr="00552657">
              <w:rPr>
                <w:rFonts w:ascii="Arial" w:hAnsi="Arial" w:cs="Arial"/>
                <w:sz w:val="22"/>
                <w:szCs w:val="22"/>
              </w:rPr>
              <w:t>es</w:t>
            </w:r>
            <w:r w:rsidR="00E4293F">
              <w:rPr>
                <w:rFonts w:ascii="Arial" w:hAnsi="Arial" w:cs="Arial"/>
                <w:sz w:val="22"/>
                <w:szCs w:val="22"/>
              </w:rPr>
              <w:t>.</w:t>
            </w:r>
          </w:p>
          <w:p w14:paraId="72806786" w14:textId="77777777" w:rsidR="00DC2EF1" w:rsidRPr="00552657" w:rsidRDefault="00DC2EF1" w:rsidP="00DC2EF1">
            <w:pPr>
              <w:pStyle w:val="ListParagraph"/>
              <w:widowControl w:val="0"/>
              <w:tabs>
                <w:tab w:val="left" w:pos="1716"/>
              </w:tabs>
              <w:overflowPunct/>
              <w:adjustRightInd/>
              <w:spacing w:before="119"/>
              <w:ind w:left="2102" w:right="1135"/>
              <w:contextualSpacing w:val="0"/>
              <w:textAlignment w:val="auto"/>
              <w:rPr>
                <w:rFonts w:ascii="Arial" w:hAnsi="Arial" w:cs="Arial"/>
                <w:sz w:val="22"/>
                <w:szCs w:val="22"/>
              </w:rPr>
            </w:pPr>
          </w:p>
          <w:p w14:paraId="0B72FD4C" w14:textId="77777777" w:rsidR="00182C8A" w:rsidRDefault="00DA3C56" w:rsidP="00182C8A">
            <w:pPr>
              <w:widowControl w:val="0"/>
              <w:tabs>
                <w:tab w:val="left" w:pos="1716"/>
              </w:tabs>
              <w:overflowPunct/>
              <w:adjustRightInd/>
              <w:spacing w:line="276" w:lineRule="auto"/>
              <w:ind w:left="1716" w:hanging="1276"/>
              <w:textAlignment w:val="auto"/>
              <w:rPr>
                <w:rFonts w:ascii="Arial" w:eastAsiaTheme="majorEastAsia" w:hAnsi="Arial" w:cs="Arial"/>
                <w:i/>
                <w:iCs/>
                <w:color w:val="243F60" w:themeColor="accent1" w:themeShade="7F"/>
                <w:sz w:val="22"/>
                <w:szCs w:val="22"/>
                <w:lang w:val="en-GB" w:eastAsia="en-US"/>
              </w:rPr>
            </w:pPr>
            <w:r w:rsidRPr="00AD37E6">
              <w:rPr>
                <w:rFonts w:ascii="Arial" w:eastAsiaTheme="majorEastAsia" w:hAnsi="Arial" w:cs="Arial"/>
                <w:i/>
                <w:iCs/>
                <w:color w:val="243F60" w:themeColor="accent1" w:themeShade="7F"/>
                <w:sz w:val="22"/>
                <w:szCs w:val="22"/>
                <w:lang w:val="en-GB" w:eastAsia="en-US"/>
              </w:rPr>
              <w:t xml:space="preserve">M.10.5 </w:t>
            </w:r>
            <w:r w:rsidR="00552657">
              <w:rPr>
                <w:rFonts w:ascii="Arial" w:eastAsiaTheme="majorEastAsia" w:hAnsi="Arial" w:cs="Arial"/>
                <w:i/>
                <w:iCs/>
                <w:color w:val="243F60" w:themeColor="accent1" w:themeShade="7F"/>
                <w:sz w:val="22"/>
                <w:szCs w:val="22"/>
                <w:lang w:val="en-GB" w:eastAsia="en-US"/>
              </w:rPr>
              <w:t xml:space="preserve">        </w:t>
            </w:r>
            <w:r w:rsidR="00F904F4">
              <w:rPr>
                <w:rFonts w:ascii="Arial" w:eastAsiaTheme="majorEastAsia" w:hAnsi="Arial" w:cs="Arial"/>
                <w:i/>
                <w:iCs/>
                <w:color w:val="243F60" w:themeColor="accent1" w:themeShade="7F"/>
                <w:sz w:val="22"/>
                <w:szCs w:val="22"/>
                <w:lang w:val="en-GB" w:eastAsia="en-US"/>
              </w:rPr>
              <w:t xml:space="preserve"> </w:t>
            </w:r>
            <w:r w:rsidRPr="00AD37E6">
              <w:rPr>
                <w:rFonts w:ascii="Arial" w:eastAsiaTheme="majorEastAsia" w:hAnsi="Arial" w:cs="Arial"/>
                <w:i/>
                <w:iCs/>
                <w:color w:val="243F60" w:themeColor="accent1" w:themeShade="7F"/>
                <w:sz w:val="22"/>
                <w:szCs w:val="22"/>
                <w:lang w:val="en-GB" w:eastAsia="en-US"/>
              </w:rPr>
              <w:t>Applicable Exchange Rate</w:t>
            </w:r>
          </w:p>
          <w:p w14:paraId="2CA68BFF" w14:textId="77777777" w:rsidR="00182C8A" w:rsidRPr="00182C8A" w:rsidRDefault="00182C8A" w:rsidP="00182C8A">
            <w:pPr>
              <w:widowControl w:val="0"/>
              <w:tabs>
                <w:tab w:val="left" w:pos="1716"/>
              </w:tabs>
              <w:overflowPunct/>
              <w:adjustRightInd/>
              <w:spacing w:line="276" w:lineRule="auto"/>
              <w:ind w:left="1716" w:hanging="1276"/>
              <w:textAlignment w:val="auto"/>
              <w:rPr>
                <w:rFonts w:ascii="Arial" w:hAnsi="Arial" w:cs="Arial"/>
                <w:sz w:val="16"/>
                <w:szCs w:val="16"/>
              </w:rPr>
            </w:pPr>
          </w:p>
          <w:p w14:paraId="37124779" w14:textId="1C5CBC0A" w:rsidR="00E91EEC" w:rsidRPr="00182C8A" w:rsidRDefault="00DA3C56" w:rsidP="00182C8A">
            <w:pPr>
              <w:widowControl w:val="0"/>
              <w:tabs>
                <w:tab w:val="left" w:pos="1716"/>
              </w:tabs>
              <w:overflowPunct/>
              <w:adjustRightInd/>
              <w:spacing w:line="276" w:lineRule="auto"/>
              <w:ind w:left="1716" w:hanging="1276"/>
              <w:textAlignment w:val="auto"/>
              <w:rPr>
                <w:rFonts w:ascii="Arial" w:eastAsiaTheme="majorEastAsia" w:hAnsi="Arial" w:cs="Arial"/>
                <w:i/>
                <w:iCs/>
                <w:color w:val="243F60" w:themeColor="accent1" w:themeShade="7F"/>
                <w:sz w:val="22"/>
                <w:szCs w:val="22"/>
                <w:lang w:val="en-GB" w:eastAsia="en-US"/>
              </w:rPr>
            </w:pPr>
            <w:r w:rsidRPr="00AD37E6">
              <w:rPr>
                <w:rFonts w:ascii="Arial" w:hAnsi="Arial" w:cs="Arial"/>
                <w:sz w:val="22"/>
                <w:szCs w:val="22"/>
              </w:rPr>
              <w:t xml:space="preserve">M.10.5.1 </w:t>
            </w:r>
            <w:r w:rsidR="00552657">
              <w:rPr>
                <w:rFonts w:ascii="Arial" w:hAnsi="Arial" w:cs="Arial"/>
                <w:sz w:val="22"/>
                <w:szCs w:val="22"/>
              </w:rPr>
              <w:t xml:space="preserve">     </w:t>
            </w:r>
            <w:r w:rsidR="00F904F4">
              <w:rPr>
                <w:rFonts w:ascii="Arial" w:hAnsi="Arial" w:cs="Arial"/>
                <w:sz w:val="22"/>
                <w:szCs w:val="22"/>
              </w:rPr>
              <w:t xml:space="preserve"> </w:t>
            </w:r>
            <w:r w:rsidR="006C28BB" w:rsidRPr="00AD37E6">
              <w:rPr>
                <w:rFonts w:ascii="Arial" w:hAnsi="Arial" w:cs="Arial"/>
                <w:sz w:val="22"/>
                <w:szCs w:val="22"/>
              </w:rPr>
              <w:t>The exchange rate applicable to a trade</w:t>
            </w:r>
            <w:r w:rsidR="006C28BB" w:rsidRPr="00AD37E6">
              <w:rPr>
                <w:rFonts w:ascii="Arial" w:hAnsi="Arial" w:cs="Arial"/>
                <w:spacing w:val="-6"/>
                <w:sz w:val="22"/>
                <w:szCs w:val="22"/>
              </w:rPr>
              <w:t xml:space="preserve"> </w:t>
            </w:r>
            <w:r w:rsidR="006C28BB" w:rsidRPr="00AD37E6">
              <w:rPr>
                <w:rFonts w:ascii="Arial" w:hAnsi="Arial" w:cs="Arial"/>
                <w:sz w:val="22"/>
                <w:szCs w:val="22"/>
              </w:rPr>
              <w:t>is:</w:t>
            </w:r>
          </w:p>
          <w:p w14:paraId="5FA6D992" w14:textId="77777777" w:rsidR="00E91EEC" w:rsidRDefault="006C28BB" w:rsidP="00E91EEC">
            <w:pPr>
              <w:pStyle w:val="ListParagraph"/>
              <w:widowControl w:val="0"/>
              <w:numPr>
                <w:ilvl w:val="4"/>
                <w:numId w:val="11"/>
              </w:numPr>
              <w:tabs>
                <w:tab w:val="left" w:pos="2102"/>
              </w:tabs>
              <w:overflowPunct/>
              <w:adjustRightInd/>
              <w:spacing w:before="124"/>
              <w:ind w:right="1133" w:hanging="393"/>
              <w:contextualSpacing w:val="0"/>
              <w:jc w:val="both"/>
              <w:textAlignment w:val="auto"/>
              <w:rPr>
                <w:rFonts w:ascii="Arial" w:hAnsi="Arial" w:cs="Arial"/>
                <w:sz w:val="22"/>
                <w:szCs w:val="22"/>
              </w:rPr>
            </w:pPr>
            <w:r w:rsidRPr="00E91EEC">
              <w:rPr>
                <w:rFonts w:ascii="Arial" w:hAnsi="Arial" w:cs="Arial"/>
                <w:sz w:val="22"/>
                <w:szCs w:val="22"/>
              </w:rPr>
              <w:t xml:space="preserve">if the forward period over which the </w:t>
            </w:r>
            <w:r w:rsidR="00954CAC" w:rsidRPr="00E91EEC">
              <w:rPr>
                <w:rFonts w:ascii="Arial" w:hAnsi="Arial" w:cs="Arial"/>
                <w:sz w:val="22"/>
                <w:szCs w:val="22"/>
              </w:rPr>
              <w:t>Trade</w:t>
            </w:r>
            <w:r w:rsidRPr="00E91EEC">
              <w:rPr>
                <w:rFonts w:ascii="Arial" w:hAnsi="Arial" w:cs="Arial"/>
                <w:sz w:val="22"/>
                <w:szCs w:val="22"/>
              </w:rPr>
              <w:t xml:space="preserve"> applies will commence more than a year after the date of the Secondary Trade</w:t>
            </w:r>
            <w:r w:rsidR="00DA3C56" w:rsidRPr="00E91EEC">
              <w:rPr>
                <w:rFonts w:ascii="Arial" w:hAnsi="Arial" w:cs="Arial"/>
                <w:sz w:val="22"/>
                <w:szCs w:val="22"/>
              </w:rPr>
              <w:t xml:space="preserve"> </w:t>
            </w:r>
            <w:r w:rsidRPr="00E91EEC">
              <w:rPr>
                <w:rFonts w:ascii="Arial" w:hAnsi="Arial" w:cs="Arial"/>
                <w:sz w:val="22"/>
                <w:szCs w:val="22"/>
              </w:rPr>
              <w:t xml:space="preserve">Request, the Annual Capacity Payment Exchange Rate for the relevant Capacity Year (as last calculated under section </w:t>
            </w:r>
            <w:hyperlink w:anchor="_bookmark620" w:history="1">
              <w:r w:rsidRPr="00E91EEC">
                <w:rPr>
                  <w:rFonts w:ascii="Arial" w:hAnsi="Arial" w:cs="Arial"/>
                  <w:sz w:val="22"/>
                  <w:szCs w:val="22"/>
                </w:rPr>
                <w:t xml:space="preserve">K.2 </w:t>
              </w:r>
            </w:hyperlink>
            <w:r w:rsidRPr="00E91EEC">
              <w:rPr>
                <w:rFonts w:ascii="Arial" w:hAnsi="Arial" w:cs="Arial"/>
                <w:sz w:val="22"/>
                <w:szCs w:val="22"/>
              </w:rPr>
              <w:t>);</w:t>
            </w:r>
            <w:r w:rsidRPr="00E91EEC">
              <w:rPr>
                <w:rFonts w:ascii="Arial" w:hAnsi="Arial" w:cs="Arial"/>
                <w:spacing w:val="-5"/>
                <w:sz w:val="22"/>
                <w:szCs w:val="22"/>
              </w:rPr>
              <w:t xml:space="preserve"> </w:t>
            </w:r>
            <w:r w:rsidRPr="00E91EEC">
              <w:rPr>
                <w:rFonts w:ascii="Arial" w:hAnsi="Arial" w:cs="Arial"/>
                <w:sz w:val="22"/>
                <w:szCs w:val="22"/>
              </w:rPr>
              <w:t>and</w:t>
            </w:r>
          </w:p>
          <w:p w14:paraId="4FBA0973" w14:textId="27A0D20C" w:rsidR="006C28BB" w:rsidRPr="00E91EEC" w:rsidRDefault="006C28BB" w:rsidP="00E91EEC">
            <w:pPr>
              <w:pStyle w:val="ListParagraph"/>
              <w:widowControl w:val="0"/>
              <w:numPr>
                <w:ilvl w:val="4"/>
                <w:numId w:val="11"/>
              </w:numPr>
              <w:tabs>
                <w:tab w:val="left" w:pos="2102"/>
              </w:tabs>
              <w:overflowPunct/>
              <w:adjustRightInd/>
              <w:spacing w:before="124"/>
              <w:ind w:right="1133" w:hanging="393"/>
              <w:contextualSpacing w:val="0"/>
              <w:jc w:val="both"/>
              <w:textAlignment w:val="auto"/>
              <w:rPr>
                <w:rFonts w:ascii="Arial" w:hAnsi="Arial" w:cs="Arial"/>
                <w:sz w:val="22"/>
                <w:szCs w:val="22"/>
              </w:rPr>
            </w:pPr>
            <w:r w:rsidRPr="00E91EEC">
              <w:rPr>
                <w:rFonts w:ascii="Arial" w:hAnsi="Arial" w:cs="Arial"/>
                <w:sz w:val="22"/>
                <w:szCs w:val="22"/>
              </w:rPr>
              <w:t xml:space="preserve">otherwise, the Monthly Capacity Payment Exchange Rate for the Month in which the forward period over which the </w:t>
            </w:r>
            <w:r w:rsidR="00954CAC" w:rsidRPr="00E91EEC">
              <w:rPr>
                <w:rFonts w:ascii="Arial" w:hAnsi="Arial" w:cs="Arial"/>
                <w:sz w:val="22"/>
                <w:szCs w:val="22"/>
              </w:rPr>
              <w:t>Trade</w:t>
            </w:r>
            <w:r w:rsidRPr="00E91EEC">
              <w:rPr>
                <w:rFonts w:ascii="Arial" w:hAnsi="Arial" w:cs="Arial"/>
                <w:sz w:val="22"/>
                <w:szCs w:val="22"/>
              </w:rPr>
              <w:t xml:space="preserve"> applies commences (as last calculated under section </w:t>
            </w:r>
            <w:hyperlink w:anchor="_bookmark620" w:history="1">
              <w:r w:rsidRPr="00E91EEC">
                <w:rPr>
                  <w:rFonts w:ascii="Arial" w:hAnsi="Arial" w:cs="Arial"/>
                  <w:sz w:val="22"/>
                  <w:szCs w:val="22"/>
                </w:rPr>
                <w:t>K.2</w:t>
              </w:r>
            </w:hyperlink>
            <w:r w:rsidRPr="00E91EEC">
              <w:rPr>
                <w:rFonts w:ascii="Arial" w:hAnsi="Arial" w:cs="Arial"/>
                <w:sz w:val="22"/>
                <w:szCs w:val="22"/>
              </w:rPr>
              <w:t xml:space="preserve"> ).</w:t>
            </w:r>
          </w:p>
          <w:p w14:paraId="5563E8C8" w14:textId="77777777" w:rsidR="00182C8A" w:rsidRDefault="00182C8A" w:rsidP="00182C8A">
            <w:pPr>
              <w:widowControl w:val="0"/>
              <w:tabs>
                <w:tab w:val="left" w:pos="1709"/>
              </w:tabs>
              <w:overflowPunct/>
              <w:adjustRightInd/>
              <w:ind w:left="1716" w:hanging="1276"/>
              <w:textAlignment w:val="auto"/>
              <w:rPr>
                <w:rFonts w:ascii="Arial" w:eastAsiaTheme="majorEastAsia" w:hAnsi="Arial" w:cs="Arial"/>
                <w:i/>
                <w:iCs/>
                <w:color w:val="243F60" w:themeColor="accent1" w:themeShade="7F"/>
                <w:sz w:val="22"/>
                <w:szCs w:val="22"/>
                <w:lang w:val="en-GB" w:eastAsia="en-US"/>
              </w:rPr>
            </w:pPr>
            <w:bookmarkStart w:id="3" w:name="_bookmark536"/>
            <w:bookmarkEnd w:id="3"/>
          </w:p>
          <w:p w14:paraId="518973FC" w14:textId="0AB4CE88" w:rsidR="00F904F4" w:rsidRPr="00182C8A" w:rsidRDefault="00E91EEC" w:rsidP="00AE769D">
            <w:pPr>
              <w:widowControl w:val="0"/>
              <w:tabs>
                <w:tab w:val="left" w:pos="1709"/>
              </w:tabs>
              <w:overflowPunct/>
              <w:adjustRightInd/>
              <w:spacing w:line="276" w:lineRule="auto"/>
              <w:ind w:left="1716" w:hanging="1276"/>
              <w:textAlignment w:val="auto"/>
              <w:rPr>
                <w:rFonts w:ascii="Arial" w:eastAsiaTheme="majorEastAsia" w:hAnsi="Arial" w:cs="Arial"/>
                <w:i/>
                <w:iCs/>
                <w:color w:val="243F60" w:themeColor="accent1" w:themeShade="7F"/>
                <w:sz w:val="22"/>
                <w:szCs w:val="22"/>
                <w:lang w:val="en-GB" w:eastAsia="en-US"/>
              </w:rPr>
            </w:pPr>
            <w:r w:rsidRPr="00AE769D">
              <w:rPr>
                <w:rFonts w:ascii="Arial" w:eastAsiaTheme="majorEastAsia" w:hAnsi="Arial" w:cs="Arial"/>
                <w:i/>
                <w:iCs/>
                <w:color w:val="243F60" w:themeColor="accent1" w:themeShade="7F"/>
                <w:sz w:val="22"/>
                <w:szCs w:val="22"/>
                <w:lang w:val="en-GB" w:eastAsia="en-US"/>
              </w:rPr>
              <w:t xml:space="preserve">M.10.6         </w:t>
            </w:r>
            <w:r w:rsidR="00F904F4" w:rsidRPr="00AE769D">
              <w:rPr>
                <w:rFonts w:ascii="Arial" w:eastAsiaTheme="majorEastAsia" w:hAnsi="Arial" w:cs="Arial"/>
                <w:i/>
                <w:iCs/>
                <w:color w:val="243F60" w:themeColor="accent1" w:themeShade="7F"/>
                <w:sz w:val="22"/>
                <w:szCs w:val="22"/>
                <w:lang w:val="en-GB" w:eastAsia="en-US"/>
              </w:rPr>
              <w:t xml:space="preserve"> </w:t>
            </w:r>
            <w:r w:rsidRPr="00AE769D">
              <w:rPr>
                <w:rFonts w:ascii="Arial" w:eastAsiaTheme="majorEastAsia" w:hAnsi="Arial" w:cs="Arial"/>
                <w:i/>
                <w:iCs/>
                <w:color w:val="243F60" w:themeColor="accent1" w:themeShade="7F"/>
                <w:sz w:val="22"/>
                <w:szCs w:val="22"/>
                <w:lang w:val="en-GB" w:eastAsia="en-US"/>
              </w:rPr>
              <w:t>Buyer Limits and Seller Limits</w:t>
            </w:r>
            <w:bookmarkStart w:id="4" w:name="_bookmark537"/>
            <w:bookmarkEnd w:id="4"/>
          </w:p>
          <w:p w14:paraId="21923CE9" w14:textId="684D11F4" w:rsidR="006B199F" w:rsidRPr="00F904F4" w:rsidRDefault="00DA3C56" w:rsidP="00F904F4">
            <w:pPr>
              <w:widowControl w:val="0"/>
              <w:overflowPunct/>
              <w:adjustRightInd/>
              <w:spacing w:before="119"/>
              <w:ind w:left="1716" w:hanging="1276"/>
              <w:textAlignment w:val="auto"/>
              <w:rPr>
                <w:rFonts w:ascii="Arial" w:eastAsiaTheme="majorEastAsia" w:hAnsi="Arial" w:cs="Arial"/>
                <w:i/>
                <w:iCs/>
                <w:color w:val="000000" w:themeColor="text1"/>
                <w:sz w:val="22"/>
                <w:szCs w:val="22"/>
                <w:lang w:val="en-GB" w:eastAsia="en-US"/>
              </w:rPr>
            </w:pPr>
            <w:r w:rsidRPr="00AD37E6">
              <w:rPr>
                <w:rFonts w:ascii="Arial" w:hAnsi="Arial" w:cs="Arial"/>
                <w:sz w:val="22"/>
                <w:szCs w:val="22"/>
              </w:rPr>
              <w:t xml:space="preserve">M.10.6.1 </w:t>
            </w:r>
            <w:r w:rsidR="00F904F4">
              <w:rPr>
                <w:rFonts w:ascii="Arial" w:hAnsi="Arial" w:cs="Arial"/>
                <w:sz w:val="22"/>
                <w:szCs w:val="22"/>
              </w:rPr>
              <w:t xml:space="preserve">      </w:t>
            </w:r>
            <w:r w:rsidR="006B199F" w:rsidRPr="00AD37E6">
              <w:rPr>
                <w:rFonts w:ascii="Arial" w:hAnsi="Arial" w:cs="Arial"/>
                <w:sz w:val="22"/>
                <w:szCs w:val="22"/>
              </w:rPr>
              <w:t>The “</w:t>
            </w:r>
            <w:r w:rsidR="006B199F" w:rsidRPr="00AD37E6">
              <w:rPr>
                <w:rFonts w:ascii="Arial" w:hAnsi="Arial" w:cs="Arial"/>
                <w:b/>
                <w:sz w:val="22"/>
                <w:szCs w:val="22"/>
              </w:rPr>
              <w:t>Initial Position</w:t>
            </w:r>
            <w:r w:rsidR="006B199F" w:rsidRPr="00AD37E6">
              <w:rPr>
                <w:rFonts w:ascii="Arial" w:hAnsi="Arial" w:cs="Arial"/>
                <w:sz w:val="22"/>
                <w:szCs w:val="22"/>
              </w:rPr>
              <w:t>” of a Capacity Market Unit in respect of the period of</w:t>
            </w:r>
            <w:r w:rsidR="00F904F4">
              <w:rPr>
                <w:rFonts w:ascii="Arial" w:hAnsi="Arial" w:cs="Arial"/>
                <w:sz w:val="22"/>
                <w:szCs w:val="22"/>
              </w:rPr>
              <w:t xml:space="preserve"> </w:t>
            </w:r>
            <w:r w:rsidR="006B199F" w:rsidRPr="00AD37E6">
              <w:rPr>
                <w:rFonts w:ascii="Arial" w:hAnsi="Arial" w:cs="Arial"/>
                <w:sz w:val="22"/>
                <w:szCs w:val="22"/>
              </w:rPr>
              <w:t xml:space="preserve">time to which a </w:t>
            </w:r>
            <w:r w:rsidR="00954CAC" w:rsidRPr="00AD37E6">
              <w:rPr>
                <w:rFonts w:ascii="Arial" w:hAnsi="Arial" w:cs="Arial"/>
                <w:sz w:val="22"/>
                <w:szCs w:val="22"/>
              </w:rPr>
              <w:t>Trade</w:t>
            </w:r>
            <w:r w:rsidR="006B199F" w:rsidRPr="00AD37E6">
              <w:rPr>
                <w:rFonts w:ascii="Arial" w:hAnsi="Arial" w:cs="Arial"/>
                <w:sz w:val="22"/>
                <w:szCs w:val="22"/>
              </w:rPr>
              <w:t xml:space="preserve"> relates is the Net Capacity Quantity of that Capacity Market Unit in respect of that period of time immediately prior to the Secondary </w:t>
            </w:r>
            <w:r w:rsidRPr="00AD37E6">
              <w:rPr>
                <w:rFonts w:ascii="Arial" w:hAnsi="Arial" w:cs="Arial"/>
                <w:sz w:val="22"/>
                <w:szCs w:val="22"/>
              </w:rPr>
              <w:t>Trade</w:t>
            </w:r>
          </w:p>
          <w:p w14:paraId="15CA8418" w14:textId="00C66C36" w:rsidR="00DA3C56" w:rsidRPr="00AD37E6" w:rsidRDefault="00DA3C56" w:rsidP="00F904F4">
            <w:pPr>
              <w:widowControl w:val="0"/>
              <w:tabs>
                <w:tab w:val="left" w:pos="1709"/>
              </w:tabs>
              <w:overflowPunct/>
              <w:adjustRightInd/>
              <w:spacing w:before="123"/>
              <w:ind w:left="399" w:right="1140"/>
              <w:textAlignment w:val="auto"/>
              <w:rPr>
                <w:rFonts w:ascii="Arial" w:hAnsi="Arial" w:cs="Arial"/>
                <w:sz w:val="22"/>
                <w:szCs w:val="22"/>
              </w:rPr>
            </w:pPr>
            <w:bookmarkStart w:id="5" w:name="_bookmark538"/>
            <w:bookmarkEnd w:id="5"/>
            <w:r w:rsidRPr="00AD37E6">
              <w:rPr>
                <w:rFonts w:ascii="Arial" w:hAnsi="Arial" w:cs="Arial"/>
                <w:sz w:val="22"/>
                <w:szCs w:val="22"/>
              </w:rPr>
              <w:t xml:space="preserve">M.10.6.2 </w:t>
            </w:r>
            <w:r w:rsidR="00F904F4">
              <w:rPr>
                <w:rFonts w:ascii="Arial" w:hAnsi="Arial" w:cs="Arial"/>
                <w:sz w:val="22"/>
                <w:szCs w:val="22"/>
              </w:rPr>
              <w:t xml:space="preserve">      </w:t>
            </w:r>
            <w:r w:rsidR="006B199F" w:rsidRPr="00AD37E6">
              <w:rPr>
                <w:rFonts w:ascii="Arial" w:hAnsi="Arial" w:cs="Arial"/>
                <w:sz w:val="22"/>
                <w:szCs w:val="22"/>
              </w:rPr>
              <w:t>The Buyer Limit for a Capacity Market Unit is the</w:t>
            </w:r>
            <w:r w:rsidRPr="00AD37E6">
              <w:rPr>
                <w:rFonts w:ascii="Arial" w:hAnsi="Arial" w:cs="Arial"/>
                <w:sz w:val="22"/>
                <w:szCs w:val="22"/>
              </w:rPr>
              <w:t xml:space="preserve"> lesser of:</w:t>
            </w:r>
          </w:p>
          <w:p w14:paraId="02378AB8" w14:textId="2468499E" w:rsidR="006B199F" w:rsidRPr="00AD37E6" w:rsidRDefault="006B199F" w:rsidP="00DC2EF1">
            <w:pPr>
              <w:pStyle w:val="ListParagraph"/>
              <w:widowControl w:val="0"/>
              <w:numPr>
                <w:ilvl w:val="5"/>
                <w:numId w:val="10"/>
              </w:numPr>
              <w:tabs>
                <w:tab w:val="left" w:pos="1391"/>
                <w:tab w:val="left" w:pos="1392"/>
              </w:tabs>
              <w:overflowPunct/>
              <w:adjustRightInd/>
              <w:spacing w:before="123"/>
              <w:ind w:left="2134" w:right="1140" w:hanging="425"/>
              <w:contextualSpacing w:val="0"/>
              <w:textAlignment w:val="auto"/>
              <w:rPr>
                <w:rFonts w:ascii="Arial" w:hAnsi="Arial" w:cs="Arial"/>
                <w:sz w:val="22"/>
                <w:szCs w:val="22"/>
              </w:rPr>
            </w:pPr>
            <w:r w:rsidRPr="00AD37E6">
              <w:rPr>
                <w:rFonts w:ascii="Arial" w:hAnsi="Arial" w:cs="Arial"/>
                <w:sz w:val="22"/>
                <w:szCs w:val="22"/>
              </w:rPr>
              <w:t xml:space="preserve"> Initial Position of the Capacity Market Unit</w:t>
            </w:r>
            <w:r w:rsidR="00DA3C56" w:rsidRPr="00AD37E6">
              <w:rPr>
                <w:rFonts w:ascii="Arial" w:hAnsi="Arial" w:cs="Arial"/>
                <w:sz w:val="22"/>
                <w:szCs w:val="22"/>
              </w:rPr>
              <w:t>; or</w:t>
            </w:r>
          </w:p>
          <w:p w14:paraId="4FDD0113" w14:textId="5FF3900F" w:rsidR="00DA3C56" w:rsidRPr="00AD37E6" w:rsidRDefault="00DA3C56" w:rsidP="00DC2EF1">
            <w:pPr>
              <w:pStyle w:val="ListParagraph"/>
              <w:widowControl w:val="0"/>
              <w:numPr>
                <w:ilvl w:val="5"/>
                <w:numId w:val="10"/>
              </w:numPr>
              <w:tabs>
                <w:tab w:val="left" w:pos="1391"/>
                <w:tab w:val="left" w:pos="1392"/>
              </w:tabs>
              <w:overflowPunct/>
              <w:adjustRightInd/>
              <w:spacing w:before="123"/>
              <w:ind w:left="2134" w:right="1140" w:hanging="425"/>
              <w:contextualSpacing w:val="0"/>
              <w:textAlignment w:val="auto"/>
              <w:rPr>
                <w:rFonts w:ascii="Arial" w:hAnsi="Arial" w:cs="Arial"/>
                <w:sz w:val="22"/>
                <w:szCs w:val="22"/>
              </w:rPr>
            </w:pPr>
            <w:r w:rsidRPr="00AD37E6">
              <w:rPr>
                <w:rFonts w:ascii="Arial" w:hAnsi="Arial" w:cs="Arial"/>
                <w:sz w:val="22"/>
                <w:szCs w:val="22"/>
              </w:rPr>
              <w:t>0.</w:t>
            </w:r>
          </w:p>
          <w:p w14:paraId="27D160AE" w14:textId="334FBBBF" w:rsidR="006B199F" w:rsidRPr="00AD37E6" w:rsidRDefault="00DA3C56" w:rsidP="00DA3C56">
            <w:pPr>
              <w:widowControl w:val="0"/>
              <w:tabs>
                <w:tab w:val="left" w:pos="1391"/>
                <w:tab w:val="left" w:pos="1392"/>
              </w:tabs>
              <w:overflowPunct/>
              <w:adjustRightInd/>
              <w:spacing w:before="118"/>
              <w:ind w:left="399"/>
              <w:textAlignment w:val="auto"/>
              <w:rPr>
                <w:rFonts w:ascii="Arial" w:hAnsi="Arial" w:cs="Arial"/>
                <w:sz w:val="22"/>
                <w:szCs w:val="22"/>
              </w:rPr>
            </w:pPr>
            <w:bookmarkStart w:id="6" w:name="_bookmark539"/>
            <w:bookmarkEnd w:id="6"/>
            <w:r w:rsidRPr="00AD37E6">
              <w:rPr>
                <w:rFonts w:ascii="Arial" w:hAnsi="Arial" w:cs="Arial"/>
                <w:sz w:val="22"/>
                <w:szCs w:val="22"/>
              </w:rPr>
              <w:t xml:space="preserve">M.10.6.3 </w:t>
            </w:r>
            <w:r w:rsidR="00F904F4">
              <w:rPr>
                <w:rFonts w:ascii="Arial" w:hAnsi="Arial" w:cs="Arial"/>
                <w:sz w:val="22"/>
                <w:szCs w:val="22"/>
              </w:rPr>
              <w:t xml:space="preserve">      </w:t>
            </w:r>
            <w:r w:rsidRPr="00AD37E6">
              <w:rPr>
                <w:rFonts w:ascii="Arial" w:hAnsi="Arial" w:cs="Arial"/>
                <w:sz w:val="22"/>
                <w:szCs w:val="22"/>
              </w:rPr>
              <w:t>T</w:t>
            </w:r>
            <w:r w:rsidR="006B199F" w:rsidRPr="00AD37E6">
              <w:rPr>
                <w:rFonts w:ascii="Arial" w:hAnsi="Arial" w:cs="Arial"/>
                <w:sz w:val="22"/>
                <w:szCs w:val="22"/>
              </w:rPr>
              <w:t>he Seller Limit for a Capacity Market Unit</w:t>
            </w:r>
            <w:r w:rsidR="006B199F" w:rsidRPr="00AD37E6">
              <w:rPr>
                <w:rFonts w:ascii="Arial" w:hAnsi="Arial" w:cs="Arial"/>
                <w:spacing w:val="-11"/>
                <w:sz w:val="22"/>
                <w:szCs w:val="22"/>
              </w:rPr>
              <w:t xml:space="preserve"> </w:t>
            </w:r>
            <w:r w:rsidR="006B199F" w:rsidRPr="00AD37E6">
              <w:rPr>
                <w:rFonts w:ascii="Arial" w:hAnsi="Arial" w:cs="Arial"/>
                <w:sz w:val="22"/>
                <w:szCs w:val="22"/>
              </w:rPr>
              <w:t>is:</w:t>
            </w:r>
          </w:p>
          <w:p w14:paraId="2676B0A8" w14:textId="4C0D5305" w:rsidR="006B199F" w:rsidRPr="00AD37E6" w:rsidRDefault="006B199F" w:rsidP="00F904F4">
            <w:pPr>
              <w:pStyle w:val="ListParagraph"/>
              <w:widowControl w:val="0"/>
              <w:numPr>
                <w:ilvl w:val="4"/>
                <w:numId w:val="15"/>
              </w:numPr>
              <w:tabs>
                <w:tab w:val="left" w:pos="1709"/>
              </w:tabs>
              <w:overflowPunct/>
              <w:adjustRightInd/>
              <w:spacing w:before="122"/>
              <w:ind w:left="1709" w:firstLine="0"/>
              <w:contextualSpacing w:val="0"/>
              <w:textAlignment w:val="auto"/>
              <w:rPr>
                <w:rFonts w:ascii="Arial" w:hAnsi="Arial" w:cs="Arial"/>
                <w:sz w:val="22"/>
                <w:szCs w:val="22"/>
              </w:rPr>
            </w:pPr>
            <w:r w:rsidRPr="00AD37E6">
              <w:rPr>
                <w:rFonts w:ascii="Arial" w:hAnsi="Arial" w:cs="Arial"/>
                <w:sz w:val="22"/>
                <w:szCs w:val="22"/>
              </w:rPr>
              <w:t>the value calculated as</w:t>
            </w:r>
            <w:r w:rsidRPr="00AD37E6">
              <w:rPr>
                <w:rFonts w:ascii="Arial" w:hAnsi="Arial" w:cs="Arial"/>
                <w:spacing w:val="-4"/>
                <w:sz w:val="22"/>
                <w:szCs w:val="22"/>
              </w:rPr>
              <w:t xml:space="preserve"> </w:t>
            </w:r>
            <w:r w:rsidRPr="00AD37E6">
              <w:rPr>
                <w:rFonts w:ascii="Arial" w:hAnsi="Arial" w:cs="Arial"/>
                <w:sz w:val="22"/>
                <w:szCs w:val="22"/>
              </w:rPr>
              <w:t>follows:</w:t>
            </w:r>
          </w:p>
          <w:p w14:paraId="3263E56A" w14:textId="12B4720E" w:rsidR="006B199F" w:rsidRPr="00AD37E6" w:rsidRDefault="006B199F" w:rsidP="004F1E04">
            <w:pPr>
              <w:pStyle w:val="ListParagraph"/>
              <w:widowControl w:val="0"/>
              <w:numPr>
                <w:ilvl w:val="5"/>
                <w:numId w:val="15"/>
              </w:numPr>
              <w:tabs>
                <w:tab w:val="left" w:pos="2811"/>
              </w:tabs>
              <w:overflowPunct/>
              <w:adjustRightInd/>
              <w:spacing w:before="119"/>
              <w:ind w:right="1137" w:hanging="708"/>
              <w:contextualSpacing w:val="0"/>
              <w:jc w:val="both"/>
              <w:textAlignment w:val="auto"/>
              <w:rPr>
                <w:rFonts w:ascii="Arial" w:hAnsi="Arial" w:cs="Arial"/>
                <w:sz w:val="22"/>
                <w:szCs w:val="22"/>
              </w:rPr>
            </w:pPr>
            <w:r w:rsidRPr="00AD37E6">
              <w:rPr>
                <w:rFonts w:ascii="Arial" w:hAnsi="Arial" w:cs="Arial"/>
                <w:sz w:val="22"/>
                <w:szCs w:val="22"/>
              </w:rPr>
              <w:lastRenderedPageBreak/>
              <w:t xml:space="preserve">if the </w:t>
            </w:r>
            <w:r w:rsidR="008C496E" w:rsidRPr="00AD37E6">
              <w:rPr>
                <w:rFonts w:ascii="Arial" w:hAnsi="Arial" w:cs="Arial"/>
                <w:sz w:val="22"/>
                <w:szCs w:val="22"/>
              </w:rPr>
              <w:t>Capacity Market Unit</w:t>
            </w:r>
            <w:r w:rsidRPr="00AD37E6">
              <w:rPr>
                <w:rFonts w:ascii="Arial" w:hAnsi="Arial" w:cs="Arial"/>
                <w:sz w:val="22"/>
                <w:szCs w:val="22"/>
              </w:rPr>
              <w:t xml:space="preserve"> is seeking to trade above its Gross De-Rated</w:t>
            </w:r>
            <w:r w:rsidRPr="00AD37E6">
              <w:rPr>
                <w:rFonts w:ascii="Arial" w:hAnsi="Arial" w:cs="Arial"/>
                <w:spacing w:val="-1"/>
                <w:sz w:val="22"/>
                <w:szCs w:val="22"/>
              </w:rPr>
              <w:t xml:space="preserve"> </w:t>
            </w:r>
            <w:r w:rsidRPr="00AD37E6">
              <w:rPr>
                <w:rFonts w:ascii="Arial" w:hAnsi="Arial" w:cs="Arial"/>
                <w:sz w:val="22"/>
                <w:szCs w:val="22"/>
              </w:rPr>
              <w:t>Capacity:</w:t>
            </w:r>
          </w:p>
          <w:p w14:paraId="3D64D8D1" w14:textId="77777777" w:rsidR="006B199F" w:rsidRPr="00AD37E6" w:rsidRDefault="006B199F" w:rsidP="004F1E04">
            <w:pPr>
              <w:pStyle w:val="ListParagraph"/>
              <w:widowControl w:val="0"/>
              <w:numPr>
                <w:ilvl w:val="6"/>
                <w:numId w:val="15"/>
              </w:numPr>
              <w:tabs>
                <w:tab w:val="left" w:pos="3281"/>
              </w:tabs>
              <w:overflowPunct/>
              <w:adjustRightInd/>
              <w:spacing w:before="121"/>
              <w:contextualSpacing w:val="0"/>
              <w:textAlignment w:val="auto"/>
              <w:rPr>
                <w:rFonts w:ascii="Arial" w:hAnsi="Arial" w:cs="Arial"/>
                <w:sz w:val="22"/>
                <w:szCs w:val="22"/>
              </w:rPr>
            </w:pPr>
            <w:r w:rsidRPr="00AD37E6">
              <w:rPr>
                <w:rFonts w:ascii="Arial" w:hAnsi="Arial" w:cs="Arial"/>
                <w:sz w:val="22"/>
                <w:szCs w:val="22"/>
              </w:rPr>
              <w:t>the lesser of:</w:t>
            </w:r>
          </w:p>
          <w:p w14:paraId="60DEA470" w14:textId="3FAB45CF" w:rsidR="006B199F" w:rsidRPr="00AD37E6" w:rsidRDefault="006B199F" w:rsidP="004F1E04">
            <w:pPr>
              <w:pStyle w:val="ListParagraph"/>
              <w:widowControl w:val="0"/>
              <w:numPr>
                <w:ilvl w:val="7"/>
                <w:numId w:val="15"/>
              </w:numPr>
              <w:tabs>
                <w:tab w:val="left" w:pos="3641"/>
              </w:tabs>
              <w:overflowPunct/>
              <w:adjustRightInd/>
              <w:spacing w:before="119"/>
              <w:ind w:right="1134"/>
              <w:contextualSpacing w:val="0"/>
              <w:jc w:val="both"/>
              <w:textAlignment w:val="auto"/>
              <w:rPr>
                <w:rFonts w:ascii="Arial" w:hAnsi="Arial" w:cs="Arial"/>
                <w:sz w:val="22"/>
                <w:szCs w:val="22"/>
              </w:rPr>
            </w:pPr>
            <w:r w:rsidRPr="00AD37E6">
              <w:rPr>
                <w:rFonts w:ascii="Arial" w:hAnsi="Arial" w:cs="Arial"/>
                <w:sz w:val="22"/>
                <w:szCs w:val="22"/>
              </w:rPr>
              <w:t>the Gross De-Rated Capacity (Total) of the Capacity Market Unit (when the Capacity Market Unit was last Qualified in respect of the Capacity Year) multiplied by one plus the Secondary Trade De-Rated Capacity Tolerance applicable to that</w:t>
            </w:r>
            <w:r w:rsidRPr="00AD37E6">
              <w:rPr>
                <w:rFonts w:ascii="Arial" w:hAnsi="Arial" w:cs="Arial"/>
                <w:spacing w:val="1"/>
                <w:sz w:val="22"/>
                <w:szCs w:val="22"/>
              </w:rPr>
              <w:t xml:space="preserve"> </w:t>
            </w:r>
            <w:r w:rsidRPr="00AD37E6">
              <w:rPr>
                <w:rFonts w:ascii="Arial" w:hAnsi="Arial" w:cs="Arial"/>
                <w:sz w:val="22"/>
                <w:szCs w:val="22"/>
              </w:rPr>
              <w:t>unit;</w:t>
            </w:r>
          </w:p>
          <w:p w14:paraId="65DBF450" w14:textId="77777777" w:rsidR="006B199F" w:rsidRPr="00AD37E6" w:rsidRDefault="006B199F" w:rsidP="004F1E04">
            <w:pPr>
              <w:pStyle w:val="ListParagraph"/>
              <w:widowControl w:val="0"/>
              <w:numPr>
                <w:ilvl w:val="7"/>
                <w:numId w:val="15"/>
              </w:numPr>
              <w:tabs>
                <w:tab w:val="left" w:pos="3641"/>
              </w:tabs>
              <w:overflowPunct/>
              <w:adjustRightInd/>
              <w:spacing w:before="79"/>
              <w:ind w:right="1134"/>
              <w:contextualSpacing w:val="0"/>
              <w:jc w:val="both"/>
              <w:textAlignment w:val="auto"/>
              <w:rPr>
                <w:rFonts w:ascii="Arial" w:hAnsi="Arial" w:cs="Arial"/>
                <w:sz w:val="22"/>
                <w:szCs w:val="22"/>
              </w:rPr>
            </w:pPr>
            <w:r w:rsidRPr="00AD37E6">
              <w:rPr>
                <w:rFonts w:ascii="Arial" w:hAnsi="Arial" w:cs="Arial"/>
                <w:sz w:val="22"/>
                <w:szCs w:val="22"/>
              </w:rPr>
              <w:t>the Commissioned Capacity of the Capacity Market Unit; and</w:t>
            </w:r>
          </w:p>
          <w:p w14:paraId="423898CC" w14:textId="77777777" w:rsidR="006B199F" w:rsidRPr="00AD37E6" w:rsidRDefault="006B199F" w:rsidP="004F1E04">
            <w:pPr>
              <w:pStyle w:val="ListParagraph"/>
              <w:widowControl w:val="0"/>
              <w:numPr>
                <w:ilvl w:val="7"/>
                <w:numId w:val="15"/>
              </w:numPr>
              <w:tabs>
                <w:tab w:val="left" w:pos="3641"/>
              </w:tabs>
              <w:overflowPunct/>
              <w:adjustRightInd/>
              <w:spacing w:before="121"/>
              <w:ind w:right="1133"/>
              <w:contextualSpacing w:val="0"/>
              <w:jc w:val="both"/>
              <w:textAlignment w:val="auto"/>
              <w:rPr>
                <w:rFonts w:ascii="Arial" w:hAnsi="Arial" w:cs="Arial"/>
                <w:sz w:val="22"/>
                <w:szCs w:val="22"/>
              </w:rPr>
            </w:pPr>
            <w:r w:rsidRPr="00AD37E6">
              <w:rPr>
                <w:rFonts w:ascii="Arial" w:hAnsi="Arial" w:cs="Arial"/>
                <w:sz w:val="22"/>
                <w:szCs w:val="22"/>
              </w:rPr>
              <w:t>the Initial Capacity (Total) of the Capacity Market Unit (as determined when the Capacity Market Unit was last Qualified in respect of the Capacity Year); less</w:t>
            </w:r>
          </w:p>
          <w:p w14:paraId="104AADFE" w14:textId="77777777" w:rsidR="006B199F" w:rsidRPr="00AD37E6" w:rsidRDefault="006B199F" w:rsidP="004F1E04">
            <w:pPr>
              <w:pStyle w:val="ListParagraph"/>
              <w:widowControl w:val="0"/>
              <w:numPr>
                <w:ilvl w:val="6"/>
                <w:numId w:val="15"/>
              </w:numPr>
              <w:tabs>
                <w:tab w:val="left" w:pos="3281"/>
              </w:tabs>
              <w:overflowPunct/>
              <w:adjustRightInd/>
              <w:spacing w:before="119"/>
              <w:contextualSpacing w:val="0"/>
              <w:textAlignment w:val="auto"/>
              <w:rPr>
                <w:rFonts w:ascii="Arial" w:hAnsi="Arial" w:cs="Arial"/>
                <w:sz w:val="22"/>
                <w:szCs w:val="22"/>
              </w:rPr>
            </w:pPr>
            <w:r w:rsidRPr="00AD37E6">
              <w:rPr>
                <w:rFonts w:ascii="Arial" w:hAnsi="Arial" w:cs="Arial"/>
                <w:sz w:val="22"/>
                <w:szCs w:val="22"/>
              </w:rPr>
              <w:t>the Initial Position of the Capacity Market</w:t>
            </w:r>
            <w:r w:rsidRPr="00AD37E6">
              <w:rPr>
                <w:rFonts w:ascii="Arial" w:hAnsi="Arial" w:cs="Arial"/>
                <w:spacing w:val="-6"/>
                <w:sz w:val="22"/>
                <w:szCs w:val="22"/>
              </w:rPr>
              <w:t xml:space="preserve"> </w:t>
            </w:r>
            <w:r w:rsidRPr="00AD37E6">
              <w:rPr>
                <w:rFonts w:ascii="Arial" w:hAnsi="Arial" w:cs="Arial"/>
                <w:sz w:val="22"/>
                <w:szCs w:val="22"/>
              </w:rPr>
              <w:t>Unit.</w:t>
            </w:r>
          </w:p>
          <w:p w14:paraId="1C01A19F" w14:textId="77777777" w:rsidR="006B199F" w:rsidRPr="00AD37E6" w:rsidRDefault="006B199F" w:rsidP="004F1E04">
            <w:pPr>
              <w:pStyle w:val="ListParagraph"/>
              <w:widowControl w:val="0"/>
              <w:numPr>
                <w:ilvl w:val="5"/>
                <w:numId w:val="15"/>
              </w:numPr>
              <w:tabs>
                <w:tab w:val="left" w:pos="2810"/>
                <w:tab w:val="left" w:pos="2811"/>
              </w:tabs>
              <w:overflowPunct/>
              <w:adjustRightInd/>
              <w:spacing w:before="119"/>
              <w:ind w:hanging="708"/>
              <w:contextualSpacing w:val="0"/>
              <w:textAlignment w:val="auto"/>
              <w:rPr>
                <w:rFonts w:ascii="Arial" w:hAnsi="Arial" w:cs="Arial"/>
                <w:sz w:val="22"/>
                <w:szCs w:val="22"/>
              </w:rPr>
            </w:pPr>
            <w:r w:rsidRPr="00AD37E6">
              <w:rPr>
                <w:rFonts w:ascii="Arial" w:hAnsi="Arial" w:cs="Arial"/>
                <w:sz w:val="22"/>
                <w:szCs w:val="22"/>
              </w:rPr>
              <w:t>otherwise:</w:t>
            </w:r>
          </w:p>
          <w:p w14:paraId="05A21B05" w14:textId="77777777" w:rsidR="006B199F" w:rsidRPr="00AD37E6" w:rsidRDefault="006B199F" w:rsidP="004F1E04">
            <w:pPr>
              <w:pStyle w:val="ListParagraph"/>
              <w:widowControl w:val="0"/>
              <w:numPr>
                <w:ilvl w:val="6"/>
                <w:numId w:val="15"/>
              </w:numPr>
              <w:tabs>
                <w:tab w:val="left" w:pos="3281"/>
              </w:tabs>
              <w:overflowPunct/>
              <w:adjustRightInd/>
              <w:spacing w:before="122"/>
              <w:contextualSpacing w:val="0"/>
              <w:textAlignment w:val="auto"/>
              <w:rPr>
                <w:rFonts w:ascii="Arial" w:hAnsi="Arial" w:cs="Arial"/>
                <w:sz w:val="22"/>
                <w:szCs w:val="22"/>
              </w:rPr>
            </w:pPr>
            <w:r w:rsidRPr="00AD37E6">
              <w:rPr>
                <w:rFonts w:ascii="Arial" w:hAnsi="Arial" w:cs="Arial"/>
                <w:sz w:val="22"/>
                <w:szCs w:val="22"/>
              </w:rPr>
              <w:t>the Available De-Rated Capacity;</w:t>
            </w:r>
            <w:r w:rsidRPr="00AD37E6">
              <w:rPr>
                <w:rFonts w:ascii="Arial" w:hAnsi="Arial" w:cs="Arial"/>
                <w:spacing w:val="-1"/>
                <w:sz w:val="22"/>
                <w:szCs w:val="22"/>
              </w:rPr>
              <w:t xml:space="preserve"> </w:t>
            </w:r>
            <w:r w:rsidRPr="00AD37E6">
              <w:rPr>
                <w:rFonts w:ascii="Arial" w:hAnsi="Arial" w:cs="Arial"/>
                <w:sz w:val="22"/>
                <w:szCs w:val="22"/>
              </w:rPr>
              <w:t>less</w:t>
            </w:r>
          </w:p>
          <w:p w14:paraId="36F34285" w14:textId="77777777" w:rsidR="006B199F" w:rsidRPr="00AD37E6" w:rsidRDefault="006B199F" w:rsidP="004F1E04">
            <w:pPr>
              <w:pStyle w:val="ListParagraph"/>
              <w:widowControl w:val="0"/>
              <w:numPr>
                <w:ilvl w:val="6"/>
                <w:numId w:val="15"/>
              </w:numPr>
              <w:tabs>
                <w:tab w:val="left" w:pos="3281"/>
              </w:tabs>
              <w:overflowPunct/>
              <w:adjustRightInd/>
              <w:spacing w:before="119"/>
              <w:contextualSpacing w:val="0"/>
              <w:textAlignment w:val="auto"/>
              <w:rPr>
                <w:rFonts w:ascii="Arial" w:hAnsi="Arial" w:cs="Arial"/>
                <w:sz w:val="22"/>
                <w:szCs w:val="22"/>
              </w:rPr>
            </w:pPr>
            <w:r w:rsidRPr="00AD37E6">
              <w:rPr>
                <w:rFonts w:ascii="Arial" w:hAnsi="Arial" w:cs="Arial"/>
                <w:sz w:val="22"/>
                <w:szCs w:val="22"/>
              </w:rPr>
              <w:t>the Initial Position of the Capacity Market</w:t>
            </w:r>
            <w:r w:rsidRPr="00AD37E6">
              <w:rPr>
                <w:rFonts w:ascii="Arial" w:hAnsi="Arial" w:cs="Arial"/>
                <w:spacing w:val="-6"/>
                <w:sz w:val="22"/>
                <w:szCs w:val="22"/>
              </w:rPr>
              <w:t xml:space="preserve"> </w:t>
            </w:r>
            <w:r w:rsidRPr="00AD37E6">
              <w:rPr>
                <w:rFonts w:ascii="Arial" w:hAnsi="Arial" w:cs="Arial"/>
                <w:sz w:val="22"/>
                <w:szCs w:val="22"/>
              </w:rPr>
              <w:t>Unit,</w:t>
            </w:r>
          </w:p>
          <w:p w14:paraId="2D4BA888" w14:textId="5A5D61AB" w:rsidR="006B199F" w:rsidRDefault="0080400A" w:rsidP="004F1E04">
            <w:pPr>
              <w:pStyle w:val="ListParagraph"/>
              <w:widowControl w:val="0"/>
              <w:numPr>
                <w:ilvl w:val="4"/>
                <w:numId w:val="15"/>
              </w:numPr>
              <w:tabs>
                <w:tab w:val="left" w:pos="2101"/>
                <w:tab w:val="left" w:pos="2102"/>
              </w:tabs>
              <w:overflowPunct/>
              <w:adjustRightInd/>
              <w:spacing w:before="121"/>
              <w:contextualSpacing w:val="0"/>
              <w:textAlignment w:val="auto"/>
              <w:rPr>
                <w:rFonts w:ascii="Arial" w:hAnsi="Arial" w:cs="Arial"/>
                <w:sz w:val="22"/>
                <w:szCs w:val="22"/>
              </w:rPr>
            </w:pPr>
            <w:r w:rsidRPr="00AD37E6">
              <w:rPr>
                <w:rFonts w:ascii="Arial" w:hAnsi="Arial" w:cs="Arial"/>
                <w:sz w:val="22"/>
                <w:szCs w:val="22"/>
              </w:rPr>
              <w:t>multiplied</w:t>
            </w:r>
            <w:r w:rsidR="006B199F" w:rsidRPr="00AD37E6">
              <w:rPr>
                <w:rFonts w:ascii="Arial" w:hAnsi="Arial" w:cs="Arial"/>
                <w:sz w:val="22"/>
                <w:szCs w:val="22"/>
              </w:rPr>
              <w:t xml:space="preserve"> by the</w:t>
            </w:r>
            <w:r w:rsidRPr="00AD37E6">
              <w:rPr>
                <w:rFonts w:ascii="Arial" w:hAnsi="Arial" w:cs="Arial"/>
                <w:sz w:val="22"/>
                <w:szCs w:val="22"/>
              </w:rPr>
              <w:t xml:space="preserve"> maximum forecasted</w:t>
            </w:r>
            <w:r w:rsidR="006B199F" w:rsidRPr="00AD37E6">
              <w:rPr>
                <w:rFonts w:ascii="Arial" w:hAnsi="Arial" w:cs="Arial"/>
                <w:sz w:val="22"/>
                <w:szCs w:val="22"/>
              </w:rPr>
              <w:t xml:space="preserve"> </w:t>
            </w:r>
            <w:r w:rsidRPr="00AD37E6">
              <w:rPr>
                <w:rFonts w:ascii="Arial" w:hAnsi="Arial" w:cs="Arial"/>
                <w:sz w:val="22"/>
                <w:szCs w:val="22"/>
              </w:rPr>
              <w:t>Capacity Quantity Scaling Factor</w:t>
            </w:r>
            <w:r w:rsidR="006B199F" w:rsidRPr="00AD37E6">
              <w:rPr>
                <w:rFonts w:ascii="Arial" w:hAnsi="Arial" w:cs="Arial"/>
                <w:sz w:val="22"/>
                <w:szCs w:val="22"/>
              </w:rPr>
              <w:t xml:space="preserve"> for the </w:t>
            </w:r>
            <w:r w:rsidRPr="00AD37E6">
              <w:rPr>
                <w:rFonts w:ascii="Arial" w:hAnsi="Arial" w:cs="Arial"/>
                <w:sz w:val="22"/>
                <w:szCs w:val="22"/>
              </w:rPr>
              <w:t>traded period</w:t>
            </w:r>
            <w:r w:rsidR="006B199F" w:rsidRPr="00AD37E6">
              <w:rPr>
                <w:rFonts w:ascii="Arial" w:hAnsi="Arial" w:cs="Arial"/>
                <w:sz w:val="22"/>
                <w:szCs w:val="22"/>
              </w:rPr>
              <w:t>.</w:t>
            </w:r>
          </w:p>
          <w:p w14:paraId="2B84A7BD" w14:textId="77777777" w:rsidR="00DC2EF1" w:rsidRDefault="00DC2EF1" w:rsidP="00DC2EF1">
            <w:pPr>
              <w:widowControl w:val="0"/>
              <w:tabs>
                <w:tab w:val="left" w:pos="1709"/>
              </w:tabs>
              <w:overflowPunct/>
              <w:adjustRightInd/>
              <w:spacing w:before="119"/>
              <w:ind w:left="1716" w:hanging="1276"/>
              <w:textAlignment w:val="auto"/>
              <w:rPr>
                <w:rFonts w:ascii="Arial" w:hAnsi="Arial" w:cs="Arial"/>
                <w:color w:val="000000" w:themeColor="text1"/>
                <w:sz w:val="22"/>
                <w:szCs w:val="22"/>
              </w:rPr>
            </w:pPr>
            <w:r w:rsidRPr="00E91EEC">
              <w:rPr>
                <w:rFonts w:ascii="Arial" w:eastAsiaTheme="majorEastAsia" w:hAnsi="Arial" w:cs="Arial"/>
                <w:color w:val="000000" w:themeColor="text1"/>
                <w:sz w:val="22"/>
                <w:szCs w:val="22"/>
                <w:lang w:val="en-GB" w:eastAsia="en-US"/>
              </w:rPr>
              <w:t>M.10.6</w:t>
            </w:r>
            <w:r>
              <w:rPr>
                <w:rFonts w:ascii="Arial" w:eastAsiaTheme="majorEastAsia" w:hAnsi="Arial" w:cs="Arial"/>
                <w:color w:val="000000" w:themeColor="text1"/>
                <w:sz w:val="22"/>
                <w:szCs w:val="22"/>
                <w:lang w:val="en-GB" w:eastAsia="en-US"/>
              </w:rPr>
              <w:t>.4</w:t>
            </w:r>
            <w:r w:rsidRPr="00F904F4">
              <w:rPr>
                <w:rFonts w:ascii="Arial" w:hAnsi="Arial" w:cs="Arial"/>
                <w:color w:val="000000" w:themeColor="text1"/>
                <w:sz w:val="22"/>
                <w:szCs w:val="22"/>
              </w:rPr>
              <w:t xml:space="preserve">       </w:t>
            </w:r>
            <w:bookmarkStart w:id="7" w:name="_bookmark541"/>
            <w:bookmarkEnd w:id="7"/>
            <w:r w:rsidR="006B199F" w:rsidRPr="00AD37E6">
              <w:rPr>
                <w:rFonts w:ascii="Arial" w:hAnsi="Arial" w:cs="Arial"/>
                <w:sz w:val="22"/>
                <w:szCs w:val="22"/>
              </w:rPr>
              <w:t>The Regulatory Authorities may, from time to time, determine the value of the Secondary Trade De-Rated Capacity</w:t>
            </w:r>
            <w:r w:rsidR="006B199F" w:rsidRPr="00AD37E6">
              <w:rPr>
                <w:rFonts w:ascii="Arial" w:hAnsi="Arial" w:cs="Arial"/>
                <w:spacing w:val="-4"/>
                <w:sz w:val="22"/>
                <w:szCs w:val="22"/>
              </w:rPr>
              <w:t xml:space="preserve"> </w:t>
            </w:r>
            <w:r w:rsidR="006B199F" w:rsidRPr="00AD37E6">
              <w:rPr>
                <w:rFonts w:ascii="Arial" w:hAnsi="Arial" w:cs="Arial"/>
                <w:sz w:val="22"/>
                <w:szCs w:val="22"/>
              </w:rPr>
              <w:t>Tolerance.</w:t>
            </w:r>
            <w:bookmarkStart w:id="8" w:name="_bookmark542"/>
            <w:bookmarkEnd w:id="8"/>
          </w:p>
          <w:p w14:paraId="55A6B208" w14:textId="5A7A6D11" w:rsidR="006B199F" w:rsidRPr="00DC2EF1" w:rsidRDefault="0080400A" w:rsidP="00DC2EF1">
            <w:pPr>
              <w:widowControl w:val="0"/>
              <w:tabs>
                <w:tab w:val="left" w:pos="1709"/>
              </w:tabs>
              <w:overflowPunct/>
              <w:adjustRightInd/>
              <w:spacing w:before="119"/>
              <w:ind w:left="1716" w:hanging="1276"/>
              <w:textAlignment w:val="auto"/>
              <w:rPr>
                <w:rFonts w:ascii="Arial" w:hAnsi="Arial" w:cs="Arial"/>
                <w:color w:val="000000" w:themeColor="text1"/>
                <w:sz w:val="22"/>
                <w:szCs w:val="22"/>
              </w:rPr>
            </w:pPr>
            <w:r w:rsidRPr="00AD37E6">
              <w:rPr>
                <w:rFonts w:ascii="Arial" w:hAnsi="Arial" w:cs="Arial"/>
                <w:sz w:val="22"/>
                <w:szCs w:val="22"/>
              </w:rPr>
              <w:t>M.10.6.5</w:t>
            </w:r>
            <w:r w:rsidR="00441C18" w:rsidRPr="00AD37E6">
              <w:rPr>
                <w:rFonts w:ascii="Arial" w:hAnsi="Arial" w:cs="Arial"/>
                <w:sz w:val="22"/>
                <w:szCs w:val="22"/>
              </w:rPr>
              <w:t xml:space="preserve"> </w:t>
            </w:r>
            <w:r w:rsidR="00DC2EF1">
              <w:rPr>
                <w:rFonts w:ascii="Arial" w:hAnsi="Arial" w:cs="Arial"/>
                <w:sz w:val="22"/>
                <w:szCs w:val="22"/>
              </w:rPr>
              <w:t xml:space="preserve">      </w:t>
            </w:r>
            <w:r w:rsidR="006B199F" w:rsidRPr="00AD37E6">
              <w:rPr>
                <w:rFonts w:ascii="Arial" w:hAnsi="Arial" w:cs="Arial"/>
                <w:sz w:val="22"/>
                <w:szCs w:val="22"/>
              </w:rPr>
              <w:t xml:space="preserve">If, at any time, the Regulatory Authorities have not determined a specific </w:t>
            </w:r>
            <w:r w:rsidR="00DC2EF1">
              <w:rPr>
                <w:rFonts w:ascii="Arial" w:hAnsi="Arial" w:cs="Arial"/>
                <w:sz w:val="22"/>
                <w:szCs w:val="22"/>
              </w:rPr>
              <w:t xml:space="preserve"> </w:t>
            </w:r>
            <w:r w:rsidR="00DC2EF1">
              <w:rPr>
                <w:rFonts w:ascii="Arial" w:hAnsi="Arial" w:cs="Arial"/>
                <w:sz w:val="22"/>
                <w:szCs w:val="22"/>
              </w:rPr>
              <w:br/>
            </w:r>
            <w:r w:rsidR="006B199F" w:rsidRPr="00AD37E6">
              <w:rPr>
                <w:rFonts w:ascii="Arial" w:hAnsi="Arial" w:cs="Arial"/>
                <w:sz w:val="22"/>
                <w:szCs w:val="22"/>
              </w:rPr>
              <w:t xml:space="preserve">value for the Secondary Trade De-Rated Capacity Tolerance, then its value </w:t>
            </w:r>
            <w:r w:rsidR="00DC2EF1">
              <w:rPr>
                <w:rFonts w:ascii="Arial" w:hAnsi="Arial" w:cs="Arial"/>
                <w:sz w:val="22"/>
                <w:szCs w:val="22"/>
              </w:rPr>
              <w:br/>
            </w:r>
            <w:r w:rsidR="006B199F" w:rsidRPr="00AD37E6">
              <w:rPr>
                <w:rFonts w:ascii="Arial" w:hAnsi="Arial" w:cs="Arial"/>
                <w:sz w:val="22"/>
                <w:szCs w:val="22"/>
              </w:rPr>
              <w:t>shall be</w:t>
            </w:r>
            <w:r w:rsidR="006B199F" w:rsidRPr="00AD37E6">
              <w:rPr>
                <w:rFonts w:ascii="Arial" w:hAnsi="Arial" w:cs="Arial"/>
                <w:spacing w:val="-16"/>
                <w:sz w:val="22"/>
                <w:szCs w:val="22"/>
              </w:rPr>
              <w:t xml:space="preserve"> </w:t>
            </w:r>
            <w:r w:rsidR="006B199F" w:rsidRPr="00AD37E6">
              <w:rPr>
                <w:rFonts w:ascii="Arial" w:hAnsi="Arial" w:cs="Arial"/>
                <w:sz w:val="22"/>
                <w:szCs w:val="22"/>
              </w:rPr>
              <w:t>zero.</w:t>
            </w:r>
          </w:p>
          <w:p w14:paraId="7708C953" w14:textId="77777777" w:rsidR="006B199F" w:rsidRPr="00AD37E6" w:rsidRDefault="006B199F" w:rsidP="006B199F">
            <w:pPr>
              <w:pStyle w:val="BodyText"/>
              <w:spacing w:before="7"/>
            </w:pPr>
          </w:p>
          <w:p w14:paraId="459E121C" w14:textId="08C9F0EB" w:rsidR="006B199F" w:rsidRPr="00AD37E6" w:rsidRDefault="00441C18" w:rsidP="00DC2EF1">
            <w:pPr>
              <w:widowControl w:val="0"/>
              <w:tabs>
                <w:tab w:val="left" w:pos="1673"/>
              </w:tabs>
              <w:overflowPunct/>
              <w:adjustRightInd/>
              <w:spacing w:before="79"/>
              <w:ind w:left="399" w:right="1133"/>
              <w:jc w:val="both"/>
              <w:textAlignment w:val="auto"/>
              <w:rPr>
                <w:rFonts w:ascii="Arial" w:eastAsiaTheme="majorEastAsia" w:hAnsi="Arial" w:cs="Arial"/>
                <w:i/>
                <w:iCs/>
                <w:color w:val="243F60" w:themeColor="accent1" w:themeShade="7F"/>
                <w:sz w:val="22"/>
                <w:szCs w:val="22"/>
                <w:lang w:val="en-GB" w:eastAsia="en-US"/>
              </w:rPr>
            </w:pPr>
            <w:bookmarkStart w:id="9" w:name="_bookmark543"/>
            <w:bookmarkStart w:id="10" w:name="_bookmark544"/>
            <w:bookmarkStart w:id="11" w:name="_bookmark545"/>
            <w:bookmarkEnd w:id="9"/>
            <w:bookmarkEnd w:id="10"/>
            <w:bookmarkEnd w:id="11"/>
            <w:r w:rsidRPr="00AD37E6">
              <w:rPr>
                <w:rFonts w:ascii="Arial" w:eastAsiaTheme="majorEastAsia" w:hAnsi="Arial" w:cs="Arial"/>
                <w:i/>
                <w:iCs/>
                <w:color w:val="243F60" w:themeColor="accent1" w:themeShade="7F"/>
                <w:sz w:val="22"/>
                <w:szCs w:val="22"/>
                <w:lang w:val="en-GB" w:eastAsia="en-US"/>
              </w:rPr>
              <w:t>M.10.</w:t>
            </w:r>
            <w:r w:rsidR="0000098C">
              <w:rPr>
                <w:rFonts w:ascii="Arial" w:eastAsiaTheme="majorEastAsia" w:hAnsi="Arial" w:cs="Arial"/>
                <w:i/>
                <w:iCs/>
                <w:color w:val="243F60" w:themeColor="accent1" w:themeShade="7F"/>
                <w:sz w:val="22"/>
                <w:szCs w:val="22"/>
                <w:lang w:val="en-GB" w:eastAsia="en-US"/>
              </w:rPr>
              <w:t>7</w:t>
            </w:r>
            <w:r w:rsidRPr="00AD37E6">
              <w:rPr>
                <w:rFonts w:ascii="Arial" w:eastAsiaTheme="majorEastAsia" w:hAnsi="Arial" w:cs="Arial"/>
                <w:i/>
                <w:iCs/>
                <w:color w:val="243F60" w:themeColor="accent1" w:themeShade="7F"/>
                <w:sz w:val="22"/>
                <w:szCs w:val="22"/>
                <w:lang w:val="en-GB" w:eastAsia="en-US"/>
              </w:rPr>
              <w:t xml:space="preserve"> </w:t>
            </w:r>
            <w:r w:rsidR="00DC2EF1">
              <w:rPr>
                <w:rFonts w:ascii="Arial" w:eastAsiaTheme="majorEastAsia" w:hAnsi="Arial" w:cs="Arial"/>
                <w:i/>
                <w:iCs/>
                <w:color w:val="243F60" w:themeColor="accent1" w:themeShade="7F"/>
                <w:sz w:val="22"/>
                <w:szCs w:val="22"/>
                <w:lang w:val="en-GB" w:eastAsia="en-US"/>
              </w:rPr>
              <w:t xml:space="preserve">        </w:t>
            </w:r>
            <w:r w:rsidRPr="00AD37E6">
              <w:rPr>
                <w:rFonts w:ascii="Arial" w:eastAsiaTheme="majorEastAsia" w:hAnsi="Arial" w:cs="Arial"/>
                <w:i/>
                <w:iCs/>
                <w:color w:val="243F60" w:themeColor="accent1" w:themeShade="7F"/>
                <w:sz w:val="22"/>
                <w:szCs w:val="22"/>
                <w:lang w:val="en-GB" w:eastAsia="en-US"/>
              </w:rPr>
              <w:t>Capacity and Trade Register</w:t>
            </w:r>
          </w:p>
          <w:p w14:paraId="5C2985C0" w14:textId="462C25A3" w:rsidR="006B199F" w:rsidRPr="00AD37E6" w:rsidRDefault="00441C18" w:rsidP="00441C18">
            <w:pPr>
              <w:widowControl w:val="0"/>
              <w:tabs>
                <w:tab w:val="left" w:pos="1392"/>
              </w:tabs>
              <w:overflowPunct/>
              <w:adjustRightInd/>
              <w:spacing w:before="121"/>
              <w:ind w:left="399" w:right="1134"/>
              <w:jc w:val="both"/>
              <w:textAlignment w:val="auto"/>
              <w:rPr>
                <w:rFonts w:ascii="Arial" w:hAnsi="Arial" w:cs="Arial"/>
                <w:sz w:val="22"/>
                <w:szCs w:val="22"/>
              </w:rPr>
            </w:pPr>
            <w:bookmarkStart w:id="12" w:name="_bookmark551"/>
            <w:bookmarkEnd w:id="12"/>
            <w:r w:rsidRPr="00AD37E6">
              <w:rPr>
                <w:rFonts w:ascii="Arial" w:hAnsi="Arial" w:cs="Arial"/>
                <w:sz w:val="22"/>
                <w:szCs w:val="22"/>
              </w:rPr>
              <w:t>M.10.</w:t>
            </w:r>
            <w:r w:rsidR="0000098C">
              <w:rPr>
                <w:rFonts w:ascii="Arial" w:hAnsi="Arial" w:cs="Arial"/>
                <w:sz w:val="22"/>
                <w:szCs w:val="22"/>
              </w:rPr>
              <w:t>7</w:t>
            </w:r>
            <w:r w:rsidRPr="00AD37E6">
              <w:rPr>
                <w:rFonts w:ascii="Arial" w:hAnsi="Arial" w:cs="Arial"/>
                <w:sz w:val="22"/>
                <w:szCs w:val="22"/>
              </w:rPr>
              <w:t xml:space="preserve">.1 </w:t>
            </w:r>
            <w:r w:rsidR="00DC2EF1">
              <w:rPr>
                <w:rFonts w:ascii="Arial" w:hAnsi="Arial" w:cs="Arial"/>
                <w:sz w:val="22"/>
                <w:szCs w:val="22"/>
              </w:rPr>
              <w:t xml:space="preserve">     </w:t>
            </w:r>
            <w:r w:rsidR="006B199F" w:rsidRPr="00AD37E6">
              <w:rPr>
                <w:rFonts w:ascii="Arial" w:hAnsi="Arial" w:cs="Arial"/>
                <w:sz w:val="22"/>
                <w:szCs w:val="22"/>
              </w:rPr>
              <w:t xml:space="preserve">The System Operators shall record details of all Secondary Trades </w:t>
            </w:r>
            <w:r w:rsidR="00DC2EF1">
              <w:rPr>
                <w:rFonts w:ascii="Arial" w:hAnsi="Arial" w:cs="Arial"/>
                <w:sz w:val="22"/>
                <w:szCs w:val="22"/>
              </w:rPr>
              <w:t xml:space="preserve"> </w:t>
            </w:r>
            <w:r w:rsidR="00DC2EF1">
              <w:rPr>
                <w:rFonts w:ascii="Arial" w:hAnsi="Arial" w:cs="Arial"/>
                <w:sz w:val="22"/>
                <w:szCs w:val="22"/>
              </w:rPr>
              <w:br/>
              <w:t xml:space="preserve">                     </w:t>
            </w:r>
            <w:r w:rsidR="006B199F" w:rsidRPr="00AD37E6">
              <w:rPr>
                <w:rFonts w:ascii="Arial" w:hAnsi="Arial" w:cs="Arial"/>
                <w:sz w:val="22"/>
                <w:szCs w:val="22"/>
              </w:rPr>
              <w:t>in the Capacity and Trade Register,</w:t>
            </w:r>
            <w:r w:rsidR="006B199F" w:rsidRPr="00AD37E6">
              <w:rPr>
                <w:rFonts w:ascii="Arial" w:hAnsi="Arial" w:cs="Arial"/>
                <w:spacing w:val="-2"/>
                <w:sz w:val="22"/>
                <w:szCs w:val="22"/>
              </w:rPr>
              <w:t xml:space="preserve"> </w:t>
            </w:r>
            <w:r w:rsidR="006B199F" w:rsidRPr="00AD37E6">
              <w:rPr>
                <w:rFonts w:ascii="Arial" w:hAnsi="Arial" w:cs="Arial"/>
                <w:sz w:val="22"/>
                <w:szCs w:val="22"/>
              </w:rPr>
              <w:t>where:</w:t>
            </w:r>
          </w:p>
          <w:p w14:paraId="3FFCFED3" w14:textId="1A099287" w:rsidR="006B199F" w:rsidRPr="00AD37E6" w:rsidRDefault="006B199F" w:rsidP="00DC2EF1">
            <w:pPr>
              <w:pStyle w:val="ListParagraph"/>
              <w:widowControl w:val="0"/>
              <w:numPr>
                <w:ilvl w:val="4"/>
                <w:numId w:val="12"/>
              </w:numPr>
              <w:tabs>
                <w:tab w:val="left" w:pos="2102"/>
              </w:tabs>
              <w:overflowPunct/>
              <w:adjustRightInd/>
              <w:spacing w:before="120"/>
              <w:ind w:right="1135" w:hanging="429"/>
              <w:contextualSpacing w:val="0"/>
              <w:jc w:val="both"/>
              <w:textAlignment w:val="auto"/>
              <w:rPr>
                <w:rFonts w:ascii="Arial" w:hAnsi="Arial" w:cs="Arial"/>
                <w:sz w:val="22"/>
                <w:szCs w:val="22"/>
              </w:rPr>
            </w:pPr>
            <w:r w:rsidRPr="00AD37E6">
              <w:rPr>
                <w:rFonts w:ascii="Arial" w:hAnsi="Arial" w:cs="Arial"/>
                <w:sz w:val="22"/>
                <w:szCs w:val="22"/>
              </w:rPr>
              <w:t xml:space="preserve">Awarded Capacity arising from a Secondary </w:t>
            </w:r>
            <w:r w:rsidR="00954CAC" w:rsidRPr="00AD37E6">
              <w:rPr>
                <w:rFonts w:ascii="Arial" w:hAnsi="Arial" w:cs="Arial"/>
                <w:sz w:val="22"/>
                <w:szCs w:val="22"/>
              </w:rPr>
              <w:t xml:space="preserve">Trade sale </w:t>
            </w:r>
            <w:r w:rsidRPr="00AD37E6">
              <w:rPr>
                <w:rFonts w:ascii="Arial" w:hAnsi="Arial" w:cs="Arial"/>
                <w:sz w:val="22"/>
                <w:szCs w:val="22"/>
              </w:rPr>
              <w:t>shall be entered as negative</w:t>
            </w:r>
            <w:r w:rsidRPr="00AD37E6">
              <w:rPr>
                <w:rFonts w:ascii="Arial" w:hAnsi="Arial" w:cs="Arial"/>
                <w:spacing w:val="-1"/>
                <w:sz w:val="22"/>
                <w:szCs w:val="22"/>
              </w:rPr>
              <w:t xml:space="preserve"> </w:t>
            </w:r>
            <w:r w:rsidRPr="00AD37E6">
              <w:rPr>
                <w:rFonts w:ascii="Arial" w:hAnsi="Arial" w:cs="Arial"/>
                <w:sz w:val="22"/>
                <w:szCs w:val="22"/>
              </w:rPr>
              <w:t>value;</w:t>
            </w:r>
          </w:p>
          <w:p w14:paraId="14615316" w14:textId="62A12569" w:rsidR="006B199F" w:rsidRPr="00AD37E6" w:rsidRDefault="006B199F" w:rsidP="00DC2EF1">
            <w:pPr>
              <w:pStyle w:val="ListParagraph"/>
              <w:widowControl w:val="0"/>
              <w:numPr>
                <w:ilvl w:val="4"/>
                <w:numId w:val="12"/>
              </w:numPr>
              <w:tabs>
                <w:tab w:val="left" w:pos="2102"/>
              </w:tabs>
              <w:overflowPunct/>
              <w:adjustRightInd/>
              <w:spacing w:before="118"/>
              <w:ind w:right="1134" w:hanging="429"/>
              <w:contextualSpacing w:val="0"/>
              <w:jc w:val="both"/>
              <w:textAlignment w:val="auto"/>
              <w:rPr>
                <w:rFonts w:ascii="Arial" w:hAnsi="Arial" w:cs="Arial"/>
                <w:sz w:val="22"/>
                <w:szCs w:val="22"/>
              </w:rPr>
            </w:pPr>
            <w:r w:rsidRPr="00AD37E6">
              <w:rPr>
                <w:rFonts w:ascii="Arial" w:hAnsi="Arial" w:cs="Arial"/>
                <w:sz w:val="22"/>
                <w:szCs w:val="22"/>
              </w:rPr>
              <w:t xml:space="preserve">Awarded Capacity arising from a Secondary </w:t>
            </w:r>
            <w:r w:rsidR="00954CAC" w:rsidRPr="00AD37E6">
              <w:rPr>
                <w:rFonts w:ascii="Arial" w:hAnsi="Arial" w:cs="Arial"/>
                <w:sz w:val="22"/>
                <w:szCs w:val="22"/>
              </w:rPr>
              <w:t>Trade</w:t>
            </w:r>
            <w:r w:rsidRPr="00AD37E6">
              <w:rPr>
                <w:rFonts w:ascii="Arial" w:hAnsi="Arial" w:cs="Arial"/>
                <w:sz w:val="22"/>
                <w:szCs w:val="22"/>
              </w:rPr>
              <w:t xml:space="preserve"> </w:t>
            </w:r>
            <w:r w:rsidR="00954CAC" w:rsidRPr="00AD37E6">
              <w:rPr>
                <w:rFonts w:ascii="Arial" w:hAnsi="Arial" w:cs="Arial"/>
                <w:sz w:val="22"/>
                <w:szCs w:val="22"/>
              </w:rPr>
              <w:t xml:space="preserve">purchase </w:t>
            </w:r>
            <w:r w:rsidRPr="00AD37E6">
              <w:rPr>
                <w:rFonts w:ascii="Arial" w:hAnsi="Arial" w:cs="Arial"/>
                <w:sz w:val="22"/>
                <w:szCs w:val="22"/>
              </w:rPr>
              <w:t>shall be entered as a positive value;</w:t>
            </w:r>
            <w:r w:rsidRPr="00AD37E6">
              <w:rPr>
                <w:rFonts w:ascii="Arial" w:hAnsi="Arial" w:cs="Arial"/>
                <w:spacing w:val="2"/>
                <w:sz w:val="22"/>
                <w:szCs w:val="22"/>
              </w:rPr>
              <w:t xml:space="preserve"> </w:t>
            </w:r>
            <w:r w:rsidRPr="00AD37E6">
              <w:rPr>
                <w:rFonts w:ascii="Arial" w:hAnsi="Arial" w:cs="Arial"/>
                <w:sz w:val="22"/>
                <w:szCs w:val="22"/>
              </w:rPr>
              <w:t>and</w:t>
            </w:r>
          </w:p>
          <w:p w14:paraId="1991E8DA" w14:textId="0879ECBD" w:rsidR="006B199F" w:rsidRPr="00AD37E6" w:rsidRDefault="006B199F" w:rsidP="00DC2EF1">
            <w:pPr>
              <w:pStyle w:val="ListParagraph"/>
              <w:widowControl w:val="0"/>
              <w:numPr>
                <w:ilvl w:val="4"/>
                <w:numId w:val="12"/>
              </w:numPr>
              <w:tabs>
                <w:tab w:val="left" w:pos="2102"/>
              </w:tabs>
              <w:overflowPunct/>
              <w:adjustRightInd/>
              <w:spacing w:before="121"/>
              <w:ind w:right="1135" w:hanging="429"/>
              <w:contextualSpacing w:val="0"/>
              <w:jc w:val="both"/>
              <w:textAlignment w:val="auto"/>
              <w:rPr>
                <w:rFonts w:ascii="Arial" w:hAnsi="Arial" w:cs="Arial"/>
                <w:sz w:val="22"/>
                <w:szCs w:val="22"/>
              </w:rPr>
            </w:pPr>
            <w:r w:rsidRPr="00AD37E6">
              <w:rPr>
                <w:rFonts w:ascii="Arial" w:hAnsi="Arial" w:cs="Arial"/>
                <w:sz w:val="22"/>
                <w:szCs w:val="22"/>
              </w:rPr>
              <w:t>all Contract Register Entries in the Capacity and Trade Register in respect of a Secondary Trade</w:t>
            </w:r>
            <w:r w:rsidR="00954CAC" w:rsidRPr="00AD37E6">
              <w:rPr>
                <w:rFonts w:ascii="Arial" w:hAnsi="Arial" w:cs="Arial"/>
                <w:sz w:val="22"/>
                <w:szCs w:val="22"/>
              </w:rPr>
              <w:t xml:space="preserve">s </w:t>
            </w:r>
            <w:r w:rsidRPr="00AD37E6">
              <w:rPr>
                <w:rFonts w:ascii="Arial" w:hAnsi="Arial" w:cs="Arial"/>
                <w:sz w:val="22"/>
                <w:szCs w:val="22"/>
              </w:rPr>
              <w:t>shall be identified by a Secondary Trade Flag.</w:t>
            </w:r>
          </w:p>
          <w:p w14:paraId="7D21C094" w14:textId="77777777" w:rsidR="00584447" w:rsidRPr="00AD37E6" w:rsidRDefault="00584447" w:rsidP="00584447">
            <w:pPr>
              <w:pStyle w:val="Default"/>
              <w:rPr>
                <w:sz w:val="22"/>
                <w:szCs w:val="22"/>
              </w:rPr>
            </w:pPr>
          </w:p>
          <w:p w14:paraId="12E5F9A9" w14:textId="0C56990C" w:rsidR="00751E25" w:rsidRPr="00AE769D" w:rsidRDefault="0000098C" w:rsidP="008240F0">
            <w:pPr>
              <w:overflowPunct/>
              <w:autoSpaceDE/>
              <w:autoSpaceDN/>
              <w:adjustRightInd/>
              <w:spacing w:before="120" w:after="120"/>
              <w:ind w:left="4320" w:hanging="4320"/>
              <w:jc w:val="both"/>
              <w:textAlignment w:val="auto"/>
              <w:rPr>
                <w:rFonts w:ascii="Arial" w:hAnsi="Arial" w:cs="Arial"/>
                <w:b/>
                <w:bCs/>
                <w:color w:val="FF0000"/>
                <w:sz w:val="22"/>
                <w:szCs w:val="22"/>
              </w:rPr>
            </w:pPr>
            <w:r w:rsidRPr="00AE769D">
              <w:rPr>
                <w:rFonts w:ascii="Arial" w:hAnsi="Arial" w:cs="Arial"/>
                <w:b/>
                <w:bCs/>
                <w:color w:val="FF0000"/>
                <w:sz w:val="22"/>
                <w:szCs w:val="22"/>
              </w:rPr>
              <w:t>Glossary</w:t>
            </w:r>
          </w:p>
          <w:p w14:paraId="713A24B8" w14:textId="74F7B7DA" w:rsidR="0000098C" w:rsidRPr="00AD37E6" w:rsidRDefault="0000098C" w:rsidP="00AE769D">
            <w:pPr>
              <w:overflowPunct/>
              <w:autoSpaceDE/>
              <w:autoSpaceDN/>
              <w:adjustRightInd/>
              <w:spacing w:before="120" w:after="120"/>
              <w:ind w:left="1701" w:hanging="1701"/>
              <w:jc w:val="both"/>
              <w:textAlignment w:val="auto"/>
              <w:rPr>
                <w:rFonts w:ascii="Arial" w:hAnsi="Arial" w:cs="Arial"/>
                <w:color w:val="FF0000"/>
                <w:sz w:val="22"/>
                <w:szCs w:val="22"/>
              </w:rPr>
            </w:pPr>
            <w:r w:rsidRPr="00AE769D">
              <w:rPr>
                <w:rFonts w:ascii="Arial" w:hAnsi="Arial" w:cs="Arial"/>
                <w:b/>
                <w:bCs/>
                <w:color w:val="FF0000"/>
                <w:sz w:val="22"/>
                <w:szCs w:val="22"/>
              </w:rPr>
              <w:t xml:space="preserve">Maximum </w:t>
            </w:r>
            <w:r w:rsidR="00AE769D" w:rsidRPr="00AE769D">
              <w:rPr>
                <w:rFonts w:ascii="Arial" w:hAnsi="Arial" w:cs="Arial"/>
                <w:b/>
                <w:bCs/>
                <w:color w:val="FF0000"/>
                <w:sz w:val="22"/>
                <w:szCs w:val="22"/>
              </w:rPr>
              <w:t xml:space="preserve">Forecasted </w:t>
            </w:r>
            <w:proofErr w:type="gramStart"/>
            <w:r w:rsidR="00AE769D" w:rsidRPr="00AE769D">
              <w:rPr>
                <w:rFonts w:ascii="Arial" w:hAnsi="Arial" w:cs="Arial"/>
                <w:b/>
                <w:bCs/>
                <w:color w:val="FF0000"/>
                <w:sz w:val="22"/>
                <w:szCs w:val="22"/>
              </w:rPr>
              <w:t>FSQC</w:t>
            </w:r>
            <w:r w:rsidR="00AE769D">
              <w:rPr>
                <w:rFonts w:ascii="Arial" w:hAnsi="Arial" w:cs="Arial"/>
                <w:color w:val="FF0000"/>
                <w:sz w:val="22"/>
                <w:szCs w:val="22"/>
              </w:rPr>
              <w:t xml:space="preserve">  </w:t>
            </w:r>
            <w:r w:rsidRPr="00AE769D">
              <w:rPr>
                <w:rFonts w:ascii="Arial" w:hAnsi="Arial" w:cs="Arial"/>
                <w:sz w:val="22"/>
                <w:szCs w:val="22"/>
              </w:rPr>
              <w:t>Means</w:t>
            </w:r>
            <w:proofErr w:type="gramEnd"/>
            <w:r w:rsidRPr="00AE769D">
              <w:rPr>
                <w:rFonts w:ascii="Arial" w:hAnsi="Arial" w:cs="Arial"/>
                <w:sz w:val="22"/>
                <w:szCs w:val="22"/>
              </w:rPr>
              <w:t xml:space="preserve"> the maximum level that the FSQC is forecasted to reach for the forward period </w:t>
            </w:r>
            <w:r w:rsidR="00AE769D" w:rsidRPr="00AE769D">
              <w:rPr>
                <w:rFonts w:ascii="Arial" w:hAnsi="Arial" w:cs="Arial"/>
                <w:sz w:val="22"/>
                <w:szCs w:val="22"/>
              </w:rPr>
              <w:t xml:space="preserve">Forecasted FSQC  </w:t>
            </w:r>
            <w:r w:rsidRPr="00AE769D">
              <w:rPr>
                <w:rFonts w:ascii="Arial" w:hAnsi="Arial" w:cs="Arial"/>
                <w:sz w:val="22"/>
                <w:szCs w:val="22"/>
              </w:rPr>
              <w:t xml:space="preserve">of a secondary trade. It is calculated as </w:t>
            </w:r>
            <w:r w:rsidRPr="00AD37E6">
              <w:rPr>
                <w:rFonts w:ascii="Arial" w:hAnsi="Arial" w:cs="Arial"/>
                <w:sz w:val="22"/>
                <w:szCs w:val="22"/>
              </w:rPr>
              <w:t>(Forecasted System Demand + Reserve Adjustment Capacity Quantity)/ Total awarded capacity</w:t>
            </w:r>
            <w:r w:rsidR="00AE769D">
              <w:rPr>
                <w:rFonts w:ascii="Arial" w:hAnsi="Arial" w:cs="Arial"/>
                <w:sz w:val="22"/>
                <w:szCs w:val="22"/>
              </w:rPr>
              <w:t>. It utilises the SEMO Annual Forecasted Demand.</w:t>
            </w:r>
          </w:p>
          <w:p w14:paraId="203D4255" w14:textId="69267A9D" w:rsidR="0038763B" w:rsidRPr="00AD37E6" w:rsidRDefault="0038763B" w:rsidP="008240F0">
            <w:pPr>
              <w:overflowPunct/>
              <w:autoSpaceDE/>
              <w:autoSpaceDN/>
              <w:adjustRightInd/>
              <w:spacing w:before="120" w:after="120"/>
              <w:ind w:left="4320" w:hanging="4320"/>
              <w:jc w:val="both"/>
              <w:textAlignment w:val="auto"/>
              <w:rPr>
                <w:rFonts w:ascii="Arial" w:hAnsi="Arial" w:cs="Arial"/>
                <w:color w:val="FF0000"/>
                <w:sz w:val="22"/>
                <w:szCs w:val="22"/>
              </w:rPr>
            </w:pPr>
          </w:p>
          <w:p w14:paraId="043ABAAC" w14:textId="2A47AF40" w:rsidR="0038763B" w:rsidRPr="00AD37E6" w:rsidRDefault="0038763B" w:rsidP="008240F0">
            <w:pPr>
              <w:overflowPunct/>
              <w:autoSpaceDE/>
              <w:autoSpaceDN/>
              <w:adjustRightInd/>
              <w:spacing w:before="120" w:after="120"/>
              <w:ind w:left="4320" w:hanging="4320"/>
              <w:jc w:val="both"/>
              <w:textAlignment w:val="auto"/>
              <w:rPr>
                <w:rFonts w:ascii="Arial" w:hAnsi="Arial" w:cs="Arial"/>
                <w:color w:val="FF0000"/>
                <w:sz w:val="22"/>
                <w:szCs w:val="22"/>
              </w:rPr>
            </w:pPr>
            <w:proofErr w:type="gramStart"/>
            <w:r w:rsidRPr="00AD37E6">
              <w:rPr>
                <w:rFonts w:ascii="Arial" w:hAnsi="Arial" w:cs="Arial"/>
                <w:color w:val="FF0000"/>
                <w:sz w:val="22"/>
                <w:szCs w:val="22"/>
              </w:rPr>
              <w:t>H2  will</w:t>
            </w:r>
            <w:proofErr w:type="gramEnd"/>
            <w:r w:rsidRPr="00AD37E6">
              <w:rPr>
                <w:rFonts w:ascii="Arial" w:hAnsi="Arial" w:cs="Arial"/>
                <w:color w:val="FF0000"/>
                <w:sz w:val="22"/>
                <w:szCs w:val="22"/>
              </w:rPr>
              <w:t xml:space="preserve"> also need to be removed.</w:t>
            </w:r>
          </w:p>
          <w:p w14:paraId="1BA780AB" w14:textId="77777777" w:rsidR="004A4F21" w:rsidRPr="00AD37E6"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AD37E6" w14:paraId="127D0060" w14:textId="77777777" w:rsidTr="0013032E">
        <w:tc>
          <w:tcPr>
            <w:tcW w:w="9450" w:type="dxa"/>
            <w:gridSpan w:val="6"/>
            <w:shd w:val="clear" w:color="auto" w:fill="C6D9F1"/>
            <w:vAlign w:val="center"/>
          </w:tcPr>
          <w:p w14:paraId="0AC3EAF8" w14:textId="77777777" w:rsidR="00C22D11" w:rsidRPr="00AD37E6" w:rsidRDefault="00C22D11" w:rsidP="00EE2B7C">
            <w:pPr>
              <w:jc w:val="center"/>
              <w:rPr>
                <w:rFonts w:ascii="Arial" w:hAnsi="Arial" w:cs="Arial"/>
                <w:b/>
                <w:bCs/>
                <w:sz w:val="22"/>
                <w:szCs w:val="22"/>
                <w:lang w:val="en-IE"/>
              </w:rPr>
            </w:pPr>
            <w:r w:rsidRPr="00AD37E6">
              <w:rPr>
                <w:rFonts w:ascii="Arial" w:hAnsi="Arial" w:cs="Arial"/>
                <w:b/>
                <w:bCs/>
                <w:sz w:val="22"/>
                <w:szCs w:val="22"/>
                <w:lang w:val="en-IE"/>
              </w:rPr>
              <w:lastRenderedPageBreak/>
              <w:t>Modification Proposal Justification</w:t>
            </w:r>
          </w:p>
          <w:p w14:paraId="1919EBEF" w14:textId="77777777" w:rsidR="00C22D11" w:rsidRPr="00AD37E6" w:rsidRDefault="00C22D11" w:rsidP="00EE2B7C">
            <w:pPr>
              <w:jc w:val="center"/>
              <w:rPr>
                <w:rFonts w:ascii="Arial" w:hAnsi="Arial" w:cs="Arial"/>
                <w:sz w:val="22"/>
                <w:szCs w:val="22"/>
                <w:lang w:val="en-IE"/>
              </w:rPr>
            </w:pPr>
            <w:r w:rsidRPr="00AD37E6">
              <w:rPr>
                <w:rFonts w:ascii="Arial" w:hAnsi="Arial" w:cs="Arial"/>
                <w:i/>
                <w:iCs/>
                <w:sz w:val="22"/>
                <w:szCs w:val="22"/>
                <w:lang w:val="en-IE"/>
              </w:rPr>
              <w:t>(Clearly state the reason for the Modification</w:t>
            </w:r>
            <w:r w:rsidRPr="00AD37E6">
              <w:rPr>
                <w:rFonts w:ascii="Arial" w:hAnsi="Arial" w:cs="Arial"/>
                <w:i/>
                <w:sz w:val="22"/>
                <w:szCs w:val="22"/>
                <w:lang w:val="en-IE" w:eastAsia="en-US"/>
              </w:rPr>
              <w:t>)</w:t>
            </w:r>
          </w:p>
        </w:tc>
      </w:tr>
      <w:tr w:rsidR="00C22D11" w:rsidRPr="00AD37E6" w14:paraId="385262C7" w14:textId="77777777" w:rsidTr="0013032E">
        <w:tc>
          <w:tcPr>
            <w:tcW w:w="9450" w:type="dxa"/>
            <w:gridSpan w:val="6"/>
            <w:vAlign w:val="center"/>
          </w:tcPr>
          <w:p w14:paraId="60842077" w14:textId="77777777" w:rsidR="00584447" w:rsidRPr="00AD37E6" w:rsidRDefault="00584447" w:rsidP="00584447">
            <w:pPr>
              <w:pStyle w:val="Default"/>
              <w:rPr>
                <w:sz w:val="22"/>
                <w:szCs w:val="22"/>
              </w:rPr>
            </w:pPr>
          </w:p>
          <w:p w14:paraId="04B5713A" w14:textId="0AE5CF05" w:rsidR="00F553D4" w:rsidRPr="005B0926" w:rsidRDefault="006B199F" w:rsidP="00E4293F">
            <w:pPr>
              <w:spacing w:line="360" w:lineRule="auto"/>
              <w:rPr>
                <w:rFonts w:ascii="Arial" w:hAnsi="Arial" w:cs="Arial"/>
                <w:sz w:val="22"/>
                <w:szCs w:val="22"/>
                <w:lang w:val="en-IE"/>
              </w:rPr>
            </w:pPr>
            <w:r w:rsidRPr="005B0926">
              <w:rPr>
                <w:rFonts w:ascii="Arial" w:hAnsi="Arial" w:cs="Arial"/>
                <w:sz w:val="22"/>
                <w:szCs w:val="22"/>
                <w:lang w:val="en-IE"/>
              </w:rPr>
              <w:t xml:space="preserve">The State aid Decision stated that Secondary Trading would be available by Q4 </w:t>
            </w:r>
            <w:proofErr w:type="gramStart"/>
            <w:r w:rsidRPr="005B0926">
              <w:rPr>
                <w:rFonts w:ascii="Arial" w:hAnsi="Arial" w:cs="Arial"/>
                <w:sz w:val="22"/>
                <w:szCs w:val="22"/>
                <w:lang w:val="en-IE"/>
              </w:rPr>
              <w:t>2018,</w:t>
            </w:r>
            <w:proofErr w:type="gramEnd"/>
            <w:r w:rsidR="00F553D4" w:rsidRPr="005B0926">
              <w:rPr>
                <w:rFonts w:ascii="Arial" w:hAnsi="Arial" w:cs="Arial"/>
                <w:sz w:val="22"/>
                <w:szCs w:val="22"/>
                <w:lang w:val="en-IE"/>
              </w:rPr>
              <w:t xml:space="preserve"> this modification is required to be in compliance with the Decision.</w:t>
            </w:r>
          </w:p>
          <w:p w14:paraId="16A5C48D" w14:textId="58F00097" w:rsidR="00F553D4" w:rsidRPr="00F553D4" w:rsidRDefault="00F553D4" w:rsidP="00F553D4">
            <w:pPr>
              <w:spacing w:line="360" w:lineRule="auto"/>
              <w:rPr>
                <w:rFonts w:ascii="Arial" w:hAnsi="Arial" w:cs="Arial"/>
                <w:sz w:val="22"/>
                <w:szCs w:val="22"/>
              </w:rPr>
            </w:pPr>
            <w:r w:rsidRPr="00F553D4">
              <w:rPr>
                <w:rFonts w:ascii="Arial" w:hAnsi="Arial" w:cs="Arial"/>
                <w:sz w:val="22"/>
                <w:szCs w:val="22"/>
              </w:rPr>
              <w:t>To provide greater security of supply by ensuring that sufficient capacity is available in the Market</w:t>
            </w:r>
            <w:proofErr w:type="gramStart"/>
            <w:r w:rsidR="00A03BA1">
              <w:rPr>
                <w:rFonts w:ascii="Arial" w:hAnsi="Arial" w:cs="Arial"/>
                <w:sz w:val="22"/>
                <w:szCs w:val="22"/>
              </w:rPr>
              <w:t>.</w:t>
            </w:r>
            <w:r w:rsidRPr="00F553D4">
              <w:rPr>
                <w:rFonts w:ascii="Arial" w:hAnsi="Arial" w:cs="Arial"/>
                <w:sz w:val="22"/>
                <w:szCs w:val="22"/>
              </w:rPr>
              <w:t>.</w:t>
            </w:r>
            <w:proofErr w:type="gramEnd"/>
          </w:p>
          <w:p w14:paraId="1555EDE5" w14:textId="6D11A4E6" w:rsidR="00A03BA1" w:rsidRDefault="00F553D4" w:rsidP="00A03BA1">
            <w:pPr>
              <w:pStyle w:val="Default"/>
              <w:rPr>
                <w:sz w:val="22"/>
                <w:szCs w:val="22"/>
                <w:lang w:val="en-IE"/>
              </w:rPr>
            </w:pPr>
            <w:r w:rsidRPr="005B0926">
              <w:rPr>
                <w:sz w:val="22"/>
                <w:szCs w:val="22"/>
                <w:lang w:val="en-IE"/>
              </w:rPr>
              <w:t>T</w:t>
            </w:r>
            <w:r w:rsidR="006B199F" w:rsidRPr="005B0926">
              <w:rPr>
                <w:sz w:val="22"/>
                <w:szCs w:val="22"/>
                <w:lang w:val="en-IE"/>
              </w:rPr>
              <w:t>his modification will allow parties to trade obligations and reduce their exposure</w:t>
            </w:r>
            <w:r w:rsidR="00A03BA1">
              <w:rPr>
                <w:sz w:val="22"/>
                <w:szCs w:val="22"/>
                <w:lang w:val="en-IE"/>
              </w:rPr>
              <w:t xml:space="preserve"> and is considered a necessary supplement to the existing interim solution.  It is not intended to replace the current Interim Secondary Trading Arrangements.</w:t>
            </w:r>
          </w:p>
          <w:p w14:paraId="47DE5AE8" w14:textId="1C942E3B" w:rsidR="006B199F" w:rsidRPr="00AD37E6" w:rsidRDefault="006B199F" w:rsidP="00F553D4">
            <w:pPr>
              <w:pStyle w:val="Default"/>
              <w:rPr>
                <w:sz w:val="22"/>
                <w:szCs w:val="22"/>
                <w:lang w:val="en-IE"/>
              </w:rPr>
            </w:pPr>
            <w:r w:rsidRPr="005B0926">
              <w:rPr>
                <w:sz w:val="22"/>
                <w:szCs w:val="22"/>
                <w:lang w:val="en-IE"/>
              </w:rPr>
              <w:t>.</w:t>
            </w:r>
            <w:r w:rsidR="00E4293F" w:rsidRPr="005B0926">
              <w:rPr>
                <w:sz w:val="22"/>
                <w:szCs w:val="22"/>
                <w:lang w:val="en-IE"/>
              </w:rPr>
              <w:t xml:space="preserve">  </w:t>
            </w:r>
          </w:p>
        </w:tc>
      </w:tr>
      <w:tr w:rsidR="00C22D11" w:rsidRPr="00AD37E6" w14:paraId="712806B1" w14:textId="77777777" w:rsidTr="0013032E">
        <w:tc>
          <w:tcPr>
            <w:tcW w:w="9450" w:type="dxa"/>
            <w:gridSpan w:val="6"/>
            <w:shd w:val="clear" w:color="auto" w:fill="C6D9F1"/>
            <w:vAlign w:val="center"/>
          </w:tcPr>
          <w:p w14:paraId="4BA446BB" w14:textId="77777777" w:rsidR="00C22D11" w:rsidRPr="00AD37E6" w:rsidRDefault="00C22D11" w:rsidP="00EE2B7C">
            <w:pPr>
              <w:jc w:val="center"/>
              <w:rPr>
                <w:rFonts w:ascii="Arial" w:hAnsi="Arial" w:cs="Arial"/>
                <w:b/>
                <w:bCs/>
                <w:iCs/>
                <w:sz w:val="22"/>
                <w:szCs w:val="22"/>
                <w:lang w:val="en-IE"/>
              </w:rPr>
            </w:pPr>
            <w:r w:rsidRPr="00AD37E6">
              <w:rPr>
                <w:rFonts w:ascii="Arial" w:hAnsi="Arial" w:cs="Arial"/>
                <w:b/>
                <w:bCs/>
                <w:iCs/>
                <w:sz w:val="22"/>
                <w:szCs w:val="22"/>
                <w:lang w:val="en-IE"/>
              </w:rPr>
              <w:t>Code Objectives Furthered</w:t>
            </w:r>
          </w:p>
          <w:p w14:paraId="783A56FC" w14:textId="77777777" w:rsidR="00C22D11" w:rsidRPr="00AD37E6" w:rsidRDefault="00C22D11" w:rsidP="009342A5">
            <w:pPr>
              <w:jc w:val="center"/>
              <w:rPr>
                <w:rFonts w:ascii="Arial" w:hAnsi="Arial" w:cs="Arial"/>
                <w:sz w:val="22"/>
                <w:szCs w:val="22"/>
                <w:lang w:val="en-IE"/>
              </w:rPr>
            </w:pPr>
            <w:r w:rsidRPr="00AD37E6">
              <w:rPr>
                <w:rFonts w:ascii="Arial" w:hAnsi="Arial" w:cs="Arial"/>
                <w:i/>
                <w:spacing w:val="-3"/>
                <w:sz w:val="22"/>
                <w:szCs w:val="22"/>
                <w:lang w:val="en-IE"/>
              </w:rPr>
              <w:t>(State</w:t>
            </w:r>
            <w:r w:rsidRPr="00AD37E6">
              <w:rPr>
                <w:rFonts w:ascii="Arial" w:hAnsi="Arial" w:cs="Arial"/>
                <w:i/>
                <w:iCs/>
                <w:sz w:val="22"/>
                <w:szCs w:val="22"/>
                <w:lang w:val="en-IE"/>
              </w:rPr>
              <w:t xml:space="preserve"> the Code Objectives the Proposal furthers, see </w:t>
            </w:r>
            <w:r w:rsidR="009342A5" w:rsidRPr="00AD37E6">
              <w:rPr>
                <w:rFonts w:ascii="Arial" w:hAnsi="Arial" w:cs="Arial"/>
                <w:i/>
                <w:iCs/>
                <w:sz w:val="22"/>
                <w:szCs w:val="22"/>
                <w:lang w:val="en-IE"/>
              </w:rPr>
              <w:t>Sub-</w:t>
            </w:r>
            <w:r w:rsidRPr="00AD37E6">
              <w:rPr>
                <w:rFonts w:ascii="Arial" w:hAnsi="Arial" w:cs="Arial"/>
                <w:i/>
                <w:iCs/>
                <w:sz w:val="22"/>
                <w:szCs w:val="22"/>
                <w:lang w:val="en-IE"/>
              </w:rPr>
              <w:t xml:space="preserve">Section </w:t>
            </w:r>
            <w:r w:rsidR="009342A5" w:rsidRPr="00AD37E6">
              <w:rPr>
                <w:rFonts w:ascii="Arial" w:hAnsi="Arial" w:cs="Arial"/>
                <w:i/>
                <w:iCs/>
                <w:sz w:val="22"/>
                <w:szCs w:val="22"/>
                <w:lang w:val="en-IE"/>
              </w:rPr>
              <w:t>A.1.2 of the CMC</w:t>
            </w:r>
            <w:r w:rsidRPr="00AD37E6">
              <w:rPr>
                <w:rFonts w:ascii="Arial" w:hAnsi="Arial" w:cs="Arial"/>
                <w:i/>
                <w:iCs/>
                <w:sz w:val="22"/>
                <w:szCs w:val="22"/>
                <w:lang w:val="en-IE"/>
              </w:rPr>
              <w:t xml:space="preserve"> Code Objectives)</w:t>
            </w:r>
          </w:p>
        </w:tc>
      </w:tr>
      <w:tr w:rsidR="00C22D11" w:rsidRPr="00AD37E6" w14:paraId="06893B7F" w14:textId="77777777" w:rsidTr="0013032E">
        <w:tc>
          <w:tcPr>
            <w:tcW w:w="9450" w:type="dxa"/>
            <w:gridSpan w:val="6"/>
            <w:vAlign w:val="center"/>
          </w:tcPr>
          <w:p w14:paraId="75013794" w14:textId="77777777" w:rsidR="006B199F" w:rsidRPr="00AD37E6" w:rsidRDefault="006B199F" w:rsidP="006B199F">
            <w:pPr>
              <w:pStyle w:val="Default"/>
              <w:rPr>
                <w:sz w:val="22"/>
                <w:szCs w:val="22"/>
              </w:rPr>
            </w:pPr>
          </w:p>
          <w:p w14:paraId="1BD85D5F" w14:textId="09BCD76B" w:rsidR="006B199F" w:rsidRPr="00AD37E6" w:rsidRDefault="00F553D4" w:rsidP="006B199F">
            <w:pPr>
              <w:pStyle w:val="Default"/>
              <w:spacing w:after="134"/>
              <w:rPr>
                <w:sz w:val="22"/>
                <w:szCs w:val="22"/>
              </w:rPr>
            </w:pPr>
            <w:r>
              <w:rPr>
                <w:sz w:val="22"/>
                <w:szCs w:val="22"/>
              </w:rPr>
              <w:t>A,D and G</w:t>
            </w:r>
          </w:p>
          <w:p w14:paraId="12D1F189" w14:textId="608888B3" w:rsidR="006B199F" w:rsidRPr="00AD37E6" w:rsidRDefault="006B199F" w:rsidP="006B199F">
            <w:pPr>
              <w:pStyle w:val="Default"/>
              <w:rPr>
                <w:sz w:val="22"/>
                <w:szCs w:val="22"/>
              </w:rPr>
            </w:pPr>
          </w:p>
          <w:p w14:paraId="2795ABF7" w14:textId="77777777" w:rsidR="004169DD" w:rsidRPr="00AD37E6" w:rsidRDefault="004169DD" w:rsidP="004169DD">
            <w:pPr>
              <w:pStyle w:val="Default"/>
              <w:rPr>
                <w:sz w:val="22"/>
                <w:szCs w:val="22"/>
              </w:rPr>
            </w:pPr>
          </w:p>
          <w:p w14:paraId="33F2D95B" w14:textId="77777777" w:rsidR="00F76C97" w:rsidRPr="00AD37E6" w:rsidRDefault="00F76C97" w:rsidP="008A331A">
            <w:pPr>
              <w:pStyle w:val="CERLEVEL5"/>
              <w:numPr>
                <w:ilvl w:val="0"/>
                <w:numId w:val="0"/>
              </w:numPr>
              <w:rPr>
                <w:rFonts w:cs="Arial"/>
              </w:rPr>
            </w:pPr>
          </w:p>
        </w:tc>
      </w:tr>
      <w:tr w:rsidR="00C22D11" w:rsidRPr="00AD37E6" w14:paraId="2D47D877" w14:textId="77777777" w:rsidTr="0013032E">
        <w:tc>
          <w:tcPr>
            <w:tcW w:w="9450" w:type="dxa"/>
            <w:gridSpan w:val="6"/>
            <w:shd w:val="clear" w:color="auto" w:fill="C6D9F1"/>
            <w:vAlign w:val="center"/>
          </w:tcPr>
          <w:p w14:paraId="59BC3CE5" w14:textId="77777777" w:rsidR="00C22D11" w:rsidRPr="00AD37E6" w:rsidRDefault="00C22D11" w:rsidP="00EE2B7C">
            <w:pPr>
              <w:jc w:val="center"/>
              <w:rPr>
                <w:rFonts w:ascii="Arial" w:hAnsi="Arial" w:cs="Arial"/>
                <w:b/>
                <w:bCs/>
                <w:sz w:val="22"/>
                <w:szCs w:val="22"/>
                <w:lang w:val="en-IE"/>
              </w:rPr>
            </w:pPr>
            <w:r w:rsidRPr="00AD37E6">
              <w:rPr>
                <w:rFonts w:ascii="Arial" w:hAnsi="Arial" w:cs="Arial"/>
                <w:b/>
                <w:bCs/>
                <w:sz w:val="22"/>
                <w:szCs w:val="22"/>
                <w:lang w:val="en-IE"/>
              </w:rPr>
              <w:t>Implication of not implementing the Modification Proposal</w:t>
            </w:r>
          </w:p>
          <w:p w14:paraId="2578FB27" w14:textId="77777777" w:rsidR="00C22D11" w:rsidRPr="00AD37E6" w:rsidRDefault="00C22D11" w:rsidP="00EE2B7C">
            <w:pPr>
              <w:jc w:val="center"/>
              <w:rPr>
                <w:rFonts w:ascii="Arial" w:hAnsi="Arial" w:cs="Arial"/>
                <w:b/>
                <w:bCs/>
                <w:sz w:val="22"/>
                <w:szCs w:val="22"/>
                <w:lang w:val="en-IE"/>
              </w:rPr>
            </w:pPr>
            <w:r w:rsidRPr="00AD37E6">
              <w:rPr>
                <w:rFonts w:ascii="Arial" w:hAnsi="Arial" w:cs="Arial"/>
                <w:i/>
                <w:iCs/>
                <w:sz w:val="22"/>
                <w:szCs w:val="22"/>
                <w:lang w:val="en-IE"/>
              </w:rPr>
              <w:t>(State the possible outcomes should the Modification Proposal not be implemented</w:t>
            </w:r>
            <w:r w:rsidRPr="00AD37E6">
              <w:rPr>
                <w:rFonts w:ascii="Arial" w:hAnsi="Arial" w:cs="Arial"/>
                <w:i/>
                <w:sz w:val="22"/>
                <w:szCs w:val="22"/>
                <w:lang w:val="en-IE" w:eastAsia="en-US"/>
              </w:rPr>
              <w:t>)</w:t>
            </w:r>
          </w:p>
        </w:tc>
      </w:tr>
      <w:tr w:rsidR="00C22D11" w:rsidRPr="00AD37E6" w14:paraId="75087985" w14:textId="77777777" w:rsidTr="0013032E">
        <w:tc>
          <w:tcPr>
            <w:tcW w:w="9450" w:type="dxa"/>
            <w:gridSpan w:val="6"/>
            <w:vAlign w:val="center"/>
          </w:tcPr>
          <w:p w14:paraId="5C9F438F" w14:textId="77777777" w:rsidR="00F553D4" w:rsidRDefault="00F553D4" w:rsidP="008F38E6">
            <w:pPr>
              <w:rPr>
                <w:rFonts w:ascii="Arial" w:hAnsi="Arial" w:cs="Arial"/>
                <w:sz w:val="22"/>
                <w:szCs w:val="22"/>
                <w:lang w:val="en-IE"/>
              </w:rPr>
            </w:pPr>
            <w:proofErr w:type="spellStart"/>
            <w:r>
              <w:rPr>
                <w:rFonts w:ascii="Arial" w:hAnsi="Arial" w:cs="Arial"/>
                <w:sz w:val="22"/>
                <w:szCs w:val="22"/>
                <w:lang w:val="en-IE"/>
              </w:rPr>
              <w:t>Non compliance</w:t>
            </w:r>
            <w:proofErr w:type="spellEnd"/>
            <w:r>
              <w:rPr>
                <w:rFonts w:ascii="Arial" w:hAnsi="Arial" w:cs="Arial"/>
                <w:sz w:val="22"/>
                <w:szCs w:val="22"/>
                <w:lang w:val="en-IE"/>
              </w:rPr>
              <w:t xml:space="preserve"> with State Aid Decision.</w:t>
            </w:r>
          </w:p>
          <w:p w14:paraId="389A40A6" w14:textId="77777777" w:rsidR="00F553D4" w:rsidRDefault="00F553D4" w:rsidP="008F38E6">
            <w:pPr>
              <w:rPr>
                <w:rFonts w:ascii="Arial" w:hAnsi="Arial" w:cs="Arial"/>
                <w:sz w:val="22"/>
                <w:szCs w:val="22"/>
                <w:lang w:val="en-IE"/>
              </w:rPr>
            </w:pPr>
            <w:r>
              <w:rPr>
                <w:rFonts w:ascii="Arial" w:hAnsi="Arial" w:cs="Arial"/>
                <w:sz w:val="22"/>
                <w:szCs w:val="22"/>
                <w:lang w:val="en-IE"/>
              </w:rPr>
              <w:t>Security of Supply risks.</w:t>
            </w:r>
          </w:p>
          <w:p w14:paraId="38482A24" w14:textId="479F3560" w:rsidR="00650489" w:rsidRPr="00AD37E6" w:rsidRDefault="00650489" w:rsidP="008F38E6">
            <w:pPr>
              <w:rPr>
                <w:rFonts w:ascii="Arial" w:hAnsi="Arial" w:cs="Arial"/>
                <w:sz w:val="22"/>
                <w:szCs w:val="22"/>
                <w:lang w:val="en-IE"/>
              </w:rPr>
            </w:pPr>
          </w:p>
          <w:p w14:paraId="438589E9" w14:textId="77777777" w:rsidR="00F76C97" w:rsidRPr="00AD37E6" w:rsidRDefault="00F76C97" w:rsidP="008A331A">
            <w:pPr>
              <w:rPr>
                <w:rFonts w:ascii="Arial" w:hAnsi="Arial" w:cs="Arial"/>
                <w:sz w:val="22"/>
                <w:szCs w:val="22"/>
                <w:lang w:val="en-IE"/>
              </w:rPr>
            </w:pPr>
          </w:p>
        </w:tc>
      </w:tr>
      <w:tr w:rsidR="009342A5" w:rsidRPr="00AD37E6" w14:paraId="2D78EFB4" w14:textId="77777777" w:rsidTr="00B47C97">
        <w:trPr>
          <w:trHeight w:val="507"/>
        </w:trPr>
        <w:tc>
          <w:tcPr>
            <w:tcW w:w="9450" w:type="dxa"/>
            <w:gridSpan w:val="6"/>
            <w:shd w:val="clear" w:color="auto" w:fill="C6D9F1"/>
            <w:vAlign w:val="center"/>
          </w:tcPr>
          <w:p w14:paraId="612AE743" w14:textId="77777777" w:rsidR="009342A5" w:rsidRPr="00AD37E6" w:rsidRDefault="009342A5" w:rsidP="009342A5">
            <w:pPr>
              <w:jc w:val="center"/>
              <w:rPr>
                <w:rFonts w:ascii="Arial" w:hAnsi="Arial" w:cs="Arial"/>
                <w:b/>
                <w:bCs/>
                <w:iCs/>
                <w:sz w:val="22"/>
                <w:szCs w:val="22"/>
                <w:lang w:val="en-IE"/>
              </w:rPr>
            </w:pPr>
            <w:r w:rsidRPr="00AD37E6">
              <w:rPr>
                <w:rFonts w:ascii="Arial" w:hAnsi="Arial" w:cs="Arial"/>
                <w:b/>
                <w:bCs/>
                <w:iCs/>
                <w:sz w:val="22"/>
                <w:szCs w:val="22"/>
                <w:lang w:val="en-IE"/>
              </w:rPr>
              <w:t>Impacts</w:t>
            </w:r>
          </w:p>
          <w:p w14:paraId="45F6F099" w14:textId="77777777" w:rsidR="009342A5" w:rsidRPr="00AD37E6" w:rsidRDefault="009342A5" w:rsidP="009342A5">
            <w:pPr>
              <w:jc w:val="center"/>
              <w:rPr>
                <w:rFonts w:ascii="Arial" w:hAnsi="Arial" w:cs="Arial"/>
                <w:i/>
                <w:iCs/>
                <w:sz w:val="22"/>
                <w:szCs w:val="22"/>
                <w:lang w:val="en-IE"/>
              </w:rPr>
            </w:pPr>
            <w:r w:rsidRPr="00AD37E6">
              <w:rPr>
                <w:rFonts w:ascii="Arial" w:hAnsi="Arial" w:cs="Arial"/>
                <w:i/>
                <w:sz w:val="22"/>
                <w:szCs w:val="22"/>
                <w:lang w:val="en-IE"/>
              </w:rPr>
              <w:t>(Indicate the impacts on systems, resources, processes and/or procedures)</w:t>
            </w:r>
          </w:p>
        </w:tc>
      </w:tr>
      <w:tr w:rsidR="00C00A34" w:rsidRPr="00AD37E6" w:rsidDel="00404964" w14:paraId="2FB8F1EF" w14:textId="77777777" w:rsidTr="00B47C97">
        <w:trPr>
          <w:trHeight w:val="507"/>
        </w:trPr>
        <w:tc>
          <w:tcPr>
            <w:tcW w:w="9450" w:type="dxa"/>
            <w:gridSpan w:val="6"/>
            <w:vAlign w:val="center"/>
          </w:tcPr>
          <w:p w14:paraId="1390A93B" w14:textId="77777777" w:rsidR="00C00A34" w:rsidRPr="00AD37E6" w:rsidDel="00404964" w:rsidRDefault="00C00A34" w:rsidP="00C829A3">
            <w:pPr>
              <w:pStyle w:val="Default"/>
              <w:rPr>
                <w:sz w:val="22"/>
                <w:szCs w:val="22"/>
                <w:lang w:val="en-IE"/>
              </w:rPr>
            </w:pPr>
          </w:p>
        </w:tc>
      </w:tr>
      <w:tr w:rsidR="00C22D11" w:rsidRPr="00AD37E6" w14:paraId="046C1ADE" w14:textId="77777777" w:rsidTr="0013032E">
        <w:tc>
          <w:tcPr>
            <w:tcW w:w="9450" w:type="dxa"/>
            <w:gridSpan w:val="6"/>
            <w:vAlign w:val="center"/>
          </w:tcPr>
          <w:p w14:paraId="65262BD3" w14:textId="77777777" w:rsidR="00C22D11" w:rsidRPr="00AD37E6" w:rsidRDefault="00C22D11" w:rsidP="008A331A">
            <w:pPr>
              <w:jc w:val="center"/>
              <w:rPr>
                <w:rFonts w:ascii="Arial" w:hAnsi="Arial" w:cs="Arial"/>
                <w:b/>
                <w:bCs/>
                <w:i/>
                <w:iCs/>
                <w:sz w:val="22"/>
                <w:szCs w:val="22"/>
                <w:lang w:val="en-IE"/>
              </w:rPr>
            </w:pPr>
            <w:r w:rsidRPr="00AD37E6">
              <w:rPr>
                <w:rFonts w:ascii="Arial" w:hAnsi="Arial" w:cs="Arial"/>
                <w:b/>
                <w:bCs/>
                <w:i/>
                <w:iCs/>
                <w:sz w:val="22"/>
                <w:szCs w:val="22"/>
                <w:lang w:val="en-IE"/>
              </w:rPr>
              <w:t xml:space="preserve">Please return this form to </w:t>
            </w:r>
            <w:r w:rsidR="005C1FF8" w:rsidRPr="00AD37E6">
              <w:rPr>
                <w:rFonts w:ascii="Arial" w:hAnsi="Arial" w:cs="Arial"/>
                <w:b/>
                <w:bCs/>
                <w:i/>
                <w:iCs/>
                <w:sz w:val="22"/>
                <w:szCs w:val="22"/>
                <w:lang w:val="en-IE"/>
              </w:rPr>
              <w:t>the System Operators</w:t>
            </w:r>
            <w:r w:rsidRPr="00AD37E6">
              <w:rPr>
                <w:rFonts w:ascii="Arial" w:hAnsi="Arial" w:cs="Arial"/>
                <w:b/>
                <w:bCs/>
                <w:i/>
                <w:iCs/>
                <w:sz w:val="22"/>
                <w:szCs w:val="22"/>
                <w:lang w:val="en-IE"/>
              </w:rPr>
              <w:t xml:space="preserve"> by email to </w:t>
            </w:r>
            <w:hyperlink r:id="rId14" w:history="1">
              <w:r w:rsidR="008A331A" w:rsidRPr="00AD37E6">
                <w:rPr>
                  <w:rStyle w:val="Hyperlink"/>
                  <w:rFonts w:ascii="Arial" w:hAnsi="Arial" w:cs="Arial"/>
                  <w:b/>
                  <w:bCs/>
                  <w:i/>
                  <w:iCs/>
                  <w:sz w:val="22"/>
                  <w:szCs w:val="22"/>
                  <w:lang w:val="en-IE"/>
                </w:rPr>
                <w:t>CapacityModifications@sem-o.com</w:t>
              </w:r>
            </w:hyperlink>
            <w:r w:rsidR="008A331A" w:rsidRPr="00AD37E6">
              <w:rPr>
                <w:rFonts w:ascii="Arial" w:hAnsi="Arial" w:cs="Arial"/>
                <w:b/>
                <w:bCs/>
                <w:i/>
                <w:iCs/>
                <w:sz w:val="22"/>
                <w:szCs w:val="22"/>
                <w:lang w:val="en-IE"/>
              </w:rPr>
              <w:t xml:space="preserve"> </w:t>
            </w:r>
            <w:r w:rsidR="00733092" w:rsidRPr="00AD37E6">
              <w:rPr>
                <w:rFonts w:ascii="Arial" w:hAnsi="Arial" w:cs="Arial"/>
                <w:b/>
                <w:bCs/>
                <w:i/>
                <w:iCs/>
                <w:sz w:val="22"/>
                <w:szCs w:val="22"/>
                <w:lang w:val="en-IE"/>
              </w:rPr>
              <w:t xml:space="preserve"> </w:t>
            </w:r>
          </w:p>
        </w:tc>
      </w:tr>
    </w:tbl>
    <w:p w14:paraId="424F68A0" w14:textId="77777777" w:rsidR="000069DF" w:rsidRPr="00AD37E6" w:rsidRDefault="000069DF">
      <w:pPr>
        <w:overflowPunct/>
        <w:autoSpaceDE/>
        <w:autoSpaceDN/>
        <w:adjustRightInd/>
        <w:spacing w:after="200" w:line="276" w:lineRule="auto"/>
        <w:textAlignment w:val="auto"/>
        <w:rPr>
          <w:rFonts w:ascii="Arial" w:hAnsi="Arial" w:cs="Arial"/>
          <w:b/>
          <w:sz w:val="22"/>
          <w:szCs w:val="22"/>
          <w:lang w:val="en-US" w:eastAsia="en-US"/>
        </w:rPr>
      </w:pPr>
    </w:p>
    <w:p w14:paraId="7B6DA1E1" w14:textId="77777777" w:rsidR="000069DF" w:rsidRPr="00AD37E6" w:rsidRDefault="000069DF">
      <w:pPr>
        <w:overflowPunct/>
        <w:autoSpaceDE/>
        <w:autoSpaceDN/>
        <w:adjustRightInd/>
        <w:spacing w:after="200" w:line="276" w:lineRule="auto"/>
        <w:textAlignment w:val="auto"/>
        <w:rPr>
          <w:rFonts w:ascii="Arial" w:hAnsi="Arial" w:cs="Arial"/>
          <w:b/>
          <w:sz w:val="22"/>
          <w:szCs w:val="22"/>
          <w:lang w:val="en-US" w:eastAsia="en-US"/>
        </w:rPr>
      </w:pPr>
      <w:r w:rsidRPr="00AD37E6">
        <w:rPr>
          <w:rFonts w:ascii="Arial" w:hAnsi="Arial" w:cs="Arial"/>
          <w:b/>
          <w:sz w:val="22"/>
          <w:szCs w:val="22"/>
          <w:lang w:val="en-US" w:eastAsia="en-US"/>
        </w:rPr>
        <w:br w:type="page"/>
      </w:r>
    </w:p>
    <w:p w14:paraId="37E83A30" w14:textId="77777777" w:rsidR="004C53E7" w:rsidRPr="00AD37E6" w:rsidRDefault="004C53E7">
      <w:pPr>
        <w:overflowPunct/>
        <w:autoSpaceDE/>
        <w:autoSpaceDN/>
        <w:adjustRightInd/>
        <w:spacing w:after="200" w:line="276" w:lineRule="auto"/>
        <w:textAlignment w:val="auto"/>
        <w:rPr>
          <w:rFonts w:ascii="Arial" w:hAnsi="Arial" w:cs="Arial"/>
          <w:b/>
          <w:sz w:val="22"/>
          <w:szCs w:val="22"/>
          <w:lang w:val="en-US" w:eastAsia="en-US"/>
        </w:rPr>
      </w:pPr>
    </w:p>
    <w:p w14:paraId="630D0A3E" w14:textId="77777777" w:rsidR="008A331A" w:rsidRPr="00AD37E6" w:rsidRDefault="008A331A" w:rsidP="008A331A">
      <w:pPr>
        <w:overflowPunct/>
        <w:autoSpaceDE/>
        <w:adjustRightInd/>
        <w:spacing w:after="200" w:line="276" w:lineRule="auto"/>
        <w:rPr>
          <w:rFonts w:ascii="Arial" w:hAnsi="Arial" w:cs="Arial"/>
          <w:b/>
          <w:sz w:val="22"/>
          <w:szCs w:val="22"/>
          <w:lang w:val="en-US" w:eastAsia="en-US"/>
        </w:rPr>
      </w:pPr>
    </w:p>
    <w:p w14:paraId="064EDF51" w14:textId="77777777" w:rsidR="008A331A" w:rsidRPr="00AD37E6" w:rsidRDefault="008A331A" w:rsidP="008A331A">
      <w:pPr>
        <w:jc w:val="center"/>
        <w:rPr>
          <w:rFonts w:ascii="Arial" w:hAnsi="Arial" w:cs="Arial"/>
          <w:b/>
          <w:sz w:val="22"/>
          <w:szCs w:val="22"/>
        </w:rPr>
      </w:pPr>
      <w:r w:rsidRPr="00AD37E6">
        <w:rPr>
          <w:rFonts w:ascii="Arial" w:hAnsi="Arial" w:cs="Arial"/>
          <w:b/>
          <w:sz w:val="22"/>
          <w:szCs w:val="22"/>
        </w:rPr>
        <w:t>Notes on completing Modification Proposal Form:</w:t>
      </w:r>
    </w:p>
    <w:p w14:paraId="1AD9E465" w14:textId="77777777" w:rsidR="008A331A" w:rsidRPr="00AD37E6" w:rsidRDefault="008A331A" w:rsidP="008A331A">
      <w:pPr>
        <w:jc w:val="center"/>
        <w:rPr>
          <w:rFonts w:ascii="Arial" w:hAnsi="Arial" w:cs="Arial"/>
          <w:b/>
          <w:sz w:val="22"/>
          <w:szCs w:val="22"/>
        </w:rPr>
      </w:pPr>
    </w:p>
    <w:p w14:paraId="341BB27C" w14:textId="77777777" w:rsidR="008A331A" w:rsidRPr="00AD37E6" w:rsidRDefault="008A331A" w:rsidP="008A331A">
      <w:pPr>
        <w:pStyle w:val="Body1"/>
        <w:numPr>
          <w:ilvl w:val="0"/>
          <w:numId w:val="1"/>
        </w:numPr>
        <w:jc w:val="both"/>
        <w:textAlignment w:val="auto"/>
        <w:rPr>
          <w:rFonts w:ascii="Arial" w:hAnsi="Arial" w:cs="Arial"/>
          <w:b/>
          <w:lang w:val="en-US" w:eastAsia="en-US"/>
        </w:rPr>
      </w:pPr>
      <w:r w:rsidRPr="00AD37E6">
        <w:rPr>
          <w:rFonts w:ascii="Arial" w:hAnsi="Arial" w:cs="Arial"/>
          <w:b/>
          <w:lang w:val="en-US" w:eastAsia="en-US"/>
        </w:rPr>
        <w:t>If a person submits a Modification Proposal on behalf of another person, that person who proposes the material of the change should be identified on the Modification Proposal Form as the Modification Proposal Originator.</w:t>
      </w:r>
    </w:p>
    <w:p w14:paraId="259B16F1" w14:textId="77777777" w:rsidR="008A331A" w:rsidRPr="00AD37E6" w:rsidRDefault="008A331A" w:rsidP="008A331A">
      <w:pPr>
        <w:pStyle w:val="Body1"/>
        <w:numPr>
          <w:ilvl w:val="0"/>
          <w:numId w:val="1"/>
        </w:numPr>
        <w:jc w:val="both"/>
        <w:textAlignment w:val="auto"/>
        <w:rPr>
          <w:rFonts w:ascii="Arial" w:hAnsi="Arial" w:cs="Arial"/>
          <w:b/>
          <w:lang w:val="en-IE"/>
        </w:rPr>
      </w:pPr>
      <w:r w:rsidRPr="00AD37E6">
        <w:rPr>
          <w:rFonts w:ascii="Arial" w:hAnsi="Arial" w:cs="Arial"/>
          <w:b/>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49CBD180" w14:textId="77777777" w:rsidR="008A331A" w:rsidRPr="00AD37E6" w:rsidRDefault="008A331A" w:rsidP="008A331A">
      <w:pPr>
        <w:pStyle w:val="Body1"/>
        <w:numPr>
          <w:ilvl w:val="0"/>
          <w:numId w:val="1"/>
        </w:numPr>
        <w:jc w:val="both"/>
        <w:textAlignment w:val="auto"/>
        <w:rPr>
          <w:rFonts w:ascii="Arial" w:hAnsi="Arial" w:cs="Arial"/>
          <w:b/>
          <w:lang w:val="en-IE"/>
        </w:rPr>
      </w:pPr>
      <w:r w:rsidRPr="00AD37E6">
        <w:rPr>
          <w:rFonts w:ascii="Arial" w:hAnsi="Arial" w:cs="Arial"/>
          <w:b/>
          <w:lang w:val="en-US" w:eastAsia="en-US"/>
        </w:rPr>
        <w:t>Each Modification Proposal will include a draft text of the proposed Modification to the Code unless, if raising a Provisional Modification Proposal whereby legal drafting text is not imperative.</w:t>
      </w:r>
    </w:p>
    <w:p w14:paraId="2B30ECF3" w14:textId="77777777" w:rsidR="008A331A" w:rsidRPr="00AD37E6" w:rsidRDefault="008A331A" w:rsidP="008A331A">
      <w:pPr>
        <w:pStyle w:val="Body1"/>
        <w:numPr>
          <w:ilvl w:val="0"/>
          <w:numId w:val="1"/>
        </w:numPr>
        <w:jc w:val="both"/>
        <w:textAlignment w:val="auto"/>
        <w:rPr>
          <w:rFonts w:ascii="Arial" w:hAnsi="Arial" w:cs="Arial"/>
          <w:b/>
          <w:lang w:val="en-IE"/>
        </w:rPr>
      </w:pPr>
      <w:r w:rsidRPr="00AD37E6">
        <w:rPr>
          <w:rFonts w:ascii="Arial" w:hAnsi="Arial" w:cs="Arial"/>
          <w:b/>
          <w:lang w:val="en-IE"/>
        </w:rPr>
        <w:t xml:space="preserve">For the purposes of this </w:t>
      </w:r>
      <w:r w:rsidRPr="00AD37E6">
        <w:rPr>
          <w:rFonts w:ascii="Arial" w:hAnsi="Arial" w:cs="Arial"/>
          <w:b/>
          <w:lang w:val="en-US" w:eastAsia="en-US"/>
        </w:rPr>
        <w:t>Modification Proposal Form</w:t>
      </w:r>
      <w:r w:rsidRPr="00AD37E6">
        <w:rPr>
          <w:rFonts w:ascii="Arial" w:hAnsi="Arial" w:cs="Arial"/>
          <w:b/>
          <w:lang w:val="en-IE"/>
        </w:rPr>
        <w:t>, the following terms shall have the following meanings:</w:t>
      </w:r>
    </w:p>
    <w:p w14:paraId="0EFEEAC4" w14:textId="77777777" w:rsidR="008A331A" w:rsidRPr="00AD37E6" w:rsidRDefault="008A331A" w:rsidP="008A331A">
      <w:pPr>
        <w:jc w:val="both"/>
        <w:rPr>
          <w:rFonts w:ascii="Arial" w:hAnsi="Arial" w:cs="Arial"/>
          <w:b/>
          <w:sz w:val="22"/>
          <w:szCs w:val="22"/>
          <w:lang w:val="en-IE"/>
        </w:rPr>
      </w:pPr>
    </w:p>
    <w:p w14:paraId="6481156D" w14:textId="77777777" w:rsidR="008A331A" w:rsidRPr="00AD37E6" w:rsidRDefault="008A331A" w:rsidP="008A331A">
      <w:pPr>
        <w:ind w:left="2880" w:hanging="2160"/>
        <w:jc w:val="both"/>
        <w:rPr>
          <w:rFonts w:ascii="Arial" w:hAnsi="Arial" w:cs="Arial"/>
          <w:b/>
          <w:sz w:val="22"/>
          <w:szCs w:val="22"/>
          <w:lang w:val="en-IE"/>
        </w:rPr>
      </w:pPr>
      <w:r w:rsidRPr="00AD37E6">
        <w:rPr>
          <w:rFonts w:ascii="Arial" w:hAnsi="Arial" w:cs="Arial"/>
          <w:b/>
          <w:sz w:val="22"/>
          <w:szCs w:val="22"/>
          <w:lang w:val="en-IE"/>
        </w:rPr>
        <w:t>CMC / Code:</w:t>
      </w:r>
      <w:r w:rsidRPr="00AD37E6">
        <w:rPr>
          <w:rFonts w:ascii="Arial" w:hAnsi="Arial" w:cs="Arial"/>
          <w:b/>
          <w:sz w:val="22"/>
          <w:szCs w:val="22"/>
          <w:lang w:val="en-IE"/>
        </w:rPr>
        <w:tab/>
        <w:t>means the Capacity Market Code for the Single Electricity Market</w:t>
      </w:r>
    </w:p>
    <w:p w14:paraId="471FE797" w14:textId="77777777" w:rsidR="008A331A" w:rsidRPr="00AD37E6" w:rsidRDefault="008A331A" w:rsidP="008A331A">
      <w:pPr>
        <w:ind w:left="2880" w:hanging="2166"/>
        <w:jc w:val="both"/>
        <w:rPr>
          <w:rFonts w:ascii="Arial" w:hAnsi="Arial" w:cs="Arial"/>
          <w:b/>
          <w:sz w:val="22"/>
          <w:szCs w:val="22"/>
          <w:lang w:val="en-IE"/>
        </w:rPr>
      </w:pPr>
      <w:r w:rsidRPr="00AD37E6">
        <w:rPr>
          <w:rFonts w:ascii="Arial" w:hAnsi="Arial" w:cs="Arial"/>
          <w:b/>
          <w:sz w:val="22"/>
          <w:szCs w:val="22"/>
          <w:lang w:val="en-IE"/>
        </w:rPr>
        <w:t>Modification Proposal:</w:t>
      </w:r>
      <w:r w:rsidRPr="00AD37E6">
        <w:rPr>
          <w:rFonts w:ascii="Arial" w:hAnsi="Arial" w:cs="Arial"/>
          <w:b/>
          <w:sz w:val="22"/>
          <w:szCs w:val="22"/>
          <w:lang w:val="en-IE"/>
        </w:rPr>
        <w:tab/>
        <w:t>means the proposal to modify the Code as set out in the attached form</w:t>
      </w:r>
    </w:p>
    <w:p w14:paraId="2E046266" w14:textId="77777777" w:rsidR="008A331A" w:rsidRPr="00AD37E6" w:rsidRDefault="008A331A" w:rsidP="008A331A">
      <w:pPr>
        <w:ind w:left="2880" w:hanging="2166"/>
        <w:jc w:val="both"/>
        <w:rPr>
          <w:rFonts w:ascii="Arial" w:hAnsi="Arial" w:cs="Arial"/>
          <w:b/>
          <w:sz w:val="22"/>
          <w:szCs w:val="22"/>
          <w:lang w:val="en-IE"/>
        </w:rPr>
      </w:pPr>
      <w:r w:rsidRPr="00AD37E6">
        <w:rPr>
          <w:rFonts w:ascii="Arial" w:hAnsi="Arial" w:cs="Arial"/>
          <w:b/>
          <w:sz w:val="22"/>
          <w:szCs w:val="22"/>
          <w:lang w:val="en-IE"/>
        </w:rPr>
        <w:t>Derivative Work:</w:t>
      </w:r>
      <w:r w:rsidRPr="00AD37E6">
        <w:rPr>
          <w:rFonts w:ascii="Arial" w:hAnsi="Arial" w:cs="Arial"/>
          <w:b/>
          <w:sz w:val="22"/>
          <w:szCs w:val="22"/>
          <w:lang w:val="en-IE"/>
        </w:rPr>
        <w:tab/>
        <w:t xml:space="preserve">means any text or work which incorporates </w:t>
      </w:r>
      <w:r w:rsidRPr="00AD37E6">
        <w:rPr>
          <w:rFonts w:ascii="Arial" w:hAnsi="Arial" w:cs="Arial"/>
          <w:b/>
          <w:sz w:val="22"/>
          <w:szCs w:val="22"/>
        </w:rPr>
        <w:t>or contains all or part of the Modification Proposal or any adaptation, abridgement, expansion or other modification</w:t>
      </w:r>
      <w:r w:rsidRPr="00AD37E6">
        <w:rPr>
          <w:rFonts w:ascii="Arial" w:hAnsi="Arial" w:cs="Arial"/>
          <w:b/>
          <w:sz w:val="22"/>
          <w:szCs w:val="22"/>
          <w:lang w:val="en-IE"/>
        </w:rPr>
        <w:t xml:space="preserve"> of the Modification Proposal</w:t>
      </w:r>
    </w:p>
    <w:p w14:paraId="793FB506" w14:textId="77777777" w:rsidR="008A331A" w:rsidRPr="00AD37E6" w:rsidRDefault="008A331A" w:rsidP="008A331A">
      <w:pPr>
        <w:jc w:val="both"/>
        <w:rPr>
          <w:rFonts w:ascii="Arial" w:hAnsi="Arial" w:cs="Arial"/>
          <w:b/>
          <w:sz w:val="22"/>
          <w:szCs w:val="22"/>
          <w:lang w:val="en-IE"/>
        </w:rPr>
      </w:pPr>
    </w:p>
    <w:p w14:paraId="1C109C72" w14:textId="77777777" w:rsidR="008A331A" w:rsidRPr="00AD37E6" w:rsidRDefault="008A331A" w:rsidP="008A331A">
      <w:pPr>
        <w:tabs>
          <w:tab w:val="left" w:pos="360"/>
        </w:tabs>
        <w:ind w:left="720"/>
        <w:jc w:val="both"/>
        <w:rPr>
          <w:rFonts w:ascii="Arial" w:hAnsi="Arial" w:cs="Arial"/>
          <w:b/>
          <w:sz w:val="22"/>
          <w:szCs w:val="22"/>
          <w:lang w:val="en-IE"/>
        </w:rPr>
      </w:pPr>
      <w:r w:rsidRPr="00AD37E6">
        <w:rPr>
          <w:rFonts w:ascii="Arial" w:hAnsi="Arial" w:cs="Arial"/>
          <w:b/>
          <w:sz w:val="22"/>
          <w:szCs w:val="22"/>
          <w:lang w:val="en-IE"/>
        </w:rPr>
        <w:t xml:space="preserve">The terms “System Operators” and “Regulatory Authorities” shall have the meanings assigned to those terms in the Code.  </w:t>
      </w:r>
    </w:p>
    <w:p w14:paraId="444E7F3B" w14:textId="77777777" w:rsidR="008A331A" w:rsidRPr="00AD37E6" w:rsidRDefault="008A331A" w:rsidP="008A331A">
      <w:pPr>
        <w:tabs>
          <w:tab w:val="left" w:pos="360"/>
        </w:tabs>
        <w:ind w:left="720"/>
        <w:jc w:val="both"/>
        <w:rPr>
          <w:rFonts w:ascii="Arial" w:hAnsi="Arial" w:cs="Arial"/>
          <w:b/>
          <w:sz w:val="22"/>
          <w:szCs w:val="22"/>
          <w:lang w:val="en-IE"/>
        </w:rPr>
      </w:pPr>
    </w:p>
    <w:p w14:paraId="1273CEA8" w14:textId="77777777" w:rsidR="008A331A" w:rsidRPr="00AD37E6" w:rsidRDefault="008A331A" w:rsidP="008A331A">
      <w:pPr>
        <w:tabs>
          <w:tab w:val="left" w:pos="360"/>
        </w:tabs>
        <w:ind w:left="720"/>
        <w:jc w:val="both"/>
        <w:rPr>
          <w:rFonts w:ascii="Arial" w:hAnsi="Arial" w:cs="Arial"/>
          <w:b/>
          <w:sz w:val="22"/>
          <w:szCs w:val="22"/>
          <w:lang w:val="en-IE"/>
        </w:rPr>
      </w:pPr>
      <w:r w:rsidRPr="00AD37E6">
        <w:rPr>
          <w:rFonts w:ascii="Arial" w:hAnsi="Arial" w:cs="Arial"/>
          <w:b/>
          <w:sz w:val="22"/>
          <w:szCs w:val="22"/>
          <w:lang w:val="en-IE"/>
        </w:rPr>
        <w:t>In consideration for the right to submit, and have the Modification Proposal assessed in accordance with the terms of Section B.12 of the Code, which I have read and understand, I agree as follows:</w:t>
      </w:r>
    </w:p>
    <w:p w14:paraId="7FCBBCCC" w14:textId="77777777" w:rsidR="008A331A" w:rsidRPr="00AD37E6" w:rsidRDefault="008A331A" w:rsidP="008A331A">
      <w:pPr>
        <w:tabs>
          <w:tab w:val="left" w:pos="360"/>
        </w:tabs>
        <w:ind w:left="720" w:hanging="360"/>
        <w:jc w:val="both"/>
        <w:rPr>
          <w:rFonts w:ascii="Arial" w:hAnsi="Arial" w:cs="Arial"/>
          <w:b/>
          <w:sz w:val="22"/>
          <w:szCs w:val="22"/>
          <w:lang w:val="en-IE"/>
        </w:rPr>
      </w:pPr>
    </w:p>
    <w:p w14:paraId="4616E009" w14:textId="77777777" w:rsidR="008A331A" w:rsidRPr="00AD37E6" w:rsidRDefault="008A331A" w:rsidP="008A331A">
      <w:pPr>
        <w:tabs>
          <w:tab w:val="left" w:pos="360"/>
        </w:tabs>
        <w:ind w:left="1080" w:hanging="360"/>
        <w:jc w:val="both"/>
        <w:rPr>
          <w:rFonts w:ascii="Arial" w:hAnsi="Arial" w:cs="Arial"/>
          <w:b/>
          <w:sz w:val="22"/>
          <w:szCs w:val="22"/>
          <w:lang w:val="en-IE"/>
        </w:rPr>
      </w:pPr>
      <w:r w:rsidRPr="00AD37E6">
        <w:rPr>
          <w:rFonts w:ascii="Arial" w:hAnsi="Arial" w:cs="Arial"/>
          <w:b/>
          <w:sz w:val="22"/>
          <w:szCs w:val="22"/>
          <w:lang w:val="en-IE"/>
        </w:rPr>
        <w:t>1.</w:t>
      </w:r>
      <w:r w:rsidRPr="00AD37E6">
        <w:rPr>
          <w:rFonts w:ascii="Arial" w:hAnsi="Arial" w:cs="Arial"/>
          <w:b/>
          <w:sz w:val="22"/>
          <w:szCs w:val="22"/>
          <w:lang w:val="en-IE"/>
        </w:rPr>
        <w:tab/>
        <w:t>I hereby grant a worldwide, perpetual, royalty-free, non-exclusive licence:</w:t>
      </w:r>
    </w:p>
    <w:p w14:paraId="769D91E8" w14:textId="77777777" w:rsidR="008A331A" w:rsidRPr="00AD37E6" w:rsidRDefault="008A331A" w:rsidP="008A331A">
      <w:pPr>
        <w:tabs>
          <w:tab w:val="left" w:pos="360"/>
        </w:tabs>
        <w:ind w:left="1080" w:hanging="360"/>
        <w:jc w:val="both"/>
        <w:rPr>
          <w:rFonts w:ascii="Arial" w:hAnsi="Arial" w:cs="Arial"/>
          <w:b/>
          <w:sz w:val="22"/>
          <w:szCs w:val="22"/>
          <w:lang w:val="en-IE"/>
        </w:rPr>
      </w:pPr>
    </w:p>
    <w:p w14:paraId="15F36CEA" w14:textId="77777777" w:rsidR="008A331A" w:rsidRPr="00AD37E6" w:rsidRDefault="008A331A" w:rsidP="008A331A">
      <w:pPr>
        <w:numPr>
          <w:ilvl w:val="1"/>
          <w:numId w:val="2"/>
        </w:numPr>
        <w:tabs>
          <w:tab w:val="left" w:pos="360"/>
        </w:tabs>
        <w:overflowPunct/>
        <w:autoSpaceDE/>
        <w:adjustRightInd/>
        <w:ind w:left="1440"/>
        <w:jc w:val="both"/>
        <w:textAlignment w:val="auto"/>
        <w:rPr>
          <w:rFonts w:ascii="Arial" w:hAnsi="Arial" w:cs="Arial"/>
          <w:b/>
          <w:sz w:val="22"/>
          <w:szCs w:val="22"/>
          <w:lang w:val="en-IE"/>
        </w:rPr>
      </w:pPr>
      <w:r w:rsidRPr="00AD37E6">
        <w:rPr>
          <w:rFonts w:ascii="Arial" w:hAnsi="Arial" w:cs="Arial"/>
          <w:b/>
          <w:sz w:val="22"/>
          <w:szCs w:val="22"/>
          <w:lang w:val="en-IE"/>
        </w:rPr>
        <w:t>to the System Operators and the Regulatory Authorities to publish and/or distribute the Modification Proposal for free and unrestricted access;</w:t>
      </w:r>
    </w:p>
    <w:p w14:paraId="36A61BC2" w14:textId="77777777" w:rsidR="008A331A" w:rsidRPr="00AD37E6" w:rsidRDefault="008A331A" w:rsidP="008A331A">
      <w:pPr>
        <w:tabs>
          <w:tab w:val="left" w:pos="360"/>
        </w:tabs>
        <w:ind w:left="1440" w:hanging="360"/>
        <w:jc w:val="both"/>
        <w:rPr>
          <w:rFonts w:ascii="Arial" w:hAnsi="Arial" w:cs="Arial"/>
          <w:b/>
          <w:sz w:val="22"/>
          <w:szCs w:val="22"/>
          <w:lang w:val="en-IE"/>
        </w:rPr>
      </w:pPr>
    </w:p>
    <w:p w14:paraId="1D83B7A6" w14:textId="77777777" w:rsidR="008A331A" w:rsidRPr="00AD37E6" w:rsidRDefault="008A331A" w:rsidP="008A331A">
      <w:pPr>
        <w:numPr>
          <w:ilvl w:val="1"/>
          <w:numId w:val="2"/>
        </w:numPr>
        <w:tabs>
          <w:tab w:val="left" w:pos="360"/>
        </w:tabs>
        <w:overflowPunct/>
        <w:autoSpaceDE/>
        <w:adjustRightInd/>
        <w:ind w:left="1440"/>
        <w:jc w:val="both"/>
        <w:textAlignment w:val="auto"/>
        <w:rPr>
          <w:rFonts w:ascii="Arial" w:hAnsi="Arial" w:cs="Arial"/>
          <w:b/>
          <w:sz w:val="22"/>
          <w:szCs w:val="22"/>
          <w:lang w:val="en-IE"/>
        </w:rPr>
      </w:pPr>
      <w:r w:rsidRPr="00AD37E6">
        <w:rPr>
          <w:rFonts w:ascii="Arial" w:hAnsi="Arial" w:cs="Arial"/>
          <w:b/>
          <w:sz w:val="22"/>
          <w:szCs w:val="22"/>
          <w:lang w:val="en-IE"/>
        </w:rPr>
        <w:t>to the Regulatory Authorities to amend, adapt, combine, abridge, expand or otherwise modify the Modification Proposal at their sole discretion for the purpose of developing the Modification Proposal in accordance with the Code;</w:t>
      </w:r>
    </w:p>
    <w:p w14:paraId="61290A6F" w14:textId="77777777" w:rsidR="008A331A" w:rsidRPr="00AD37E6" w:rsidRDefault="008A331A" w:rsidP="008A331A">
      <w:pPr>
        <w:tabs>
          <w:tab w:val="left" w:pos="360"/>
        </w:tabs>
        <w:ind w:left="1440" w:hanging="360"/>
        <w:jc w:val="both"/>
        <w:rPr>
          <w:rFonts w:ascii="Arial" w:hAnsi="Arial" w:cs="Arial"/>
          <w:b/>
          <w:sz w:val="22"/>
          <w:szCs w:val="22"/>
          <w:lang w:val="en-IE"/>
        </w:rPr>
      </w:pPr>
    </w:p>
    <w:p w14:paraId="7E8227D3" w14:textId="77777777" w:rsidR="008A331A" w:rsidRPr="00AD37E6" w:rsidRDefault="008A331A" w:rsidP="008A331A">
      <w:pPr>
        <w:numPr>
          <w:ilvl w:val="1"/>
          <w:numId w:val="2"/>
        </w:numPr>
        <w:tabs>
          <w:tab w:val="left" w:pos="360"/>
        </w:tabs>
        <w:overflowPunct/>
        <w:autoSpaceDE/>
        <w:adjustRightInd/>
        <w:ind w:left="1440"/>
        <w:jc w:val="both"/>
        <w:textAlignment w:val="auto"/>
        <w:rPr>
          <w:rFonts w:ascii="Arial" w:hAnsi="Arial" w:cs="Arial"/>
          <w:b/>
          <w:sz w:val="22"/>
          <w:szCs w:val="22"/>
          <w:lang w:val="en-IE"/>
        </w:rPr>
      </w:pPr>
      <w:r w:rsidRPr="00AD37E6">
        <w:rPr>
          <w:rFonts w:ascii="Arial" w:hAnsi="Arial" w:cs="Arial"/>
          <w:b/>
          <w:sz w:val="22"/>
          <w:szCs w:val="22"/>
          <w:lang w:val="en-IE"/>
        </w:rPr>
        <w:t>to the System Operators and the Regulatory Authorities to incorporate the Modification Proposal into the Code;</w:t>
      </w:r>
    </w:p>
    <w:p w14:paraId="623ED23F" w14:textId="77777777" w:rsidR="008A331A" w:rsidRPr="00AD37E6" w:rsidRDefault="008A331A" w:rsidP="008A331A">
      <w:pPr>
        <w:tabs>
          <w:tab w:val="left" w:pos="360"/>
        </w:tabs>
        <w:ind w:left="1440" w:hanging="360"/>
        <w:jc w:val="both"/>
        <w:rPr>
          <w:rFonts w:ascii="Arial" w:hAnsi="Arial" w:cs="Arial"/>
          <w:b/>
          <w:sz w:val="22"/>
          <w:szCs w:val="22"/>
          <w:lang w:val="en-IE"/>
        </w:rPr>
      </w:pPr>
    </w:p>
    <w:p w14:paraId="1F1499D3" w14:textId="77777777" w:rsidR="008A331A" w:rsidRPr="00AD37E6" w:rsidRDefault="008A331A" w:rsidP="008A331A">
      <w:pPr>
        <w:tabs>
          <w:tab w:val="left" w:pos="360"/>
        </w:tabs>
        <w:ind w:left="1440" w:hanging="360"/>
        <w:jc w:val="both"/>
        <w:rPr>
          <w:rFonts w:ascii="Arial" w:hAnsi="Arial" w:cs="Arial"/>
          <w:b/>
          <w:sz w:val="22"/>
          <w:szCs w:val="22"/>
          <w:lang w:val="en-IE"/>
        </w:rPr>
      </w:pPr>
      <w:r w:rsidRPr="00AD37E6">
        <w:rPr>
          <w:rFonts w:ascii="Arial" w:hAnsi="Arial" w:cs="Arial"/>
          <w:b/>
          <w:sz w:val="22"/>
          <w:szCs w:val="22"/>
          <w:lang w:val="en-IE"/>
        </w:rPr>
        <w:t>1.4</w:t>
      </w:r>
      <w:r w:rsidRPr="00AD37E6">
        <w:rPr>
          <w:rFonts w:ascii="Arial" w:hAnsi="Arial" w:cs="Arial"/>
          <w:b/>
          <w:sz w:val="22"/>
          <w:szCs w:val="22"/>
          <w:lang w:val="en-IE"/>
        </w:rPr>
        <w:tab/>
        <w:t>to all Parties to the Code and the Regulatory Authorities to use, reproduce and distribute the Modification Proposal, whether as part of the Code or otherwise, for any purpose arising out of or in connection with the Code.</w:t>
      </w:r>
    </w:p>
    <w:p w14:paraId="745DEC72" w14:textId="77777777" w:rsidR="008A331A" w:rsidRPr="00AD37E6" w:rsidRDefault="008A331A" w:rsidP="008A331A">
      <w:pPr>
        <w:tabs>
          <w:tab w:val="left" w:pos="360"/>
        </w:tabs>
        <w:ind w:left="1440" w:hanging="360"/>
        <w:jc w:val="both"/>
        <w:rPr>
          <w:rFonts w:ascii="Arial" w:hAnsi="Arial" w:cs="Arial"/>
          <w:b/>
          <w:sz w:val="22"/>
          <w:szCs w:val="22"/>
          <w:lang w:val="en-IE"/>
        </w:rPr>
      </w:pPr>
    </w:p>
    <w:p w14:paraId="5244C57A" w14:textId="77777777" w:rsidR="008A331A" w:rsidRPr="00AD37E6" w:rsidRDefault="008A331A" w:rsidP="008A331A">
      <w:pPr>
        <w:tabs>
          <w:tab w:val="left" w:pos="360"/>
        </w:tabs>
        <w:ind w:left="1080" w:hanging="360"/>
        <w:jc w:val="both"/>
        <w:rPr>
          <w:rFonts w:ascii="Arial" w:hAnsi="Arial" w:cs="Arial"/>
          <w:b/>
          <w:sz w:val="22"/>
          <w:szCs w:val="22"/>
          <w:lang w:val="en-IE"/>
        </w:rPr>
      </w:pPr>
      <w:r w:rsidRPr="00AD37E6">
        <w:rPr>
          <w:rFonts w:ascii="Arial" w:hAnsi="Arial" w:cs="Arial"/>
          <w:b/>
          <w:sz w:val="22"/>
          <w:szCs w:val="22"/>
          <w:lang w:val="en-IE"/>
        </w:rPr>
        <w:lastRenderedPageBreak/>
        <w:t>2.</w:t>
      </w:r>
      <w:r w:rsidRPr="00AD37E6">
        <w:rPr>
          <w:rFonts w:ascii="Arial" w:hAnsi="Arial" w:cs="Arial"/>
          <w:b/>
          <w:sz w:val="22"/>
          <w:szCs w:val="22"/>
          <w:lang w:val="en-IE"/>
        </w:rPr>
        <w:tab/>
        <w:t>The licences set out in clause 1 shall equally apply to any Derivative Works.</w:t>
      </w:r>
    </w:p>
    <w:p w14:paraId="3358C119" w14:textId="77777777" w:rsidR="008A331A" w:rsidRPr="00AD37E6" w:rsidRDefault="008A331A" w:rsidP="008A331A">
      <w:pPr>
        <w:tabs>
          <w:tab w:val="left" w:pos="360"/>
        </w:tabs>
        <w:ind w:left="1080" w:hanging="360"/>
        <w:jc w:val="both"/>
        <w:rPr>
          <w:rFonts w:ascii="Arial" w:hAnsi="Arial" w:cs="Arial"/>
          <w:b/>
          <w:sz w:val="22"/>
          <w:szCs w:val="22"/>
          <w:lang w:val="en-IE"/>
        </w:rPr>
      </w:pPr>
    </w:p>
    <w:p w14:paraId="6EF4A582" w14:textId="77777777" w:rsidR="008A331A" w:rsidRPr="00AD37E6" w:rsidRDefault="008A331A" w:rsidP="008A331A">
      <w:pPr>
        <w:tabs>
          <w:tab w:val="left" w:pos="360"/>
        </w:tabs>
        <w:ind w:left="1080" w:hanging="360"/>
        <w:jc w:val="both"/>
        <w:rPr>
          <w:rFonts w:ascii="Arial" w:hAnsi="Arial" w:cs="Arial"/>
          <w:b/>
          <w:sz w:val="22"/>
          <w:szCs w:val="22"/>
          <w:lang w:val="en-IE"/>
        </w:rPr>
      </w:pPr>
      <w:r w:rsidRPr="00AD37E6">
        <w:rPr>
          <w:rFonts w:ascii="Arial" w:hAnsi="Arial" w:cs="Arial"/>
          <w:b/>
          <w:sz w:val="22"/>
          <w:szCs w:val="22"/>
          <w:lang w:val="en-IE"/>
        </w:rPr>
        <w:t>3.</w:t>
      </w:r>
      <w:r w:rsidRPr="00AD37E6">
        <w:rPr>
          <w:rFonts w:ascii="Arial" w:hAnsi="Arial" w:cs="Arial"/>
          <w:b/>
          <w:sz w:val="22"/>
          <w:szCs w:val="22"/>
          <w:lang w:val="en-IE"/>
        </w:rPr>
        <w:tab/>
        <w:t>I hereby waive in favour of the Parties to the Code and the Regulatory Authorities any and all moral rights I may have arising out of or in connection with the Modification Proposal or any Derivative Works.</w:t>
      </w:r>
    </w:p>
    <w:p w14:paraId="3A7E6CBB" w14:textId="77777777" w:rsidR="008A331A" w:rsidRPr="00AD37E6" w:rsidRDefault="008A331A" w:rsidP="008A331A">
      <w:pPr>
        <w:tabs>
          <w:tab w:val="left" w:pos="360"/>
        </w:tabs>
        <w:ind w:left="1080" w:hanging="360"/>
        <w:jc w:val="both"/>
        <w:rPr>
          <w:rFonts w:ascii="Arial" w:hAnsi="Arial" w:cs="Arial"/>
          <w:b/>
          <w:sz w:val="22"/>
          <w:szCs w:val="22"/>
          <w:lang w:val="en-IE"/>
        </w:rPr>
      </w:pPr>
    </w:p>
    <w:p w14:paraId="1F1E0931" w14:textId="77777777" w:rsidR="008A331A" w:rsidRPr="00AD37E6" w:rsidRDefault="008A331A" w:rsidP="008A331A">
      <w:pPr>
        <w:tabs>
          <w:tab w:val="left" w:pos="360"/>
        </w:tabs>
        <w:ind w:left="1080" w:hanging="360"/>
        <w:jc w:val="both"/>
        <w:rPr>
          <w:rFonts w:ascii="Arial" w:hAnsi="Arial" w:cs="Arial"/>
          <w:b/>
          <w:sz w:val="22"/>
          <w:szCs w:val="22"/>
          <w:lang w:val="en-IE"/>
        </w:rPr>
      </w:pPr>
      <w:r w:rsidRPr="00AD37E6">
        <w:rPr>
          <w:rFonts w:ascii="Arial" w:hAnsi="Arial" w:cs="Arial"/>
          <w:b/>
          <w:sz w:val="22"/>
          <w:szCs w:val="22"/>
          <w:lang w:val="en-IE"/>
        </w:rPr>
        <w:t>4.</w:t>
      </w:r>
      <w:r w:rsidRPr="00AD37E6">
        <w:rPr>
          <w:rFonts w:ascii="Arial" w:hAnsi="Arial" w:cs="Arial"/>
          <w:b/>
          <w:sz w:val="22"/>
          <w:szCs w:val="22"/>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E536CAC" w14:textId="77777777" w:rsidR="008A331A" w:rsidRPr="00AD37E6" w:rsidRDefault="008A331A" w:rsidP="008A331A">
      <w:pPr>
        <w:tabs>
          <w:tab w:val="left" w:pos="360"/>
        </w:tabs>
        <w:ind w:left="1080" w:hanging="360"/>
        <w:jc w:val="both"/>
        <w:rPr>
          <w:rFonts w:ascii="Arial" w:hAnsi="Arial" w:cs="Arial"/>
          <w:b/>
          <w:sz w:val="22"/>
          <w:szCs w:val="22"/>
          <w:lang w:val="en-IE"/>
        </w:rPr>
      </w:pPr>
    </w:p>
    <w:p w14:paraId="417CF473" w14:textId="77777777" w:rsidR="008A331A" w:rsidRPr="00AD37E6" w:rsidRDefault="008A331A" w:rsidP="008A331A">
      <w:pPr>
        <w:tabs>
          <w:tab w:val="left" w:pos="360"/>
        </w:tabs>
        <w:ind w:left="1080" w:hanging="360"/>
        <w:jc w:val="both"/>
        <w:rPr>
          <w:rFonts w:ascii="Arial" w:hAnsi="Arial" w:cs="Arial"/>
          <w:b/>
          <w:sz w:val="22"/>
          <w:szCs w:val="22"/>
          <w:lang w:val="en-IE"/>
        </w:rPr>
      </w:pPr>
      <w:r w:rsidRPr="00AD37E6">
        <w:rPr>
          <w:rFonts w:ascii="Arial" w:hAnsi="Arial" w:cs="Arial"/>
          <w:b/>
          <w:sz w:val="22"/>
          <w:szCs w:val="22"/>
          <w:lang w:val="en-IE"/>
        </w:rPr>
        <w:t>5.</w:t>
      </w:r>
      <w:r w:rsidRPr="00AD37E6">
        <w:rPr>
          <w:rFonts w:ascii="Arial" w:hAnsi="Arial" w:cs="Arial"/>
          <w:b/>
          <w:sz w:val="22"/>
          <w:szCs w:val="22"/>
          <w:lang w:val="en-IE"/>
        </w:rPr>
        <w:tab/>
        <w:t>I hereby acknowledge that the Modification Proposal may be rejected by the Regulatory Authorities and that there is no guarantee that my Modification Proposal will be incorporated into the Code.</w:t>
      </w:r>
    </w:p>
    <w:p w14:paraId="71BAC42E" w14:textId="77777777" w:rsidR="004C53E7" w:rsidRPr="00AD37E6" w:rsidRDefault="004C53E7" w:rsidP="004C53E7">
      <w:pPr>
        <w:rPr>
          <w:rFonts w:ascii="Arial" w:hAnsi="Arial" w:cs="Arial"/>
          <w:sz w:val="22"/>
          <w:szCs w:val="22"/>
          <w:lang w:val="en-IE"/>
        </w:rPr>
      </w:pPr>
    </w:p>
    <w:p w14:paraId="250501D6" w14:textId="77777777" w:rsidR="004C53E7" w:rsidRPr="00AD37E6" w:rsidRDefault="004C53E7">
      <w:pPr>
        <w:rPr>
          <w:rFonts w:ascii="Arial" w:hAnsi="Arial" w:cs="Arial"/>
          <w:sz w:val="22"/>
          <w:szCs w:val="22"/>
        </w:rPr>
      </w:pPr>
    </w:p>
    <w:sectPr w:rsidR="004C53E7" w:rsidRPr="00AD37E6" w:rsidSect="00004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5D8F4" w14:textId="77777777" w:rsidR="00D86A78" w:rsidRDefault="00D86A78" w:rsidP="00B21D1D">
      <w:r>
        <w:separator/>
      </w:r>
    </w:p>
  </w:endnote>
  <w:endnote w:type="continuationSeparator" w:id="0">
    <w:p w14:paraId="3FBDA6F9" w14:textId="77777777" w:rsidR="00D86A78" w:rsidRDefault="00D86A78" w:rsidP="00B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BFE12" w14:textId="77777777" w:rsidR="00D86A78" w:rsidRDefault="00D86A78" w:rsidP="00B21D1D">
      <w:r>
        <w:separator/>
      </w:r>
    </w:p>
  </w:footnote>
  <w:footnote w:type="continuationSeparator" w:id="0">
    <w:p w14:paraId="285467B3" w14:textId="77777777" w:rsidR="00D86A78" w:rsidRDefault="00D86A78" w:rsidP="00B21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B01"/>
    <w:multiLevelType w:val="multilevel"/>
    <w:tmpl w:val="F836E94C"/>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3"/>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start w:val="1"/>
      <w:numFmt w:val="upperLetter"/>
      <w:lvlText w:val="(%7)"/>
      <w:lvlJc w:val="left"/>
      <w:pPr>
        <w:ind w:left="3281" w:hanging="476"/>
      </w:pPr>
      <w:rPr>
        <w:rFonts w:ascii="Arial" w:eastAsia="Arial" w:hAnsi="Arial" w:cs="Arial" w:hint="default"/>
        <w:spacing w:val="-1"/>
        <w:w w:val="100"/>
        <w:sz w:val="22"/>
        <w:szCs w:val="22"/>
      </w:rPr>
    </w:lvl>
    <w:lvl w:ilvl="7">
      <w:start w:val="1"/>
      <w:numFmt w:val="lowerRoman"/>
      <w:lvlText w:val="%8."/>
      <w:lvlJc w:val="left"/>
      <w:pPr>
        <w:ind w:left="3641" w:hanging="360"/>
      </w:pPr>
      <w:rPr>
        <w:rFonts w:ascii="Arial" w:eastAsia="Arial" w:hAnsi="Arial" w:cs="Arial" w:hint="default"/>
        <w:spacing w:val="-2"/>
        <w:w w:val="100"/>
        <w:sz w:val="22"/>
        <w:szCs w:val="22"/>
      </w:rPr>
    </w:lvl>
    <w:lvl w:ilvl="8">
      <w:numFmt w:val="bullet"/>
      <w:lvlText w:val="•"/>
      <w:lvlJc w:val="left"/>
      <w:pPr>
        <w:ind w:left="8257" w:hanging="360"/>
      </w:pPr>
      <w:rPr>
        <w:rFont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947B97"/>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3">
    <w:nsid w:val="12F02E89"/>
    <w:multiLevelType w:val="hybridMultilevel"/>
    <w:tmpl w:val="06D46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5">
    <w:nsid w:val="28255CE4"/>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6">
    <w:nsid w:val="29BC451B"/>
    <w:multiLevelType w:val="multilevel"/>
    <w:tmpl w:val="B3EAB086"/>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1DE573C"/>
    <w:multiLevelType w:val="multilevel"/>
    <w:tmpl w:val="CBA65BC2"/>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ascii="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9">
    <w:nsid w:val="32FA4EAC"/>
    <w:multiLevelType w:val="multilevel"/>
    <w:tmpl w:val="AD3A1668"/>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2">
    <w:nsid w:val="46416463"/>
    <w:multiLevelType w:val="multilevel"/>
    <w:tmpl w:val="F836E94C"/>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3"/>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start w:val="1"/>
      <w:numFmt w:val="upperLetter"/>
      <w:lvlText w:val="(%7)"/>
      <w:lvlJc w:val="left"/>
      <w:pPr>
        <w:ind w:left="3281" w:hanging="476"/>
      </w:pPr>
      <w:rPr>
        <w:rFonts w:ascii="Arial" w:eastAsia="Arial" w:hAnsi="Arial" w:cs="Arial" w:hint="default"/>
        <w:spacing w:val="-1"/>
        <w:w w:val="100"/>
        <w:sz w:val="22"/>
        <w:szCs w:val="22"/>
      </w:rPr>
    </w:lvl>
    <w:lvl w:ilvl="7">
      <w:start w:val="1"/>
      <w:numFmt w:val="lowerRoman"/>
      <w:lvlText w:val="%8."/>
      <w:lvlJc w:val="left"/>
      <w:pPr>
        <w:ind w:left="3641" w:hanging="360"/>
      </w:pPr>
      <w:rPr>
        <w:rFonts w:ascii="Arial" w:eastAsia="Arial" w:hAnsi="Arial" w:cs="Arial" w:hint="default"/>
        <w:spacing w:val="-2"/>
        <w:w w:val="100"/>
        <w:sz w:val="22"/>
        <w:szCs w:val="22"/>
      </w:rPr>
    </w:lvl>
    <w:lvl w:ilvl="8">
      <w:numFmt w:val="bullet"/>
      <w:lvlText w:val="•"/>
      <w:lvlJc w:val="left"/>
      <w:pPr>
        <w:ind w:left="8257" w:hanging="360"/>
      </w:pPr>
      <w:rPr>
        <w:rFonts w:hint="default"/>
      </w:rPr>
    </w:lvl>
  </w:abstractNum>
  <w:abstractNum w:abstractNumId="13">
    <w:nsid w:val="4A7C3EF4"/>
    <w:multiLevelType w:val="multilevel"/>
    <w:tmpl w:val="C430E7D2"/>
    <w:lvl w:ilvl="0">
      <w:start w:val="8"/>
      <w:numFmt w:val="upperLetter"/>
      <w:lvlText w:val="%1"/>
      <w:lvlJc w:val="left"/>
      <w:pPr>
        <w:ind w:left="1391" w:hanging="992"/>
      </w:pPr>
      <w:rPr>
        <w:rFonts w:hint="default"/>
      </w:rPr>
    </w:lvl>
    <w:lvl w:ilvl="1">
      <w:start w:val="7"/>
      <w:numFmt w:val="decimal"/>
      <w:lvlText w:val="%1.%2"/>
      <w:lvlJc w:val="left"/>
      <w:pPr>
        <w:ind w:left="1391" w:hanging="992"/>
      </w:pPr>
      <w:rPr>
        <w:rFonts w:hint="default"/>
      </w:rPr>
    </w:lvl>
    <w:lvl w:ilvl="2">
      <w:start w:val="4"/>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numFmt w:val="bullet"/>
      <w:lvlText w:val="•"/>
      <w:lvlJc w:val="left"/>
      <w:pPr>
        <w:ind w:left="6693" w:hanging="709"/>
      </w:pPr>
      <w:rPr>
        <w:rFonts w:hint="default"/>
      </w:rPr>
    </w:lvl>
    <w:lvl w:ilvl="7">
      <w:numFmt w:val="bullet"/>
      <w:lvlText w:val="•"/>
      <w:lvlJc w:val="left"/>
      <w:pPr>
        <w:ind w:left="7661" w:hanging="709"/>
      </w:pPr>
      <w:rPr>
        <w:rFonts w:hint="default"/>
      </w:rPr>
    </w:lvl>
    <w:lvl w:ilvl="8">
      <w:numFmt w:val="bullet"/>
      <w:lvlText w:val="•"/>
      <w:lvlJc w:val="left"/>
      <w:pPr>
        <w:ind w:left="8629" w:hanging="709"/>
      </w:pPr>
      <w:rPr>
        <w:rFonts w:hint="default"/>
      </w:rPr>
    </w:lvl>
  </w:abstractNum>
  <w:abstractNum w:abstractNumId="14">
    <w:nsid w:val="4CFF0706"/>
    <w:multiLevelType w:val="multilevel"/>
    <w:tmpl w:val="58F2BD5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lowerLetter"/>
      <w:lvlText w:val="%4."/>
      <w:lvlJc w:val="left"/>
      <w:pPr>
        <w:ind w:left="1418" w:hanging="992"/>
      </w:pPr>
      <w:rPr>
        <w:rFonts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5">
    <w:nsid w:val="55CE7962"/>
    <w:multiLevelType w:val="multilevel"/>
    <w:tmpl w:val="9AF66860"/>
    <w:lvl w:ilvl="0">
      <w:start w:val="8"/>
      <w:numFmt w:val="upperLetter"/>
      <w:lvlText w:val="%1"/>
      <w:lvlJc w:val="left"/>
      <w:pPr>
        <w:ind w:left="1391" w:hanging="992"/>
      </w:pPr>
      <w:rPr>
        <w:rFonts w:hint="default"/>
      </w:r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rPr>
        <w:rFonts w:hint="default"/>
      </w:rPr>
    </w:lvl>
    <w:lvl w:ilvl="6">
      <w:numFmt w:val="bullet"/>
      <w:lvlText w:val="•"/>
      <w:lvlJc w:val="left"/>
      <w:pPr>
        <w:ind w:left="6803" w:hanging="711"/>
      </w:pPr>
      <w:rPr>
        <w:rFonts w:hint="default"/>
      </w:rPr>
    </w:lvl>
    <w:lvl w:ilvl="7">
      <w:numFmt w:val="bullet"/>
      <w:lvlText w:val="•"/>
      <w:lvlJc w:val="left"/>
      <w:pPr>
        <w:ind w:left="7744" w:hanging="711"/>
      </w:pPr>
      <w:rPr>
        <w:rFonts w:hint="default"/>
      </w:rPr>
    </w:lvl>
    <w:lvl w:ilvl="8">
      <w:numFmt w:val="bullet"/>
      <w:lvlText w:val="•"/>
      <w:lvlJc w:val="left"/>
      <w:pPr>
        <w:ind w:left="8684" w:hanging="711"/>
      </w:pPr>
      <w:rPr>
        <w:rFonts w:hint="default"/>
      </w:rPr>
    </w:lvl>
  </w:abstractNum>
  <w:abstractNum w:abstractNumId="16">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2D5BF5"/>
    <w:multiLevelType w:val="multilevel"/>
    <w:tmpl w:val="A59C05CA"/>
    <w:lvl w:ilvl="0">
      <w:start w:val="8"/>
      <w:numFmt w:val="upperLetter"/>
      <w:lvlText w:val="%1"/>
      <w:lvlJc w:val="left"/>
      <w:pPr>
        <w:ind w:left="1391" w:hanging="992"/>
      </w:pPr>
      <w:rPr>
        <w:rFonts w:hint="default"/>
      </w:rPr>
    </w:lvl>
    <w:lvl w:ilvl="1">
      <w:start w:val="8"/>
      <w:numFmt w:val="decimal"/>
      <w:lvlText w:val="%1.%2"/>
      <w:lvlJc w:val="left"/>
      <w:pPr>
        <w:ind w:left="1391" w:hanging="992"/>
      </w:pPr>
      <w:rPr>
        <w:rFonts w:hint="default"/>
      </w:rPr>
    </w:lvl>
    <w:lvl w:ilvl="2">
      <w:start w:val="1"/>
      <w:numFmt w:val="decimal"/>
      <w:lvlText w:val="%1.%2.%3"/>
      <w:lvlJc w:val="left"/>
      <w:pPr>
        <w:ind w:left="1391" w:hanging="992"/>
      </w:pPr>
      <w:rPr>
        <w:rFonts w:hint="default"/>
      </w:rPr>
    </w:lvl>
    <w:lvl w:ilvl="3">
      <w:start w:val="1"/>
      <w:numFmt w:val="decimal"/>
      <w:lvlText w:val="%1.%2.%3.%4"/>
      <w:lvlJc w:val="left"/>
      <w:pPr>
        <w:ind w:left="1391"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start w:val="1"/>
      <w:numFmt w:val="lowerRoman"/>
      <w:lvlText w:val="(%6)"/>
      <w:lvlJc w:val="left"/>
      <w:pPr>
        <w:ind w:left="2810" w:hanging="709"/>
      </w:pPr>
      <w:rPr>
        <w:rFonts w:ascii="Arial" w:eastAsia="Arial" w:hAnsi="Arial" w:cs="Arial" w:hint="default"/>
        <w:spacing w:val="-2"/>
        <w:w w:val="100"/>
        <w:sz w:val="22"/>
        <w:szCs w:val="22"/>
      </w:rPr>
    </w:lvl>
    <w:lvl w:ilvl="6">
      <w:numFmt w:val="bullet"/>
      <w:lvlText w:val="•"/>
      <w:lvlJc w:val="left"/>
      <w:pPr>
        <w:ind w:left="6693" w:hanging="709"/>
      </w:pPr>
      <w:rPr>
        <w:rFonts w:hint="default"/>
      </w:rPr>
    </w:lvl>
    <w:lvl w:ilvl="7">
      <w:numFmt w:val="bullet"/>
      <w:lvlText w:val="•"/>
      <w:lvlJc w:val="left"/>
      <w:pPr>
        <w:ind w:left="7661" w:hanging="709"/>
      </w:pPr>
      <w:rPr>
        <w:rFonts w:hint="default"/>
      </w:rPr>
    </w:lvl>
    <w:lvl w:ilvl="8">
      <w:numFmt w:val="bullet"/>
      <w:lvlText w:val="•"/>
      <w:lvlJc w:val="left"/>
      <w:pPr>
        <w:ind w:left="8629" w:hanging="709"/>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6"/>
  </w:num>
  <w:num w:numId="6">
    <w:abstractNumId w:val="7"/>
  </w:num>
  <w:num w:numId="7">
    <w:abstractNumId w:val="11"/>
  </w:num>
  <w:num w:numId="8">
    <w:abstractNumId w:val="3"/>
  </w:num>
  <w:num w:numId="9">
    <w:abstractNumId w:val="2"/>
  </w:num>
  <w:num w:numId="10">
    <w:abstractNumId w:val="12"/>
  </w:num>
  <w:num w:numId="11">
    <w:abstractNumId w:val="13"/>
  </w:num>
  <w:num w:numId="12">
    <w:abstractNumId w:val="18"/>
  </w:num>
  <w:num w:numId="13">
    <w:abstractNumId w:val="15"/>
  </w:num>
  <w:num w:numId="14">
    <w:abstractNumId w:val="5"/>
  </w:num>
  <w:num w:numId="15">
    <w:abstractNumId w:val="0"/>
  </w:num>
  <w:num w:numId="16">
    <w:abstractNumId w:val="6"/>
  </w:num>
  <w:num w:numId="17">
    <w:abstractNumId w:val="14"/>
  </w:num>
  <w:num w:numId="18">
    <w:abstractNumId w:val="9"/>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098C"/>
    <w:rsid w:val="00004131"/>
    <w:rsid w:val="000069DF"/>
    <w:rsid w:val="00020049"/>
    <w:rsid w:val="00025FCD"/>
    <w:rsid w:val="00056CDC"/>
    <w:rsid w:val="00061E3E"/>
    <w:rsid w:val="00062790"/>
    <w:rsid w:val="000720C6"/>
    <w:rsid w:val="00072793"/>
    <w:rsid w:val="00076D8F"/>
    <w:rsid w:val="00076DF3"/>
    <w:rsid w:val="00081256"/>
    <w:rsid w:val="000817DF"/>
    <w:rsid w:val="00082EAE"/>
    <w:rsid w:val="00086630"/>
    <w:rsid w:val="000C6B63"/>
    <w:rsid w:val="000D65E1"/>
    <w:rsid w:val="000E5490"/>
    <w:rsid w:val="000F6D00"/>
    <w:rsid w:val="000F6EF1"/>
    <w:rsid w:val="00100FD7"/>
    <w:rsid w:val="00110230"/>
    <w:rsid w:val="0013032E"/>
    <w:rsid w:val="00135247"/>
    <w:rsid w:val="001424CE"/>
    <w:rsid w:val="001532AD"/>
    <w:rsid w:val="00174C7B"/>
    <w:rsid w:val="00182C8A"/>
    <w:rsid w:val="001967E0"/>
    <w:rsid w:val="001A2C80"/>
    <w:rsid w:val="001B5EE4"/>
    <w:rsid w:val="001D28AA"/>
    <w:rsid w:val="001D5C1B"/>
    <w:rsid w:val="00200F10"/>
    <w:rsid w:val="002012B7"/>
    <w:rsid w:val="0020667F"/>
    <w:rsid w:val="00214CD4"/>
    <w:rsid w:val="00215BE1"/>
    <w:rsid w:val="002266C3"/>
    <w:rsid w:val="00232F6F"/>
    <w:rsid w:val="002353FD"/>
    <w:rsid w:val="002608C9"/>
    <w:rsid w:val="0026274E"/>
    <w:rsid w:val="00271BC3"/>
    <w:rsid w:val="00272988"/>
    <w:rsid w:val="002758CF"/>
    <w:rsid w:val="00280203"/>
    <w:rsid w:val="00292848"/>
    <w:rsid w:val="002B0A91"/>
    <w:rsid w:val="002B193D"/>
    <w:rsid w:val="002B7AF4"/>
    <w:rsid w:val="002C653D"/>
    <w:rsid w:val="002D32C2"/>
    <w:rsid w:val="002D7959"/>
    <w:rsid w:val="002F2010"/>
    <w:rsid w:val="003217E4"/>
    <w:rsid w:val="00332195"/>
    <w:rsid w:val="00355080"/>
    <w:rsid w:val="00356516"/>
    <w:rsid w:val="00361C16"/>
    <w:rsid w:val="0037296D"/>
    <w:rsid w:val="0038763B"/>
    <w:rsid w:val="003A2A7C"/>
    <w:rsid w:val="003A7DB8"/>
    <w:rsid w:val="003B1258"/>
    <w:rsid w:val="003B7AB6"/>
    <w:rsid w:val="003C3334"/>
    <w:rsid w:val="003F2803"/>
    <w:rsid w:val="003F58EF"/>
    <w:rsid w:val="00403843"/>
    <w:rsid w:val="004169DD"/>
    <w:rsid w:val="00416C0B"/>
    <w:rsid w:val="00420161"/>
    <w:rsid w:val="00431400"/>
    <w:rsid w:val="00437DF2"/>
    <w:rsid w:val="00441C18"/>
    <w:rsid w:val="004665F9"/>
    <w:rsid w:val="00497A32"/>
    <w:rsid w:val="004A38DC"/>
    <w:rsid w:val="004A4F21"/>
    <w:rsid w:val="004A7E23"/>
    <w:rsid w:val="004C53E7"/>
    <w:rsid w:val="004E4830"/>
    <w:rsid w:val="004E55C1"/>
    <w:rsid w:val="004F1E04"/>
    <w:rsid w:val="004F3593"/>
    <w:rsid w:val="004F3CF3"/>
    <w:rsid w:val="00511F29"/>
    <w:rsid w:val="00552657"/>
    <w:rsid w:val="00563421"/>
    <w:rsid w:val="00573228"/>
    <w:rsid w:val="00584447"/>
    <w:rsid w:val="005B0118"/>
    <w:rsid w:val="005B01E4"/>
    <w:rsid w:val="005B0926"/>
    <w:rsid w:val="005C1FF8"/>
    <w:rsid w:val="005C29F7"/>
    <w:rsid w:val="005C361D"/>
    <w:rsid w:val="005D4FAA"/>
    <w:rsid w:val="005F13AE"/>
    <w:rsid w:val="005F53BC"/>
    <w:rsid w:val="005F5958"/>
    <w:rsid w:val="00607C31"/>
    <w:rsid w:val="00617892"/>
    <w:rsid w:val="006213AF"/>
    <w:rsid w:val="0063249B"/>
    <w:rsid w:val="00650489"/>
    <w:rsid w:val="00676D2F"/>
    <w:rsid w:val="00677D2C"/>
    <w:rsid w:val="00683FAA"/>
    <w:rsid w:val="00690E9A"/>
    <w:rsid w:val="006A0219"/>
    <w:rsid w:val="006A0370"/>
    <w:rsid w:val="006A1D4D"/>
    <w:rsid w:val="006B199F"/>
    <w:rsid w:val="006C28BB"/>
    <w:rsid w:val="006D7948"/>
    <w:rsid w:val="006E3612"/>
    <w:rsid w:val="006E3E44"/>
    <w:rsid w:val="00714DC8"/>
    <w:rsid w:val="0072182B"/>
    <w:rsid w:val="00730238"/>
    <w:rsid w:val="00733092"/>
    <w:rsid w:val="00734A88"/>
    <w:rsid w:val="00746BB4"/>
    <w:rsid w:val="00751E25"/>
    <w:rsid w:val="0076195F"/>
    <w:rsid w:val="00763729"/>
    <w:rsid w:val="00786F27"/>
    <w:rsid w:val="00793BD3"/>
    <w:rsid w:val="0080400A"/>
    <w:rsid w:val="0081044D"/>
    <w:rsid w:val="00817BEB"/>
    <w:rsid w:val="008240F0"/>
    <w:rsid w:val="008423F6"/>
    <w:rsid w:val="00870EA6"/>
    <w:rsid w:val="008714DF"/>
    <w:rsid w:val="008816B1"/>
    <w:rsid w:val="00895697"/>
    <w:rsid w:val="008A331A"/>
    <w:rsid w:val="008A75AD"/>
    <w:rsid w:val="008C496E"/>
    <w:rsid w:val="008D0C9D"/>
    <w:rsid w:val="008F1E63"/>
    <w:rsid w:val="008F38E6"/>
    <w:rsid w:val="00906699"/>
    <w:rsid w:val="00922222"/>
    <w:rsid w:val="009342A5"/>
    <w:rsid w:val="0095122C"/>
    <w:rsid w:val="00954CAC"/>
    <w:rsid w:val="00956DEC"/>
    <w:rsid w:val="00963F7E"/>
    <w:rsid w:val="00975043"/>
    <w:rsid w:val="009C41F2"/>
    <w:rsid w:val="009D610D"/>
    <w:rsid w:val="009D6CC2"/>
    <w:rsid w:val="009E7254"/>
    <w:rsid w:val="009F1BD7"/>
    <w:rsid w:val="009F7750"/>
    <w:rsid w:val="00A03BA1"/>
    <w:rsid w:val="00A07C83"/>
    <w:rsid w:val="00A45A2A"/>
    <w:rsid w:val="00A6375B"/>
    <w:rsid w:val="00A716B3"/>
    <w:rsid w:val="00A87493"/>
    <w:rsid w:val="00AA6274"/>
    <w:rsid w:val="00AB28DB"/>
    <w:rsid w:val="00AC7EA2"/>
    <w:rsid w:val="00AD37E6"/>
    <w:rsid w:val="00AE769D"/>
    <w:rsid w:val="00AF6789"/>
    <w:rsid w:val="00B008BD"/>
    <w:rsid w:val="00B21D1D"/>
    <w:rsid w:val="00B23BA5"/>
    <w:rsid w:val="00B334BA"/>
    <w:rsid w:val="00B45252"/>
    <w:rsid w:val="00B47C97"/>
    <w:rsid w:val="00B67EEA"/>
    <w:rsid w:val="00B83F3B"/>
    <w:rsid w:val="00B94C60"/>
    <w:rsid w:val="00BA2A44"/>
    <w:rsid w:val="00BC24D9"/>
    <w:rsid w:val="00BD00A2"/>
    <w:rsid w:val="00BE7F2F"/>
    <w:rsid w:val="00BF6E83"/>
    <w:rsid w:val="00C00A34"/>
    <w:rsid w:val="00C025BB"/>
    <w:rsid w:val="00C1057D"/>
    <w:rsid w:val="00C16504"/>
    <w:rsid w:val="00C20112"/>
    <w:rsid w:val="00C22D11"/>
    <w:rsid w:val="00C51AD8"/>
    <w:rsid w:val="00C54F16"/>
    <w:rsid w:val="00C60FE2"/>
    <w:rsid w:val="00C6689F"/>
    <w:rsid w:val="00C7002C"/>
    <w:rsid w:val="00C800B7"/>
    <w:rsid w:val="00C829A3"/>
    <w:rsid w:val="00CC4C3F"/>
    <w:rsid w:val="00CD6B5D"/>
    <w:rsid w:val="00CD7AE7"/>
    <w:rsid w:val="00CE0A06"/>
    <w:rsid w:val="00CF45E5"/>
    <w:rsid w:val="00D01BFF"/>
    <w:rsid w:val="00D05D5A"/>
    <w:rsid w:val="00D0632D"/>
    <w:rsid w:val="00D1310C"/>
    <w:rsid w:val="00D14542"/>
    <w:rsid w:val="00D26AAD"/>
    <w:rsid w:val="00D609C2"/>
    <w:rsid w:val="00D86A78"/>
    <w:rsid w:val="00DA2986"/>
    <w:rsid w:val="00DA3C56"/>
    <w:rsid w:val="00DA68F2"/>
    <w:rsid w:val="00DC18CC"/>
    <w:rsid w:val="00DC2EF1"/>
    <w:rsid w:val="00DC48E9"/>
    <w:rsid w:val="00DE29F5"/>
    <w:rsid w:val="00DE2FA8"/>
    <w:rsid w:val="00E04205"/>
    <w:rsid w:val="00E04560"/>
    <w:rsid w:val="00E4293F"/>
    <w:rsid w:val="00E51505"/>
    <w:rsid w:val="00E57007"/>
    <w:rsid w:val="00E61E89"/>
    <w:rsid w:val="00E65042"/>
    <w:rsid w:val="00E71AFD"/>
    <w:rsid w:val="00E71E68"/>
    <w:rsid w:val="00E72840"/>
    <w:rsid w:val="00E82EFF"/>
    <w:rsid w:val="00E91EEC"/>
    <w:rsid w:val="00EA47F7"/>
    <w:rsid w:val="00EC45AF"/>
    <w:rsid w:val="00EC68E2"/>
    <w:rsid w:val="00ED2A8D"/>
    <w:rsid w:val="00ED6127"/>
    <w:rsid w:val="00EE29DA"/>
    <w:rsid w:val="00EE2B7C"/>
    <w:rsid w:val="00EE6684"/>
    <w:rsid w:val="00F03178"/>
    <w:rsid w:val="00F0679E"/>
    <w:rsid w:val="00F2139A"/>
    <w:rsid w:val="00F27C65"/>
    <w:rsid w:val="00F306AE"/>
    <w:rsid w:val="00F4688B"/>
    <w:rsid w:val="00F52394"/>
    <w:rsid w:val="00F553D4"/>
    <w:rsid w:val="00F56E98"/>
    <w:rsid w:val="00F6081E"/>
    <w:rsid w:val="00F64077"/>
    <w:rsid w:val="00F708C5"/>
    <w:rsid w:val="00F7547A"/>
    <w:rsid w:val="00F76C97"/>
    <w:rsid w:val="00F77CE0"/>
    <w:rsid w:val="00F904F4"/>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B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unhideWhenUsed/>
    <w:qFormat/>
    <w:rsid w:val="0038763B"/>
    <w:pPr>
      <w:widowControl w:val="0"/>
      <w:overflowPunct/>
      <w:adjustRightInd/>
      <w:ind w:left="400"/>
      <w:textAlignment w:val="auto"/>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unhideWhenUsed/>
    <w:qFormat/>
    <w:rsid w:val="0038763B"/>
    <w:pPr>
      <w:keepNext/>
      <w:keepLines/>
      <w:overflowPunct/>
      <w:autoSpaceDE/>
      <w:autoSpaceDN/>
      <w:adjustRightInd/>
      <w:spacing w:before="40"/>
      <w:jc w:val="both"/>
      <w:textAlignment w:val="auto"/>
      <w:outlineLvl w:val="6"/>
    </w:pPr>
    <w:rPr>
      <w:rFonts w:asciiTheme="majorHAnsi" w:eastAsiaTheme="majorEastAsia" w:hAnsiTheme="majorHAnsi" w:cstheme="majorBidi"/>
      <w:i/>
      <w:iCs/>
      <w:color w:val="243F60"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1"/>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Heading6Char">
    <w:name w:val="Heading 6 Char"/>
    <w:basedOn w:val="DefaultParagraphFont"/>
    <w:link w:val="Heading6"/>
    <w:uiPriority w:val="9"/>
    <w:rsid w:val="0038763B"/>
    <w:rPr>
      <w:rFonts w:ascii="Arial" w:eastAsia="Arial" w:hAnsi="Arial" w:cs="Arial"/>
      <w:b/>
      <w:bCs/>
      <w:sz w:val="24"/>
      <w:szCs w:val="24"/>
      <w:lang w:val="en-US"/>
    </w:rPr>
  </w:style>
  <w:style w:type="character" w:customStyle="1" w:styleId="Heading7Char">
    <w:name w:val="Heading 7 Char"/>
    <w:basedOn w:val="DefaultParagraphFont"/>
    <w:link w:val="Heading7"/>
    <w:uiPriority w:val="9"/>
    <w:rsid w:val="0038763B"/>
    <w:rPr>
      <w:rFonts w:asciiTheme="majorHAnsi" w:eastAsiaTheme="majorEastAsia" w:hAnsiTheme="majorHAnsi" w:cstheme="majorBidi"/>
      <w:i/>
      <w:iCs/>
      <w:color w:val="243F60" w:themeColor="accent1" w:themeShade="7F"/>
      <w:szCs w:val="20"/>
      <w:lang w:val="en-GB"/>
    </w:rPr>
  </w:style>
  <w:style w:type="paragraph" w:styleId="BodyText">
    <w:name w:val="Body Text"/>
    <w:basedOn w:val="Normal"/>
    <w:link w:val="BodyTextChar"/>
    <w:uiPriority w:val="1"/>
    <w:qFormat/>
    <w:rsid w:val="0038763B"/>
    <w:pPr>
      <w:widowControl w:val="0"/>
      <w:overflowPunct/>
      <w:adjustRightInd/>
      <w:textAlignment w:val="auto"/>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8763B"/>
    <w:rPr>
      <w:rFonts w:ascii="Arial" w:eastAsia="Arial" w:hAnsi="Arial" w:cs="Arial"/>
      <w:lang w:val="en-US"/>
    </w:rPr>
  </w:style>
  <w:style w:type="character" w:styleId="CommentReference">
    <w:name w:val="annotation reference"/>
    <w:basedOn w:val="DefaultParagraphFont"/>
    <w:uiPriority w:val="99"/>
    <w:semiHidden/>
    <w:unhideWhenUsed/>
    <w:rsid w:val="00E82EFF"/>
    <w:rPr>
      <w:sz w:val="16"/>
      <w:szCs w:val="16"/>
    </w:rPr>
  </w:style>
  <w:style w:type="paragraph" w:styleId="CommentText">
    <w:name w:val="annotation text"/>
    <w:basedOn w:val="Normal"/>
    <w:link w:val="CommentTextChar"/>
    <w:uiPriority w:val="99"/>
    <w:semiHidden/>
    <w:unhideWhenUsed/>
    <w:rsid w:val="00E82EFF"/>
  </w:style>
  <w:style w:type="character" w:customStyle="1" w:styleId="CommentTextChar">
    <w:name w:val="Comment Text Char"/>
    <w:basedOn w:val="DefaultParagraphFont"/>
    <w:link w:val="CommentText"/>
    <w:uiPriority w:val="99"/>
    <w:semiHidden/>
    <w:rsid w:val="00E82EF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82EFF"/>
    <w:rPr>
      <w:b/>
      <w:bCs/>
    </w:rPr>
  </w:style>
  <w:style w:type="character" w:customStyle="1" w:styleId="CommentSubjectChar">
    <w:name w:val="Comment Subject Char"/>
    <w:basedOn w:val="CommentTextChar"/>
    <w:link w:val="CommentSubject"/>
    <w:uiPriority w:val="99"/>
    <w:semiHidden/>
    <w:rsid w:val="00E82EFF"/>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unhideWhenUsed/>
    <w:qFormat/>
    <w:rsid w:val="0038763B"/>
    <w:pPr>
      <w:widowControl w:val="0"/>
      <w:overflowPunct/>
      <w:adjustRightInd/>
      <w:ind w:left="400"/>
      <w:textAlignment w:val="auto"/>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unhideWhenUsed/>
    <w:qFormat/>
    <w:rsid w:val="0038763B"/>
    <w:pPr>
      <w:keepNext/>
      <w:keepLines/>
      <w:overflowPunct/>
      <w:autoSpaceDE/>
      <w:autoSpaceDN/>
      <w:adjustRightInd/>
      <w:spacing w:before="40"/>
      <w:jc w:val="both"/>
      <w:textAlignment w:val="auto"/>
      <w:outlineLvl w:val="6"/>
    </w:pPr>
    <w:rPr>
      <w:rFonts w:asciiTheme="majorHAnsi" w:eastAsiaTheme="majorEastAsia" w:hAnsiTheme="majorHAnsi" w:cstheme="majorBidi"/>
      <w:i/>
      <w:iCs/>
      <w:color w:val="243F60"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4"/>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1"/>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5"/>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Heading6Char">
    <w:name w:val="Heading 6 Char"/>
    <w:basedOn w:val="DefaultParagraphFont"/>
    <w:link w:val="Heading6"/>
    <w:uiPriority w:val="9"/>
    <w:rsid w:val="0038763B"/>
    <w:rPr>
      <w:rFonts w:ascii="Arial" w:eastAsia="Arial" w:hAnsi="Arial" w:cs="Arial"/>
      <w:b/>
      <w:bCs/>
      <w:sz w:val="24"/>
      <w:szCs w:val="24"/>
      <w:lang w:val="en-US"/>
    </w:rPr>
  </w:style>
  <w:style w:type="character" w:customStyle="1" w:styleId="Heading7Char">
    <w:name w:val="Heading 7 Char"/>
    <w:basedOn w:val="DefaultParagraphFont"/>
    <w:link w:val="Heading7"/>
    <w:uiPriority w:val="9"/>
    <w:rsid w:val="0038763B"/>
    <w:rPr>
      <w:rFonts w:asciiTheme="majorHAnsi" w:eastAsiaTheme="majorEastAsia" w:hAnsiTheme="majorHAnsi" w:cstheme="majorBidi"/>
      <w:i/>
      <w:iCs/>
      <w:color w:val="243F60" w:themeColor="accent1" w:themeShade="7F"/>
      <w:szCs w:val="20"/>
      <w:lang w:val="en-GB"/>
    </w:rPr>
  </w:style>
  <w:style w:type="paragraph" w:styleId="BodyText">
    <w:name w:val="Body Text"/>
    <w:basedOn w:val="Normal"/>
    <w:link w:val="BodyTextChar"/>
    <w:uiPriority w:val="1"/>
    <w:qFormat/>
    <w:rsid w:val="0038763B"/>
    <w:pPr>
      <w:widowControl w:val="0"/>
      <w:overflowPunct/>
      <w:adjustRightInd/>
      <w:textAlignment w:val="auto"/>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8763B"/>
    <w:rPr>
      <w:rFonts w:ascii="Arial" w:eastAsia="Arial" w:hAnsi="Arial" w:cs="Arial"/>
      <w:lang w:val="en-US"/>
    </w:rPr>
  </w:style>
  <w:style w:type="character" w:styleId="CommentReference">
    <w:name w:val="annotation reference"/>
    <w:basedOn w:val="DefaultParagraphFont"/>
    <w:uiPriority w:val="99"/>
    <w:semiHidden/>
    <w:unhideWhenUsed/>
    <w:rsid w:val="00E82EFF"/>
    <w:rPr>
      <w:sz w:val="16"/>
      <w:szCs w:val="16"/>
    </w:rPr>
  </w:style>
  <w:style w:type="paragraph" w:styleId="CommentText">
    <w:name w:val="annotation text"/>
    <w:basedOn w:val="Normal"/>
    <w:link w:val="CommentTextChar"/>
    <w:uiPriority w:val="99"/>
    <w:semiHidden/>
    <w:unhideWhenUsed/>
    <w:rsid w:val="00E82EFF"/>
  </w:style>
  <w:style w:type="character" w:customStyle="1" w:styleId="CommentTextChar">
    <w:name w:val="Comment Text Char"/>
    <w:basedOn w:val="DefaultParagraphFont"/>
    <w:link w:val="CommentText"/>
    <w:uiPriority w:val="99"/>
    <w:semiHidden/>
    <w:rsid w:val="00E82EF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82EFF"/>
    <w:rPr>
      <w:b/>
      <w:bCs/>
    </w:rPr>
  </w:style>
  <w:style w:type="character" w:customStyle="1" w:styleId="CommentSubjectChar">
    <w:name w:val="Comment Subject Char"/>
    <w:basedOn w:val="CommentTextChar"/>
    <w:link w:val="CommentSubject"/>
    <w:uiPriority w:val="99"/>
    <w:semiHidden/>
    <w:rsid w:val="00E82EFF"/>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378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acity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4.xml><?xml version="1.0" encoding="utf-8"?>
<ds:datastoreItem xmlns:ds="http://schemas.openxmlformats.org/officeDocument/2006/customXml" ds:itemID="{65AA013A-B16C-4584-885B-B39FC105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2019-11-06T09:05:00Z</cp:lastPrinted>
  <dcterms:created xsi:type="dcterms:W3CDTF">2019-11-11T14:11:00Z</dcterms:created>
  <dcterms:modified xsi:type="dcterms:W3CDTF">2019-11-11T14:11:00Z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SIP_Label_642679fc-0e6f-4ae9-bf26-e110c030bb10_Enabled">
    <vt:lpwstr>True</vt:lpwstr>
  </property>
  <property fmtid="{D5CDD505-2E9C-101B-9397-08002B2CF9AE}" pid="16" name="MSIP_Label_642679fc-0e6f-4ae9-bf26-e110c030bb10_SiteId">
    <vt:lpwstr>d9dbf65b-a265-4603-a52f-8cee241dfade</vt:lpwstr>
  </property>
  <property fmtid="{D5CDD505-2E9C-101B-9397-08002B2CF9AE}" pid="17" name="MSIP_Label_642679fc-0e6f-4ae9-bf26-e110c030bb10_Owner">
    <vt:lpwstr>David.Gascon@bordnamona.com</vt:lpwstr>
  </property>
  <property fmtid="{D5CDD505-2E9C-101B-9397-08002B2CF9AE}" pid="18" name="MSIP_Label_642679fc-0e6f-4ae9-bf26-e110c030bb10_SetDate">
    <vt:lpwstr>2019-11-06T13:03:48.1900053Z</vt:lpwstr>
  </property>
  <property fmtid="{D5CDD505-2E9C-101B-9397-08002B2CF9AE}" pid="19" name="MSIP_Label_642679fc-0e6f-4ae9-bf26-e110c030bb10_Name">
    <vt:lpwstr>BNM - Internal Business Use</vt:lpwstr>
  </property>
  <property fmtid="{D5CDD505-2E9C-101B-9397-08002B2CF9AE}" pid="20" name="MSIP_Label_642679fc-0e6f-4ae9-bf26-e110c030bb10_Application">
    <vt:lpwstr>Microsoft Azure Information Protection</vt:lpwstr>
  </property>
  <property fmtid="{D5CDD505-2E9C-101B-9397-08002B2CF9AE}" pid="21" name="MSIP_Label_642679fc-0e6f-4ae9-bf26-e110c030bb10_Extended_MSFT_Method">
    <vt:lpwstr>Automatic</vt:lpwstr>
  </property>
  <property fmtid="{D5CDD505-2E9C-101B-9397-08002B2CF9AE}" pid="22" name="MSIP_Label_60abe344-58ae-49d6-a7c8-0494236b1254_Enabled">
    <vt:lpwstr>True</vt:lpwstr>
  </property>
  <property fmtid="{D5CDD505-2E9C-101B-9397-08002B2CF9AE}" pid="23" name="MSIP_Label_60abe344-58ae-49d6-a7c8-0494236b1254_SiteId">
    <vt:lpwstr>d9dbf65b-a265-4603-a52f-8cee241dfade</vt:lpwstr>
  </property>
  <property fmtid="{D5CDD505-2E9C-101B-9397-08002B2CF9AE}" pid="24" name="MSIP_Label_60abe344-58ae-49d6-a7c8-0494236b1254_Owner">
    <vt:lpwstr>David.Gascon@bordnamona.com</vt:lpwstr>
  </property>
  <property fmtid="{D5CDD505-2E9C-101B-9397-08002B2CF9AE}" pid="25" name="MSIP_Label_60abe344-58ae-49d6-a7c8-0494236b1254_SetDate">
    <vt:lpwstr>2019-11-06T13:03:48.1900053Z</vt:lpwstr>
  </property>
  <property fmtid="{D5CDD505-2E9C-101B-9397-08002B2CF9AE}" pid="26" name="MSIP_Label_60abe344-58ae-49d6-a7c8-0494236b1254_Name">
    <vt:lpwstr>IB_Retention - 3 Years (LM)</vt:lpwstr>
  </property>
  <property fmtid="{D5CDD505-2E9C-101B-9397-08002B2CF9AE}" pid="27" name="MSIP_Label_60abe344-58ae-49d6-a7c8-0494236b1254_Application">
    <vt:lpwstr>Microsoft Azure Information Protection</vt:lpwstr>
  </property>
  <property fmtid="{D5CDD505-2E9C-101B-9397-08002B2CF9AE}" pid="28" name="MSIP_Label_60abe344-58ae-49d6-a7c8-0494236b1254_Parent">
    <vt:lpwstr>642679fc-0e6f-4ae9-bf26-e110c030bb10</vt:lpwstr>
  </property>
  <property fmtid="{D5CDD505-2E9C-101B-9397-08002B2CF9AE}" pid="29" name="MSIP_Label_60abe344-58ae-49d6-a7c8-0494236b1254_Extended_MSFT_Method">
    <vt:lpwstr>Automatic</vt:lpwstr>
  </property>
  <property fmtid="{D5CDD505-2E9C-101B-9397-08002B2CF9AE}" pid="30" name="MSIP_Label_747e95ac-4c94-4f16-aab4-79ea41bdbc3d_Enabled">
    <vt:lpwstr>True</vt:lpwstr>
  </property>
  <property fmtid="{D5CDD505-2E9C-101B-9397-08002B2CF9AE}" pid="31" name="MSIP_Label_747e95ac-4c94-4f16-aab4-79ea41bdbc3d_SiteId">
    <vt:lpwstr>05afcc84-2ec9-4cd5-b117-5fadcd7b338a</vt:lpwstr>
  </property>
  <property fmtid="{D5CDD505-2E9C-101B-9397-08002B2CF9AE}" pid="32" name="MSIP_Label_747e95ac-4c94-4f16-aab4-79ea41bdbc3d_Owner">
    <vt:lpwstr>c.daly@tynaghenergy.ie</vt:lpwstr>
  </property>
  <property fmtid="{D5CDD505-2E9C-101B-9397-08002B2CF9AE}" pid="33" name="MSIP_Label_747e95ac-4c94-4f16-aab4-79ea41bdbc3d_SetDate">
    <vt:lpwstr>2019-10-24T21:11:04.4046999Z</vt:lpwstr>
  </property>
  <property fmtid="{D5CDD505-2E9C-101B-9397-08002B2CF9AE}" pid="34" name="MSIP_Label_747e95ac-4c94-4f16-aab4-79ea41bdbc3d_Name">
    <vt:lpwstr>Confidential</vt:lpwstr>
  </property>
  <property fmtid="{D5CDD505-2E9C-101B-9397-08002B2CF9AE}" pid="35" name="MSIP_Label_747e95ac-4c94-4f16-aab4-79ea41bdbc3d_Application">
    <vt:lpwstr>Microsoft Azure Information Protection</vt:lpwstr>
  </property>
  <property fmtid="{D5CDD505-2E9C-101B-9397-08002B2CF9AE}" pid="36" name="MSIP_Label_747e95ac-4c94-4f16-aab4-79ea41bdbc3d_Extended_MSFT_Method">
    <vt:lpwstr>Manual</vt:lpwstr>
  </property>
  <property fmtid="{D5CDD505-2E9C-101B-9397-08002B2CF9AE}" pid="37" name="Sensitivity">
    <vt:lpwstr>BNM - Internal Business Use IB_Retention - 3 Years (LM) Confidential</vt:lpwstr>
  </property>
</Properties>
</file>