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6BF5E" w14:textId="5C8D0F80" w:rsidR="00F811CB" w:rsidRDefault="00F811CB" w:rsidP="00F811CB">
      <w:pPr>
        <w:pStyle w:val="Heading6"/>
        <w:tabs>
          <w:tab w:val="left" w:pos="993"/>
        </w:tabs>
        <w:ind w:left="0"/>
        <w:jc w:val="center"/>
        <w:rPr>
          <w:sz w:val="21"/>
        </w:rPr>
      </w:pPr>
      <w:bookmarkStart w:id="0" w:name="_GoBack"/>
      <w:bookmarkEnd w:id="0"/>
      <w:r w:rsidRPr="00B328CD">
        <w:rPr>
          <w:rFonts w:cstheme="minorHAnsi"/>
          <w:b w:val="0"/>
          <w:bCs w:val="0"/>
          <w:noProof/>
          <w:lang w:val="en-IE" w:eastAsia="en-IE"/>
        </w:rPr>
        <w:drawing>
          <wp:inline distT="0" distB="0" distL="0" distR="0" wp14:anchorId="2A989531" wp14:editId="3AA03DA9">
            <wp:extent cx="2114550" cy="1054735"/>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054735"/>
                    </a:xfrm>
                    <a:prstGeom prst="rect">
                      <a:avLst/>
                    </a:prstGeom>
                    <a:noFill/>
                  </pic:spPr>
                </pic:pic>
              </a:graphicData>
            </a:graphic>
          </wp:inline>
        </w:drawing>
      </w:r>
    </w:p>
    <w:p w14:paraId="73B70BBA" w14:textId="77777777" w:rsidR="00F811CB" w:rsidRDefault="00F811CB" w:rsidP="00F811CB">
      <w:pPr>
        <w:overflowPunct/>
        <w:spacing w:after="200" w:line="300" w:lineRule="auto"/>
        <w:ind w:firstLine="720"/>
        <w:rPr>
          <w:rFonts w:asciiTheme="minorHAnsi" w:eastAsiaTheme="minorEastAsia" w:hAnsiTheme="minorHAnsi" w:cstheme="minorHAnsi"/>
          <w:b/>
          <w:bCs/>
          <w:sz w:val="40"/>
          <w:szCs w:val="40"/>
          <w:lang w:val="en-GB" w:eastAsia="en-IE"/>
        </w:rPr>
      </w:pPr>
    </w:p>
    <w:p w14:paraId="0D2E3260" w14:textId="05E03D90"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Single Electricity Market</w:t>
      </w:r>
    </w:p>
    <w:p w14:paraId="404F41B3" w14:textId="77777777"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(SEM)</w:t>
      </w:r>
    </w:p>
    <w:p w14:paraId="3B984C0A" w14:textId="77777777"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p>
    <w:p w14:paraId="5CA9F792" w14:textId="77777777"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p>
    <w:p w14:paraId="7F8B7101" w14:textId="77777777"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Capacity Market Code Working Group 12</w:t>
      </w:r>
    </w:p>
    <w:p w14:paraId="237B32D2" w14:textId="77777777"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 xml:space="preserve">CMC_09_19, CMC_07_20 and CMC_08_20 </w:t>
      </w:r>
    </w:p>
    <w:p w14:paraId="0187BD5E" w14:textId="4189D382" w:rsidR="00BC7D7A" w:rsidRDefault="00BC7D7A" w:rsidP="00DA1EC2">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Decision Paper</w:t>
      </w:r>
      <w:r w:rsidR="000A727B">
        <w:rPr>
          <w:rFonts w:asciiTheme="minorHAnsi" w:eastAsiaTheme="minorEastAsia" w:hAnsiTheme="minorHAnsi" w:cstheme="minorHAnsi"/>
          <w:b/>
          <w:bCs/>
          <w:sz w:val="40"/>
          <w:szCs w:val="40"/>
          <w:lang w:val="en-GB" w:eastAsia="en-IE"/>
        </w:rPr>
        <w:t xml:space="preserve"> </w:t>
      </w:r>
      <w:r w:rsidR="00F811CB" w:rsidRPr="00F811CB">
        <w:rPr>
          <w:rFonts w:asciiTheme="minorHAnsi" w:eastAsiaTheme="minorEastAsia" w:hAnsiTheme="minorHAnsi" w:cstheme="minorHAnsi"/>
          <w:b/>
          <w:bCs/>
          <w:sz w:val="40"/>
          <w:szCs w:val="40"/>
          <w:lang w:val="en-GB" w:eastAsia="en-IE"/>
        </w:rPr>
        <w:t>Appendix C</w:t>
      </w:r>
      <w:r>
        <w:rPr>
          <w:rFonts w:asciiTheme="minorHAnsi" w:eastAsiaTheme="minorEastAsia" w:hAnsiTheme="minorHAnsi" w:cstheme="minorHAnsi"/>
          <w:b/>
          <w:bCs/>
          <w:sz w:val="40"/>
          <w:szCs w:val="40"/>
          <w:lang w:val="en-GB" w:eastAsia="en-IE"/>
        </w:rPr>
        <w:t xml:space="preserve"> – </w:t>
      </w:r>
    </w:p>
    <w:p w14:paraId="2613D3B0" w14:textId="4F787998" w:rsidR="00F811CB" w:rsidRPr="00F811CB" w:rsidRDefault="00BC7D7A" w:rsidP="000A727B">
      <w:pPr>
        <w:overflowPunct/>
        <w:spacing w:after="200" w:line="300" w:lineRule="auto"/>
        <w:jc w:val="center"/>
        <w:rPr>
          <w:rFonts w:asciiTheme="minorHAnsi" w:eastAsiaTheme="minorEastAsia" w:hAnsiTheme="minorHAnsi" w:cstheme="minorHAnsi"/>
          <w:b/>
          <w:bCs/>
          <w:sz w:val="40"/>
          <w:szCs w:val="40"/>
          <w:lang w:val="en-GB" w:eastAsia="en-IE"/>
        </w:rPr>
      </w:pPr>
      <w:r>
        <w:rPr>
          <w:rFonts w:asciiTheme="minorHAnsi" w:eastAsiaTheme="minorEastAsia" w:hAnsiTheme="minorHAnsi" w:cstheme="minorHAnsi"/>
          <w:b/>
          <w:bCs/>
          <w:sz w:val="40"/>
          <w:szCs w:val="40"/>
          <w:lang w:val="en-GB" w:eastAsia="en-IE"/>
        </w:rPr>
        <w:t xml:space="preserve">CMC_09_19 </w:t>
      </w:r>
      <w:r w:rsidRPr="00BC7D7A">
        <w:rPr>
          <w:rFonts w:asciiTheme="minorHAnsi" w:eastAsiaTheme="minorEastAsia" w:hAnsiTheme="minorHAnsi" w:cstheme="minorHAnsi"/>
          <w:b/>
          <w:bCs/>
          <w:sz w:val="40"/>
          <w:szCs w:val="40"/>
          <w:lang w:val="en-GB" w:eastAsia="en-IE"/>
        </w:rPr>
        <w:t>Approved Modification Text Drafting</w:t>
      </w:r>
    </w:p>
    <w:p w14:paraId="61ACCD4B" w14:textId="77777777"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p>
    <w:p w14:paraId="3D4CA597" w14:textId="77777777"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p>
    <w:p w14:paraId="4079688C" w14:textId="63844F8D"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SEM-20-</w:t>
      </w:r>
      <w:r w:rsidR="006B3E60">
        <w:rPr>
          <w:rFonts w:asciiTheme="minorHAnsi" w:eastAsiaTheme="minorEastAsia" w:hAnsiTheme="minorHAnsi" w:cstheme="minorHAnsi"/>
          <w:b/>
          <w:bCs/>
          <w:sz w:val="40"/>
          <w:szCs w:val="40"/>
          <w:lang w:val="en-GB" w:eastAsia="en-IE"/>
        </w:rPr>
        <w:t>064</w:t>
      </w:r>
      <w:r w:rsidRPr="00F811CB">
        <w:rPr>
          <w:rFonts w:asciiTheme="minorHAnsi" w:eastAsiaTheme="minorEastAsia" w:hAnsiTheme="minorHAnsi" w:cstheme="minorHAnsi"/>
          <w:b/>
          <w:bCs/>
          <w:sz w:val="40"/>
          <w:szCs w:val="40"/>
          <w:lang w:val="en-GB" w:eastAsia="en-IE"/>
        </w:rPr>
        <w:t>(c)</w:t>
      </w:r>
    </w:p>
    <w:p w14:paraId="0CACA2C5" w14:textId="77777777" w:rsidR="00F811CB" w:rsidRPr="00F811CB" w:rsidRDefault="00F811CB" w:rsidP="00F811CB">
      <w:pPr>
        <w:overflowPunct/>
        <w:spacing w:after="200" w:line="300" w:lineRule="auto"/>
        <w:jc w:val="center"/>
        <w:rPr>
          <w:rFonts w:asciiTheme="minorHAnsi" w:eastAsiaTheme="minorEastAsia" w:hAnsiTheme="minorHAnsi" w:cstheme="minorHAnsi"/>
          <w:b/>
          <w:bCs/>
          <w:sz w:val="40"/>
          <w:szCs w:val="40"/>
          <w:lang w:val="en-GB" w:eastAsia="en-IE"/>
        </w:rPr>
      </w:pPr>
    </w:p>
    <w:p w14:paraId="44097119" w14:textId="5BDD89C5" w:rsidR="00F811CB" w:rsidRDefault="00F811CB" w:rsidP="00BC7D7A">
      <w:pPr>
        <w:overflowPunct/>
        <w:spacing w:after="200" w:line="300" w:lineRule="auto"/>
        <w:jc w:val="center"/>
        <w:rPr>
          <w:rFonts w:asciiTheme="minorHAnsi" w:eastAsiaTheme="minorEastAsia" w:hAnsiTheme="minorHAnsi" w:cstheme="minorHAnsi"/>
          <w:b/>
          <w:bCs/>
          <w:sz w:val="40"/>
          <w:szCs w:val="40"/>
          <w:lang w:val="en-GB" w:eastAsia="en-IE"/>
        </w:rPr>
      </w:pPr>
      <w:r w:rsidRPr="00F811CB">
        <w:rPr>
          <w:rFonts w:asciiTheme="minorHAnsi" w:eastAsiaTheme="minorEastAsia" w:hAnsiTheme="minorHAnsi" w:cstheme="minorHAnsi"/>
          <w:b/>
          <w:bCs/>
          <w:sz w:val="40"/>
          <w:szCs w:val="40"/>
          <w:lang w:val="en-GB" w:eastAsia="en-IE"/>
        </w:rPr>
        <w:t>18 September 2020</w:t>
      </w:r>
    </w:p>
    <w:p w14:paraId="5F840A00" w14:textId="77777777" w:rsidR="00DA1EC2" w:rsidRPr="00BC7D7A" w:rsidRDefault="00DA1EC2" w:rsidP="00BC7D7A">
      <w:pPr>
        <w:overflowPunct/>
        <w:spacing w:after="200" w:line="300" w:lineRule="auto"/>
        <w:jc w:val="center"/>
        <w:rPr>
          <w:rFonts w:asciiTheme="minorHAnsi" w:eastAsiaTheme="minorEastAsia" w:hAnsiTheme="minorHAnsi" w:cstheme="minorHAnsi"/>
          <w:b/>
          <w:bCs/>
          <w:sz w:val="40"/>
          <w:szCs w:val="40"/>
          <w:lang w:val="en-GB" w:eastAsia="en-IE"/>
        </w:rPr>
      </w:pPr>
    </w:p>
    <w:p w14:paraId="66875B84" w14:textId="4DA86113" w:rsidR="00CD7E0F" w:rsidRPr="00F811CB" w:rsidRDefault="00CD7E0F" w:rsidP="00C6697A">
      <w:pPr>
        <w:pStyle w:val="Heading6"/>
        <w:tabs>
          <w:tab w:val="left" w:pos="993"/>
        </w:tabs>
        <w:ind w:left="0"/>
        <w:rPr>
          <w:rFonts w:asciiTheme="minorHAnsi" w:hAnsiTheme="minorHAnsi" w:cstheme="minorHAnsi"/>
          <w:sz w:val="22"/>
          <w:szCs w:val="22"/>
        </w:rPr>
      </w:pPr>
      <w:r w:rsidRPr="00F811CB">
        <w:rPr>
          <w:rFonts w:asciiTheme="minorHAnsi" w:hAnsiTheme="minorHAnsi" w:cstheme="minorHAnsi"/>
          <w:sz w:val="22"/>
          <w:szCs w:val="22"/>
        </w:rPr>
        <w:lastRenderedPageBreak/>
        <w:t>M.11</w:t>
      </w:r>
      <w:r w:rsidRPr="00F811CB">
        <w:rPr>
          <w:rFonts w:asciiTheme="minorHAnsi" w:hAnsiTheme="minorHAnsi" w:cstheme="minorHAnsi"/>
          <w:sz w:val="22"/>
          <w:szCs w:val="22"/>
        </w:rPr>
        <w:tab/>
        <w:t>Alternative Secondary Trading Arrangements</w:t>
      </w:r>
    </w:p>
    <w:p w14:paraId="71CEC8FE" w14:textId="77777777" w:rsidR="00CD7E0F" w:rsidRPr="00F811CB" w:rsidRDefault="00CD7E0F" w:rsidP="00CD7E0F">
      <w:pPr>
        <w:pStyle w:val="Heading6"/>
        <w:tabs>
          <w:tab w:val="left" w:pos="1716"/>
        </w:tabs>
        <w:rPr>
          <w:rFonts w:asciiTheme="minorHAnsi" w:hAnsiTheme="minorHAnsi" w:cstheme="minorHAnsi"/>
          <w:sz w:val="22"/>
          <w:szCs w:val="22"/>
        </w:rPr>
      </w:pPr>
    </w:p>
    <w:p w14:paraId="6977A79D" w14:textId="48902B8A" w:rsidR="00CD7E0F" w:rsidRPr="00F811CB" w:rsidRDefault="00CD7E0F" w:rsidP="00C6697A">
      <w:pPr>
        <w:pStyle w:val="BodyText"/>
        <w:ind w:left="993" w:hanging="993"/>
        <w:rPr>
          <w:rFonts w:asciiTheme="minorHAnsi" w:hAnsiTheme="minorHAnsi" w:cstheme="minorHAnsi"/>
          <w:color w:val="8496B0" w:themeColor="text2" w:themeTint="99"/>
        </w:rPr>
      </w:pPr>
      <w:r w:rsidRPr="00F811CB">
        <w:rPr>
          <w:rFonts w:asciiTheme="minorHAnsi" w:hAnsiTheme="minorHAnsi" w:cstheme="minorHAnsi"/>
        </w:rPr>
        <w:t>M.11.1.1</w:t>
      </w:r>
      <w:r w:rsidRPr="00F811CB">
        <w:rPr>
          <w:rFonts w:asciiTheme="minorHAnsi" w:hAnsiTheme="minorHAnsi" w:cstheme="minorHAnsi"/>
        </w:rPr>
        <w:tab/>
        <w:t>For any date prior to the earlier of the First Secondary Trading Day or such date as the Regulatory Authorities notify that it should no longer apply, this section M.11 will apply.</w:t>
      </w:r>
    </w:p>
    <w:p w14:paraId="054A7782" w14:textId="79638EA7" w:rsidR="00CD7E0F" w:rsidRPr="00F811CB" w:rsidRDefault="00CD7E0F" w:rsidP="00C6697A">
      <w:pPr>
        <w:widowControl w:val="0"/>
        <w:tabs>
          <w:tab w:val="left" w:pos="993"/>
        </w:tabs>
        <w:spacing w:before="118" w:after="240"/>
        <w:ind w:left="1716" w:right="1134" w:hanging="1716"/>
        <w:jc w:val="both"/>
        <w:rPr>
          <w:rFonts w:asciiTheme="minorHAnsi" w:hAnsiTheme="minorHAnsi" w:cstheme="minorHAnsi"/>
          <w:iCs/>
          <w:sz w:val="22"/>
          <w:szCs w:val="22"/>
        </w:rPr>
      </w:pPr>
      <w:bookmarkStart w:id="1" w:name="_bookmark269"/>
      <w:bookmarkEnd w:id="1"/>
      <w:r w:rsidRPr="00F811CB">
        <w:rPr>
          <w:rFonts w:asciiTheme="minorHAnsi" w:hAnsiTheme="minorHAnsi" w:cstheme="minorHAnsi"/>
          <w:iCs/>
          <w:sz w:val="22"/>
          <w:szCs w:val="22"/>
        </w:rPr>
        <w:t>M.11.2</w:t>
      </w:r>
      <w:r w:rsidRPr="00F811CB">
        <w:rPr>
          <w:rFonts w:asciiTheme="minorHAnsi" w:hAnsiTheme="minorHAnsi" w:cstheme="minorHAnsi"/>
          <w:iCs/>
          <w:sz w:val="22"/>
          <w:szCs w:val="22"/>
        </w:rPr>
        <w:tab/>
      </w:r>
      <w:r w:rsidRPr="00F811CB">
        <w:rPr>
          <w:rFonts w:asciiTheme="minorHAnsi" w:hAnsiTheme="minorHAnsi" w:cstheme="minorHAnsi"/>
          <w:b/>
          <w:bCs/>
          <w:iCs/>
          <w:sz w:val="22"/>
          <w:szCs w:val="22"/>
        </w:rPr>
        <w:t xml:space="preserve">Alternative </w:t>
      </w:r>
      <w:r w:rsidRPr="00F811CB">
        <w:rPr>
          <w:rFonts w:asciiTheme="minorHAnsi" w:eastAsiaTheme="majorEastAsia" w:hAnsiTheme="minorHAnsi" w:cstheme="minorHAnsi"/>
          <w:b/>
          <w:bCs/>
          <w:iCs/>
          <w:sz w:val="22"/>
          <w:szCs w:val="22"/>
          <w:lang w:val="en-GB" w:eastAsia="en-US"/>
        </w:rPr>
        <w:t>Secondary</w:t>
      </w:r>
      <w:r w:rsidRPr="00F811CB">
        <w:rPr>
          <w:rFonts w:asciiTheme="minorHAnsi" w:eastAsiaTheme="majorEastAsia" w:hAnsiTheme="minorHAnsi" w:cstheme="minorHAnsi"/>
          <w:b/>
          <w:bCs/>
          <w:iCs/>
          <w:sz w:val="22"/>
          <w:szCs w:val="22"/>
          <w:lang w:val="en-GB"/>
        </w:rPr>
        <w:t xml:space="preserve"> Trade Notification</w:t>
      </w:r>
    </w:p>
    <w:p w14:paraId="5AF1B62F" w14:textId="650A511F" w:rsidR="00D86EC4" w:rsidRPr="00F811CB" w:rsidRDefault="00D86EC4" w:rsidP="003E45E7">
      <w:pPr>
        <w:widowControl w:val="0"/>
        <w:tabs>
          <w:tab w:val="left" w:pos="993"/>
        </w:tabs>
        <w:spacing w:before="118"/>
        <w:ind w:left="993" w:right="1134" w:hanging="993"/>
        <w:jc w:val="both"/>
        <w:rPr>
          <w:rFonts w:asciiTheme="minorHAnsi" w:hAnsiTheme="minorHAnsi" w:cstheme="minorHAnsi"/>
          <w:sz w:val="22"/>
          <w:szCs w:val="22"/>
        </w:rPr>
      </w:pPr>
      <w:r w:rsidRPr="00F811CB">
        <w:rPr>
          <w:rFonts w:asciiTheme="minorHAnsi" w:hAnsiTheme="minorHAnsi" w:cstheme="minorHAnsi"/>
          <w:sz w:val="22"/>
          <w:szCs w:val="22"/>
        </w:rPr>
        <w:t>M.11.2.1</w:t>
      </w:r>
      <w:r w:rsidRPr="00F811CB">
        <w:rPr>
          <w:rFonts w:asciiTheme="minorHAnsi" w:hAnsiTheme="minorHAnsi" w:cstheme="minorHAnsi"/>
          <w:sz w:val="22"/>
          <w:szCs w:val="22"/>
        </w:rPr>
        <w:tab/>
      </w:r>
      <w:r w:rsidR="0025742E" w:rsidRPr="00F811CB">
        <w:rPr>
          <w:rFonts w:asciiTheme="minorHAnsi" w:hAnsiTheme="minorHAnsi" w:cstheme="minorHAnsi"/>
          <w:sz w:val="22"/>
          <w:szCs w:val="22"/>
        </w:rPr>
        <w:t>The buyer of a Secondary Trade (the “</w:t>
      </w:r>
      <w:r w:rsidR="0025742E" w:rsidRPr="00F811CB">
        <w:rPr>
          <w:rFonts w:asciiTheme="minorHAnsi" w:hAnsiTheme="minorHAnsi" w:cstheme="minorHAnsi"/>
          <w:b/>
          <w:bCs/>
          <w:sz w:val="22"/>
          <w:szCs w:val="22"/>
        </w:rPr>
        <w:t>Buyer</w:t>
      </w:r>
      <w:r w:rsidR="0025742E" w:rsidRPr="00F811CB">
        <w:rPr>
          <w:rFonts w:asciiTheme="minorHAnsi" w:hAnsiTheme="minorHAnsi" w:cstheme="minorHAnsi"/>
          <w:sz w:val="22"/>
          <w:szCs w:val="22"/>
        </w:rPr>
        <w:t>”) is effectively offsetting the capacity it has "sold" previously, and the seller of a Secondary Trade (the “</w:t>
      </w:r>
      <w:r w:rsidR="0025742E" w:rsidRPr="00F811CB">
        <w:rPr>
          <w:rFonts w:asciiTheme="minorHAnsi" w:hAnsiTheme="minorHAnsi" w:cstheme="minorHAnsi"/>
          <w:b/>
          <w:bCs/>
          <w:sz w:val="22"/>
          <w:szCs w:val="22"/>
        </w:rPr>
        <w:t>Seller</w:t>
      </w:r>
      <w:r w:rsidR="0025742E" w:rsidRPr="00F811CB">
        <w:rPr>
          <w:rFonts w:asciiTheme="minorHAnsi" w:hAnsiTheme="minorHAnsi" w:cstheme="minorHAnsi"/>
          <w:sz w:val="22"/>
          <w:szCs w:val="22"/>
        </w:rPr>
        <w:t>”) takes on the obligation to provide the capacity traded.</w:t>
      </w:r>
    </w:p>
    <w:p w14:paraId="5864E274" w14:textId="064622C5" w:rsidR="00CD7E0F" w:rsidRPr="00F811CB" w:rsidRDefault="00CD7E0F" w:rsidP="003E45E7">
      <w:pPr>
        <w:widowControl w:val="0"/>
        <w:tabs>
          <w:tab w:val="left" w:pos="993"/>
        </w:tabs>
        <w:spacing w:before="118"/>
        <w:ind w:left="993" w:right="1134" w:hanging="993"/>
        <w:jc w:val="both"/>
        <w:rPr>
          <w:rFonts w:asciiTheme="minorHAnsi" w:hAnsiTheme="minorHAnsi" w:cstheme="minorHAnsi"/>
          <w:sz w:val="22"/>
          <w:szCs w:val="22"/>
        </w:rPr>
      </w:pPr>
      <w:r w:rsidRPr="00F811CB">
        <w:rPr>
          <w:rFonts w:asciiTheme="minorHAnsi" w:hAnsiTheme="minorHAnsi" w:cstheme="minorHAnsi"/>
          <w:sz w:val="22"/>
          <w:szCs w:val="22"/>
        </w:rPr>
        <w:t>M.1</w:t>
      </w:r>
      <w:r w:rsidR="00193693" w:rsidRPr="00F811CB">
        <w:rPr>
          <w:rFonts w:asciiTheme="minorHAnsi" w:hAnsiTheme="minorHAnsi" w:cstheme="minorHAnsi"/>
          <w:sz w:val="22"/>
          <w:szCs w:val="22"/>
        </w:rPr>
        <w:t>1</w:t>
      </w:r>
      <w:r w:rsidRPr="00F811CB">
        <w:rPr>
          <w:rFonts w:asciiTheme="minorHAnsi" w:hAnsiTheme="minorHAnsi" w:cstheme="minorHAnsi"/>
          <w:sz w:val="22"/>
          <w:szCs w:val="22"/>
        </w:rPr>
        <w:t>.2.</w:t>
      </w:r>
      <w:r w:rsidR="00EE7BA1" w:rsidRPr="00F811CB">
        <w:rPr>
          <w:rFonts w:asciiTheme="minorHAnsi" w:hAnsiTheme="minorHAnsi" w:cstheme="minorHAnsi"/>
          <w:sz w:val="22"/>
          <w:szCs w:val="22"/>
        </w:rPr>
        <w:t>2</w:t>
      </w:r>
      <w:r w:rsidRPr="00F811CB">
        <w:rPr>
          <w:rFonts w:asciiTheme="minorHAnsi" w:hAnsiTheme="minorHAnsi" w:cstheme="minorHAnsi"/>
          <w:sz w:val="22"/>
          <w:szCs w:val="22"/>
        </w:rPr>
        <w:tab/>
        <w:t xml:space="preserve">A </w:t>
      </w:r>
      <w:r w:rsidR="00F6414D" w:rsidRPr="00F811CB">
        <w:rPr>
          <w:rFonts w:asciiTheme="minorHAnsi" w:hAnsiTheme="minorHAnsi" w:cstheme="minorHAnsi"/>
          <w:sz w:val="22"/>
          <w:szCs w:val="22"/>
        </w:rPr>
        <w:t>P</w:t>
      </w:r>
      <w:r w:rsidRPr="00F811CB">
        <w:rPr>
          <w:rFonts w:asciiTheme="minorHAnsi" w:hAnsiTheme="minorHAnsi" w:cstheme="minorHAnsi"/>
          <w:sz w:val="22"/>
          <w:szCs w:val="22"/>
        </w:rPr>
        <w:t>articipant may submit to the System Operators a written notice (called an “</w:t>
      </w:r>
      <w:r w:rsidRPr="00F811CB">
        <w:rPr>
          <w:rFonts w:asciiTheme="minorHAnsi" w:hAnsiTheme="minorHAnsi" w:cstheme="minorHAnsi"/>
          <w:b/>
          <w:bCs/>
          <w:sz w:val="22"/>
          <w:szCs w:val="22"/>
        </w:rPr>
        <w:t>Alternative Secondary Trade Notification</w:t>
      </w:r>
      <w:r w:rsidRPr="00F811CB">
        <w:rPr>
          <w:rFonts w:asciiTheme="minorHAnsi" w:hAnsiTheme="minorHAnsi" w:cstheme="minorHAnsi"/>
          <w:sz w:val="22"/>
          <w:szCs w:val="22"/>
        </w:rPr>
        <w:t>”</w:t>
      </w:r>
      <w:r w:rsidR="00193693" w:rsidRPr="00F811CB">
        <w:rPr>
          <w:rFonts w:asciiTheme="minorHAnsi" w:hAnsiTheme="minorHAnsi" w:cstheme="minorHAnsi"/>
          <w:sz w:val="22"/>
          <w:szCs w:val="22"/>
        </w:rPr>
        <w:t>)</w:t>
      </w:r>
      <w:r w:rsidRPr="00F811CB">
        <w:rPr>
          <w:rFonts w:asciiTheme="minorHAnsi" w:hAnsiTheme="minorHAnsi" w:cstheme="minorHAnsi"/>
          <w:sz w:val="22"/>
          <w:szCs w:val="22"/>
        </w:rPr>
        <w:t xml:space="preserve"> </w:t>
      </w:r>
      <w:r w:rsidR="00AC2E66" w:rsidRPr="00F811CB">
        <w:rPr>
          <w:rFonts w:asciiTheme="minorHAnsi" w:hAnsiTheme="minorHAnsi" w:cstheme="minorHAnsi"/>
          <w:sz w:val="22"/>
          <w:szCs w:val="22"/>
        </w:rPr>
        <w:t xml:space="preserve">in respect of a proposed Secondary Trade </w:t>
      </w:r>
      <w:r w:rsidRPr="00F811CB">
        <w:rPr>
          <w:rFonts w:asciiTheme="minorHAnsi" w:hAnsiTheme="minorHAnsi" w:cstheme="minorHAnsi"/>
          <w:sz w:val="22"/>
          <w:szCs w:val="22"/>
        </w:rPr>
        <w:t>specifying</w:t>
      </w:r>
      <w:r w:rsidR="00193693" w:rsidRPr="00F811CB">
        <w:rPr>
          <w:rFonts w:asciiTheme="minorHAnsi" w:hAnsiTheme="minorHAnsi" w:cstheme="minorHAnsi"/>
          <w:sz w:val="22"/>
          <w:szCs w:val="22"/>
        </w:rPr>
        <w:t>:</w:t>
      </w:r>
    </w:p>
    <w:p w14:paraId="31505994" w14:textId="49D60F25" w:rsidR="00CD7E0F" w:rsidRPr="00F811CB" w:rsidRDefault="00193693" w:rsidP="003E45E7">
      <w:pPr>
        <w:pStyle w:val="ListParagraph"/>
        <w:widowControl w:val="0"/>
        <w:numPr>
          <w:ilvl w:val="4"/>
          <w:numId w:val="1"/>
        </w:numPr>
        <w:overflowPunct/>
        <w:adjustRightInd/>
        <w:spacing w:before="121"/>
        <w:ind w:left="1560" w:hanging="567"/>
        <w:rPr>
          <w:rFonts w:asciiTheme="minorHAnsi" w:hAnsiTheme="minorHAnsi" w:cstheme="minorHAnsi"/>
          <w:sz w:val="22"/>
          <w:szCs w:val="22"/>
        </w:rPr>
      </w:pPr>
      <w:r w:rsidRPr="00F811CB">
        <w:rPr>
          <w:rFonts w:asciiTheme="minorHAnsi" w:hAnsiTheme="minorHAnsi" w:cstheme="minorHAnsi"/>
          <w:sz w:val="22"/>
          <w:szCs w:val="22"/>
        </w:rPr>
        <w:t xml:space="preserve">The Capacity Market Unit of the Participant </w:t>
      </w:r>
      <w:r w:rsidR="003F253C" w:rsidRPr="00F811CB">
        <w:rPr>
          <w:rFonts w:asciiTheme="minorHAnsi" w:hAnsiTheme="minorHAnsi" w:cstheme="minorHAnsi"/>
          <w:sz w:val="22"/>
          <w:szCs w:val="22"/>
        </w:rPr>
        <w:t>seeking</w:t>
      </w:r>
      <w:r w:rsidRPr="00F811CB">
        <w:rPr>
          <w:rFonts w:asciiTheme="minorHAnsi" w:hAnsiTheme="minorHAnsi" w:cstheme="minorHAnsi"/>
          <w:sz w:val="22"/>
          <w:szCs w:val="22"/>
        </w:rPr>
        <w:t xml:space="preserve"> to purchase MW quantities;</w:t>
      </w:r>
    </w:p>
    <w:p w14:paraId="728949A5" w14:textId="2DF6988E" w:rsidR="00CD7E0F" w:rsidRPr="00F811CB" w:rsidRDefault="00193693" w:rsidP="003E45E7">
      <w:pPr>
        <w:pStyle w:val="ListParagraph"/>
        <w:widowControl w:val="0"/>
        <w:numPr>
          <w:ilvl w:val="4"/>
          <w:numId w:val="1"/>
        </w:numPr>
        <w:overflowPunct/>
        <w:adjustRightInd/>
        <w:spacing w:before="121"/>
        <w:ind w:left="1560" w:hanging="567"/>
        <w:rPr>
          <w:rFonts w:asciiTheme="minorHAnsi" w:hAnsiTheme="minorHAnsi" w:cstheme="minorHAnsi"/>
          <w:sz w:val="22"/>
          <w:szCs w:val="22"/>
        </w:rPr>
      </w:pPr>
      <w:r w:rsidRPr="00F811CB">
        <w:rPr>
          <w:rFonts w:asciiTheme="minorHAnsi" w:hAnsiTheme="minorHAnsi" w:cstheme="minorHAnsi"/>
          <w:sz w:val="22"/>
          <w:szCs w:val="22"/>
        </w:rPr>
        <w:t xml:space="preserve">The Capacity Market Unit of the Participant </w:t>
      </w:r>
      <w:r w:rsidR="003F253C" w:rsidRPr="00F811CB">
        <w:rPr>
          <w:rFonts w:asciiTheme="minorHAnsi" w:hAnsiTheme="minorHAnsi" w:cstheme="minorHAnsi"/>
          <w:sz w:val="22"/>
          <w:szCs w:val="22"/>
        </w:rPr>
        <w:t>seek</w:t>
      </w:r>
      <w:r w:rsidRPr="00F811CB">
        <w:rPr>
          <w:rFonts w:asciiTheme="minorHAnsi" w:hAnsiTheme="minorHAnsi" w:cstheme="minorHAnsi"/>
          <w:sz w:val="22"/>
          <w:szCs w:val="22"/>
        </w:rPr>
        <w:t>ing to sell MW quantities;</w:t>
      </w:r>
    </w:p>
    <w:p w14:paraId="314B6927" w14:textId="66E43135" w:rsidR="00932733" w:rsidRPr="00F811CB" w:rsidRDefault="00932733" w:rsidP="003E45E7">
      <w:pPr>
        <w:pStyle w:val="ListParagraph"/>
        <w:widowControl w:val="0"/>
        <w:numPr>
          <w:ilvl w:val="4"/>
          <w:numId w:val="1"/>
        </w:numPr>
        <w:overflowPunct/>
        <w:adjustRightInd/>
        <w:spacing w:before="121"/>
        <w:ind w:left="1560" w:hanging="567"/>
        <w:rPr>
          <w:rFonts w:asciiTheme="minorHAnsi" w:hAnsiTheme="minorHAnsi" w:cstheme="minorHAnsi"/>
          <w:sz w:val="22"/>
          <w:szCs w:val="22"/>
        </w:rPr>
      </w:pPr>
      <w:r w:rsidRPr="00F811CB">
        <w:rPr>
          <w:rFonts w:asciiTheme="minorHAnsi" w:hAnsiTheme="minorHAnsi" w:cstheme="minorHAnsi"/>
          <w:sz w:val="22"/>
          <w:szCs w:val="22"/>
        </w:rPr>
        <w:t>A Trade Identifier which, in conjunction with the Capacity Market Unit ID of the Buyer and Seller allows the trade to be uniquely identified;</w:t>
      </w:r>
    </w:p>
    <w:p w14:paraId="17DB38B4" w14:textId="2E071DB8" w:rsidR="00CD7E0F" w:rsidRPr="00F811CB" w:rsidRDefault="00193693" w:rsidP="003E45E7">
      <w:pPr>
        <w:pStyle w:val="ListParagraph"/>
        <w:widowControl w:val="0"/>
        <w:numPr>
          <w:ilvl w:val="4"/>
          <w:numId w:val="1"/>
        </w:numPr>
        <w:overflowPunct/>
        <w:adjustRightInd/>
        <w:spacing w:before="121"/>
        <w:ind w:left="1560" w:hanging="567"/>
        <w:rPr>
          <w:rFonts w:asciiTheme="minorHAnsi" w:hAnsiTheme="minorHAnsi" w:cstheme="minorHAnsi"/>
          <w:sz w:val="22"/>
          <w:szCs w:val="22"/>
        </w:rPr>
      </w:pPr>
      <w:r w:rsidRPr="00F811CB">
        <w:rPr>
          <w:rFonts w:asciiTheme="minorHAnsi" w:hAnsiTheme="minorHAnsi" w:cstheme="minorHAnsi"/>
          <w:sz w:val="22"/>
          <w:szCs w:val="22"/>
        </w:rPr>
        <w:t xml:space="preserve">The MW quantity </w:t>
      </w:r>
      <w:r w:rsidR="00291A2D" w:rsidRPr="00F811CB">
        <w:rPr>
          <w:rFonts w:asciiTheme="minorHAnsi" w:hAnsiTheme="minorHAnsi" w:cstheme="minorHAnsi"/>
          <w:sz w:val="22"/>
          <w:szCs w:val="22"/>
        </w:rPr>
        <w:t>of the proposed</w:t>
      </w:r>
      <w:r w:rsidRPr="00F811CB">
        <w:rPr>
          <w:rFonts w:asciiTheme="minorHAnsi" w:hAnsiTheme="minorHAnsi" w:cstheme="minorHAnsi"/>
          <w:sz w:val="22"/>
          <w:szCs w:val="22"/>
        </w:rPr>
        <w:t xml:space="preserve"> trade;</w:t>
      </w:r>
    </w:p>
    <w:p w14:paraId="501B0B4F" w14:textId="407B8753" w:rsidR="00CD7E0F" w:rsidRPr="00F811CB" w:rsidRDefault="00193693" w:rsidP="003E45E7">
      <w:pPr>
        <w:pStyle w:val="ListParagraph"/>
        <w:widowControl w:val="0"/>
        <w:numPr>
          <w:ilvl w:val="4"/>
          <w:numId w:val="1"/>
        </w:numPr>
        <w:overflowPunct/>
        <w:adjustRightInd/>
        <w:spacing w:before="121"/>
        <w:ind w:left="1560" w:hanging="567"/>
        <w:rPr>
          <w:rFonts w:asciiTheme="minorHAnsi" w:hAnsiTheme="minorHAnsi" w:cstheme="minorHAnsi"/>
          <w:sz w:val="22"/>
          <w:szCs w:val="22"/>
        </w:rPr>
      </w:pPr>
      <w:r w:rsidRPr="00F811CB">
        <w:rPr>
          <w:rFonts w:asciiTheme="minorHAnsi" w:hAnsiTheme="minorHAnsi" w:cstheme="minorHAnsi"/>
          <w:sz w:val="22"/>
          <w:szCs w:val="22"/>
        </w:rPr>
        <w:t>The date and time of the start of the proposed trade;</w:t>
      </w:r>
    </w:p>
    <w:p w14:paraId="388DBF33" w14:textId="2660D80F" w:rsidR="00CD7E0F" w:rsidRPr="00F811CB" w:rsidRDefault="00193693" w:rsidP="003E45E7">
      <w:pPr>
        <w:pStyle w:val="ListParagraph"/>
        <w:widowControl w:val="0"/>
        <w:numPr>
          <w:ilvl w:val="4"/>
          <w:numId w:val="1"/>
        </w:numPr>
        <w:overflowPunct/>
        <w:adjustRightInd/>
        <w:spacing w:before="121"/>
        <w:ind w:left="1560" w:hanging="567"/>
        <w:rPr>
          <w:rFonts w:asciiTheme="minorHAnsi" w:hAnsiTheme="minorHAnsi" w:cstheme="minorHAnsi"/>
          <w:sz w:val="22"/>
          <w:szCs w:val="22"/>
        </w:rPr>
      </w:pPr>
      <w:r w:rsidRPr="00F811CB">
        <w:rPr>
          <w:rFonts w:asciiTheme="minorHAnsi" w:hAnsiTheme="minorHAnsi" w:cstheme="minorHAnsi"/>
          <w:sz w:val="22"/>
          <w:szCs w:val="22"/>
        </w:rPr>
        <w:t>The date and time of the end of the proposed trade;</w:t>
      </w:r>
      <w:r w:rsidR="007D164F" w:rsidRPr="00F811CB">
        <w:rPr>
          <w:rFonts w:asciiTheme="minorHAnsi" w:hAnsiTheme="minorHAnsi" w:cstheme="minorHAnsi"/>
          <w:sz w:val="22"/>
          <w:szCs w:val="22"/>
        </w:rPr>
        <w:t xml:space="preserve"> and</w:t>
      </w:r>
    </w:p>
    <w:p w14:paraId="091EB561" w14:textId="27FC062C" w:rsidR="00CD7E0F" w:rsidRPr="00F811CB" w:rsidRDefault="00193693" w:rsidP="003E45E7">
      <w:pPr>
        <w:pStyle w:val="ListParagraph"/>
        <w:widowControl w:val="0"/>
        <w:numPr>
          <w:ilvl w:val="4"/>
          <w:numId w:val="1"/>
        </w:numPr>
        <w:overflowPunct/>
        <w:adjustRightInd/>
        <w:spacing w:before="121"/>
        <w:ind w:left="1560" w:hanging="567"/>
        <w:rPr>
          <w:rFonts w:asciiTheme="minorHAnsi" w:hAnsiTheme="minorHAnsi" w:cstheme="minorHAnsi"/>
          <w:sz w:val="22"/>
          <w:szCs w:val="22"/>
        </w:rPr>
      </w:pPr>
      <w:r w:rsidRPr="00F811CB">
        <w:rPr>
          <w:rFonts w:asciiTheme="minorHAnsi" w:hAnsiTheme="minorHAnsi" w:cstheme="minorHAnsi"/>
          <w:sz w:val="22"/>
          <w:szCs w:val="22"/>
        </w:rPr>
        <w:t>The p</w:t>
      </w:r>
      <w:r w:rsidR="00CD7E0F" w:rsidRPr="00F811CB">
        <w:rPr>
          <w:rFonts w:asciiTheme="minorHAnsi" w:hAnsiTheme="minorHAnsi" w:cstheme="minorHAnsi"/>
          <w:sz w:val="22"/>
          <w:szCs w:val="22"/>
        </w:rPr>
        <w:t>rice</w:t>
      </w:r>
      <w:r w:rsidRPr="00F811CB">
        <w:rPr>
          <w:rFonts w:asciiTheme="minorHAnsi" w:hAnsiTheme="minorHAnsi" w:cstheme="minorHAnsi"/>
          <w:sz w:val="22"/>
          <w:szCs w:val="22"/>
        </w:rPr>
        <w:t xml:space="preserve"> </w:t>
      </w:r>
      <w:r w:rsidR="00760E56" w:rsidRPr="00F811CB">
        <w:rPr>
          <w:rFonts w:asciiTheme="minorHAnsi" w:hAnsiTheme="minorHAnsi" w:cstheme="minorHAnsi"/>
          <w:sz w:val="22"/>
          <w:szCs w:val="22"/>
        </w:rPr>
        <w:t xml:space="preserve">in £/kW per year or €/kW per year </w:t>
      </w:r>
      <w:r w:rsidRPr="00F811CB">
        <w:rPr>
          <w:rFonts w:asciiTheme="minorHAnsi" w:hAnsiTheme="minorHAnsi" w:cstheme="minorHAnsi"/>
          <w:sz w:val="22"/>
          <w:szCs w:val="22"/>
        </w:rPr>
        <w:t>that applie</w:t>
      </w:r>
      <w:r w:rsidR="003F253C" w:rsidRPr="00F811CB">
        <w:rPr>
          <w:rFonts w:asciiTheme="minorHAnsi" w:hAnsiTheme="minorHAnsi" w:cstheme="minorHAnsi"/>
          <w:sz w:val="22"/>
          <w:szCs w:val="22"/>
        </w:rPr>
        <w:t>s</w:t>
      </w:r>
      <w:r w:rsidRPr="00F811CB">
        <w:rPr>
          <w:rFonts w:asciiTheme="minorHAnsi" w:hAnsiTheme="minorHAnsi" w:cstheme="minorHAnsi"/>
          <w:sz w:val="22"/>
          <w:szCs w:val="22"/>
        </w:rPr>
        <w:t xml:space="preserve"> to the </w:t>
      </w:r>
      <w:r w:rsidR="003F253C" w:rsidRPr="00F811CB">
        <w:rPr>
          <w:rFonts w:asciiTheme="minorHAnsi" w:hAnsiTheme="minorHAnsi" w:cstheme="minorHAnsi"/>
          <w:sz w:val="22"/>
          <w:szCs w:val="22"/>
        </w:rPr>
        <w:t xml:space="preserve">proposed </w:t>
      </w:r>
      <w:r w:rsidRPr="00F811CB">
        <w:rPr>
          <w:rFonts w:asciiTheme="minorHAnsi" w:hAnsiTheme="minorHAnsi" w:cstheme="minorHAnsi"/>
          <w:sz w:val="22"/>
          <w:szCs w:val="22"/>
        </w:rPr>
        <w:t>trade</w:t>
      </w:r>
      <w:r w:rsidR="007D164F" w:rsidRPr="00F811CB">
        <w:rPr>
          <w:rFonts w:asciiTheme="minorHAnsi" w:hAnsiTheme="minorHAnsi" w:cstheme="minorHAnsi"/>
          <w:sz w:val="22"/>
          <w:szCs w:val="22"/>
        </w:rPr>
        <w:t>.</w:t>
      </w:r>
    </w:p>
    <w:p w14:paraId="5D30F87B" w14:textId="2CCF62DF" w:rsidR="00CD7E0F" w:rsidRPr="00F811CB" w:rsidRDefault="00CD7E0F" w:rsidP="00CA40B7">
      <w:pPr>
        <w:pStyle w:val="ListParagraph"/>
        <w:widowControl w:val="0"/>
        <w:overflowPunct/>
        <w:adjustRightInd/>
        <w:spacing w:before="121"/>
        <w:ind w:left="2102"/>
        <w:rPr>
          <w:rFonts w:asciiTheme="minorHAnsi" w:hAnsiTheme="minorHAnsi" w:cstheme="minorHAnsi"/>
          <w:sz w:val="22"/>
          <w:szCs w:val="22"/>
        </w:rPr>
      </w:pPr>
    </w:p>
    <w:p w14:paraId="1881298E" w14:textId="508738D9" w:rsidR="000041EB" w:rsidRPr="00F811CB" w:rsidRDefault="000041EB" w:rsidP="000B6CA4">
      <w:pPr>
        <w:pStyle w:val="BodyText"/>
        <w:spacing w:before="118"/>
        <w:ind w:left="1134" w:hanging="1134"/>
        <w:rPr>
          <w:rFonts w:asciiTheme="minorHAnsi" w:hAnsiTheme="minorHAnsi" w:cstheme="minorHAnsi"/>
        </w:rPr>
      </w:pPr>
      <w:r w:rsidRPr="00F811CB">
        <w:rPr>
          <w:rFonts w:asciiTheme="minorHAnsi" w:hAnsiTheme="minorHAnsi" w:cstheme="minorHAnsi"/>
        </w:rPr>
        <w:t>M.11.2.</w:t>
      </w:r>
      <w:r w:rsidR="00EE7BA1" w:rsidRPr="00F811CB">
        <w:rPr>
          <w:rFonts w:asciiTheme="minorHAnsi" w:hAnsiTheme="minorHAnsi" w:cstheme="minorHAnsi"/>
        </w:rPr>
        <w:t>3</w:t>
      </w:r>
      <w:r w:rsidRPr="00F811CB">
        <w:rPr>
          <w:rFonts w:asciiTheme="minorHAnsi" w:hAnsiTheme="minorHAnsi" w:cstheme="minorHAnsi"/>
        </w:rPr>
        <w:tab/>
      </w:r>
      <w:r w:rsidR="000B6CA4" w:rsidRPr="00F811CB">
        <w:rPr>
          <w:rFonts w:asciiTheme="minorHAnsi" w:hAnsiTheme="minorHAnsi" w:cstheme="minorHAnsi"/>
        </w:rPr>
        <w:t>A Participant submitting an Alternative Secondary Trade Notification in the role of the Buyer under paragraph M.11.2.1 must provide written confirm</w:t>
      </w:r>
      <w:r w:rsidR="0077092C" w:rsidRPr="00F811CB">
        <w:rPr>
          <w:rFonts w:asciiTheme="minorHAnsi" w:hAnsiTheme="minorHAnsi" w:cstheme="minorHAnsi"/>
        </w:rPr>
        <w:t>ation</w:t>
      </w:r>
      <w:r w:rsidR="000B6CA4" w:rsidRPr="00F811CB">
        <w:rPr>
          <w:rFonts w:asciiTheme="minorHAnsi" w:hAnsiTheme="minorHAnsi" w:cstheme="minorHAnsi"/>
        </w:rPr>
        <w:t xml:space="preserve"> it is seeking to enter into the proposed Secondary Trade for a Legitimate Reason affecting a specified Capacity Market Unit of the Participant during the forward period over which the </w:t>
      </w:r>
      <w:r w:rsidR="00D66EA6" w:rsidRPr="00F811CB">
        <w:rPr>
          <w:rFonts w:asciiTheme="minorHAnsi" w:hAnsiTheme="minorHAnsi" w:cstheme="minorHAnsi"/>
        </w:rPr>
        <w:t>trade</w:t>
      </w:r>
      <w:r w:rsidR="000B6CA4" w:rsidRPr="00F811CB">
        <w:rPr>
          <w:rFonts w:asciiTheme="minorHAnsi" w:hAnsiTheme="minorHAnsi" w:cstheme="minorHAnsi"/>
        </w:rPr>
        <w:t xml:space="preserve"> will apply, and reflects the impact of the Legitimate Reason on the capacity of that Capacity Market Unit.  </w:t>
      </w:r>
    </w:p>
    <w:p w14:paraId="2445E5E0" w14:textId="0DFBCBF1" w:rsidR="00902F86" w:rsidRPr="00F811CB" w:rsidRDefault="00902F86" w:rsidP="00690F58">
      <w:pPr>
        <w:pStyle w:val="CERLEVEL4"/>
        <w:numPr>
          <w:ilvl w:val="0"/>
          <w:numId w:val="0"/>
        </w:numPr>
        <w:ind w:left="1134" w:hanging="1134"/>
        <w:rPr>
          <w:rFonts w:asciiTheme="minorHAnsi" w:hAnsiTheme="minorHAnsi" w:cstheme="minorHAnsi"/>
        </w:rPr>
      </w:pPr>
      <w:r w:rsidRPr="00F811CB">
        <w:rPr>
          <w:rFonts w:asciiTheme="minorHAnsi" w:hAnsiTheme="minorHAnsi" w:cstheme="minorHAnsi"/>
        </w:rPr>
        <w:t>M.11.2.</w:t>
      </w:r>
      <w:r w:rsidR="00EE7BA1" w:rsidRPr="00F811CB">
        <w:rPr>
          <w:rFonts w:asciiTheme="minorHAnsi" w:hAnsiTheme="minorHAnsi" w:cstheme="minorHAnsi"/>
        </w:rPr>
        <w:t>4</w:t>
      </w:r>
      <w:r w:rsidRPr="00F811CB">
        <w:rPr>
          <w:rFonts w:asciiTheme="minorHAnsi" w:hAnsiTheme="minorHAnsi" w:cstheme="minorHAnsi"/>
        </w:rPr>
        <w:tab/>
        <w:t>If the MW quantity in a</w:t>
      </w:r>
      <w:r w:rsidR="00320D45" w:rsidRPr="00F811CB">
        <w:rPr>
          <w:rFonts w:asciiTheme="minorHAnsi" w:hAnsiTheme="minorHAnsi" w:cstheme="minorHAnsi"/>
        </w:rPr>
        <w:t xml:space="preserve"> proposed</w:t>
      </w:r>
      <w:r w:rsidRPr="00F811CB">
        <w:rPr>
          <w:rFonts w:asciiTheme="minorHAnsi" w:hAnsiTheme="minorHAnsi" w:cstheme="minorHAnsi"/>
        </w:rPr>
        <w:t xml:space="preserve"> Secondary Trade exceeds the Buyer Limit, then the System Operators shall reduce the quantity so that the quantity equals the Buyer Limit.</w:t>
      </w:r>
    </w:p>
    <w:p w14:paraId="4B61A2B5" w14:textId="1246CCDA" w:rsidR="00902F86" w:rsidRPr="00F811CB" w:rsidRDefault="00902F86" w:rsidP="00690F58">
      <w:pPr>
        <w:pStyle w:val="CERLEVEL5"/>
        <w:numPr>
          <w:ilvl w:val="0"/>
          <w:numId w:val="0"/>
        </w:numPr>
        <w:ind w:left="1134" w:hanging="1134"/>
        <w:rPr>
          <w:rFonts w:asciiTheme="minorHAnsi" w:hAnsiTheme="minorHAnsi" w:cstheme="minorHAnsi"/>
        </w:rPr>
      </w:pPr>
      <w:r w:rsidRPr="00F811CB">
        <w:rPr>
          <w:rFonts w:asciiTheme="minorHAnsi" w:hAnsiTheme="minorHAnsi" w:cstheme="minorHAnsi"/>
        </w:rPr>
        <w:t>M.11.2.</w:t>
      </w:r>
      <w:r w:rsidR="00EE7BA1" w:rsidRPr="00F811CB">
        <w:rPr>
          <w:rFonts w:asciiTheme="minorHAnsi" w:hAnsiTheme="minorHAnsi" w:cstheme="minorHAnsi"/>
        </w:rPr>
        <w:t>5</w:t>
      </w:r>
      <w:r w:rsidRPr="00F811CB">
        <w:rPr>
          <w:rFonts w:asciiTheme="minorHAnsi" w:hAnsiTheme="minorHAnsi" w:cstheme="minorHAnsi"/>
        </w:rPr>
        <w:tab/>
        <w:t>If the MW quantity in a</w:t>
      </w:r>
      <w:r w:rsidR="00320D45" w:rsidRPr="00F811CB">
        <w:rPr>
          <w:rFonts w:asciiTheme="minorHAnsi" w:hAnsiTheme="minorHAnsi" w:cstheme="minorHAnsi"/>
        </w:rPr>
        <w:t xml:space="preserve"> proposed </w:t>
      </w:r>
      <w:r w:rsidRPr="00F811CB">
        <w:rPr>
          <w:rFonts w:asciiTheme="minorHAnsi" w:hAnsiTheme="minorHAnsi" w:cstheme="minorHAnsi"/>
        </w:rPr>
        <w:t>Secondary Trade, as adjusted under M.11.2.</w:t>
      </w:r>
      <w:r w:rsidR="000B3E6B" w:rsidRPr="00F811CB">
        <w:rPr>
          <w:rFonts w:asciiTheme="minorHAnsi" w:hAnsiTheme="minorHAnsi" w:cstheme="minorHAnsi"/>
        </w:rPr>
        <w:t>3</w:t>
      </w:r>
      <w:r w:rsidRPr="00F811CB">
        <w:rPr>
          <w:rFonts w:asciiTheme="minorHAnsi" w:hAnsiTheme="minorHAnsi" w:cstheme="minorHAnsi"/>
        </w:rPr>
        <w:t>, exceeds the Seller Limit, then the System Operators shall reduce the quantity so that the quantity offered equals the Seller Limit.</w:t>
      </w:r>
    </w:p>
    <w:p w14:paraId="6D443AD4" w14:textId="0A5A580E" w:rsidR="00193693" w:rsidRPr="00F811CB" w:rsidRDefault="00193693" w:rsidP="00690F58">
      <w:pPr>
        <w:pStyle w:val="CERLEVEL4"/>
        <w:numPr>
          <w:ilvl w:val="0"/>
          <w:numId w:val="0"/>
        </w:numPr>
        <w:ind w:left="1134" w:hanging="1134"/>
        <w:rPr>
          <w:rFonts w:asciiTheme="minorHAnsi" w:hAnsiTheme="minorHAnsi" w:cstheme="minorHAnsi"/>
        </w:rPr>
      </w:pPr>
      <w:r w:rsidRPr="00F811CB">
        <w:rPr>
          <w:rFonts w:asciiTheme="minorHAnsi" w:hAnsiTheme="minorHAnsi" w:cstheme="minorHAnsi"/>
        </w:rPr>
        <w:t>M.11.2.</w:t>
      </w:r>
      <w:r w:rsidR="00EE7BA1" w:rsidRPr="00F811CB">
        <w:rPr>
          <w:rFonts w:asciiTheme="minorHAnsi" w:hAnsiTheme="minorHAnsi" w:cstheme="minorHAnsi"/>
        </w:rPr>
        <w:t>6</w:t>
      </w:r>
      <w:r w:rsidRPr="00F811CB">
        <w:rPr>
          <w:rFonts w:asciiTheme="minorHAnsi" w:hAnsiTheme="minorHAnsi" w:cstheme="minorHAnsi"/>
        </w:rPr>
        <w:tab/>
        <w:t>Alternative Secondary Trade Notifications are firm, unconditional and irrevocable.</w:t>
      </w:r>
    </w:p>
    <w:p w14:paraId="6D19A5A8" w14:textId="1D66DD59" w:rsidR="00193693" w:rsidRPr="00F811CB" w:rsidRDefault="00193693" w:rsidP="00690F58">
      <w:pPr>
        <w:pStyle w:val="CERLEVEL5"/>
        <w:numPr>
          <w:ilvl w:val="0"/>
          <w:numId w:val="0"/>
        </w:numPr>
        <w:ind w:left="1134" w:hanging="1134"/>
        <w:rPr>
          <w:rFonts w:asciiTheme="minorHAnsi" w:hAnsiTheme="minorHAnsi" w:cstheme="minorHAnsi"/>
        </w:rPr>
      </w:pPr>
      <w:r w:rsidRPr="00F811CB">
        <w:rPr>
          <w:rFonts w:asciiTheme="minorHAnsi" w:hAnsiTheme="minorHAnsi" w:cstheme="minorHAnsi"/>
        </w:rPr>
        <w:t>M.11.2.</w:t>
      </w:r>
      <w:r w:rsidR="00EE7BA1" w:rsidRPr="00F811CB">
        <w:rPr>
          <w:rFonts w:asciiTheme="minorHAnsi" w:hAnsiTheme="minorHAnsi" w:cstheme="minorHAnsi"/>
        </w:rPr>
        <w:t>7</w:t>
      </w:r>
      <w:r w:rsidRPr="00F811CB">
        <w:rPr>
          <w:rFonts w:asciiTheme="minorHAnsi" w:hAnsiTheme="minorHAnsi" w:cstheme="minorHAnsi"/>
        </w:rPr>
        <w:tab/>
        <w:t xml:space="preserve">The System Operators have no obligation to follow up any Participant that has not submitted a valid </w:t>
      </w:r>
      <w:r w:rsidR="00902F86" w:rsidRPr="00F811CB">
        <w:rPr>
          <w:rFonts w:asciiTheme="minorHAnsi" w:hAnsiTheme="minorHAnsi" w:cstheme="minorHAnsi"/>
        </w:rPr>
        <w:t>Alternative Secondary Trade Notification</w:t>
      </w:r>
      <w:r w:rsidRPr="00F811CB">
        <w:rPr>
          <w:rFonts w:asciiTheme="minorHAnsi" w:hAnsiTheme="minorHAnsi" w:cstheme="minorHAnsi"/>
        </w:rPr>
        <w:t xml:space="preserve"> and shall have no liability in respect of any </w:t>
      </w:r>
      <w:r w:rsidR="00902F86" w:rsidRPr="00F811CB">
        <w:rPr>
          <w:rFonts w:asciiTheme="minorHAnsi" w:hAnsiTheme="minorHAnsi" w:cstheme="minorHAnsi"/>
        </w:rPr>
        <w:t>Alternative Secondary Trade Notification</w:t>
      </w:r>
      <w:r w:rsidRPr="00F811CB">
        <w:rPr>
          <w:rFonts w:asciiTheme="minorHAnsi" w:hAnsiTheme="minorHAnsi" w:cstheme="minorHAnsi"/>
        </w:rPr>
        <w:t xml:space="preserve"> they have not received or that contains information that is incorrect or incomplete or does not reflect the Participant’s intentions</w:t>
      </w:r>
      <w:r w:rsidR="00AC2E66" w:rsidRPr="00F811CB">
        <w:rPr>
          <w:rFonts w:asciiTheme="minorHAnsi" w:hAnsiTheme="minorHAnsi" w:cstheme="minorHAnsi"/>
        </w:rPr>
        <w:t>.</w:t>
      </w:r>
    </w:p>
    <w:p w14:paraId="11480262" w14:textId="3F616D24" w:rsidR="00AC2E66" w:rsidRPr="00F811CB" w:rsidRDefault="00AC2E66" w:rsidP="00690F58">
      <w:pPr>
        <w:pStyle w:val="CERLEVEL5"/>
        <w:numPr>
          <w:ilvl w:val="0"/>
          <w:numId w:val="0"/>
        </w:numPr>
        <w:ind w:left="1134" w:hanging="1134"/>
        <w:rPr>
          <w:rFonts w:asciiTheme="minorHAnsi" w:hAnsiTheme="minorHAnsi" w:cstheme="minorHAnsi"/>
        </w:rPr>
      </w:pPr>
      <w:r w:rsidRPr="00F811CB">
        <w:rPr>
          <w:rFonts w:asciiTheme="minorHAnsi" w:hAnsiTheme="minorHAnsi" w:cstheme="minorHAnsi"/>
        </w:rPr>
        <w:t>M.11.2.</w:t>
      </w:r>
      <w:r w:rsidR="00EE7BA1" w:rsidRPr="00F811CB">
        <w:rPr>
          <w:rFonts w:asciiTheme="minorHAnsi" w:hAnsiTheme="minorHAnsi" w:cstheme="minorHAnsi"/>
        </w:rPr>
        <w:t>8</w:t>
      </w:r>
      <w:r w:rsidRPr="00F811CB">
        <w:rPr>
          <w:rFonts w:asciiTheme="minorHAnsi" w:hAnsiTheme="minorHAnsi" w:cstheme="minorHAnsi"/>
        </w:rPr>
        <w:tab/>
        <w:t>A Participant may submit an Alternative Secondary Trade Notification in respect of a Capacity Market Unit only:</w:t>
      </w:r>
    </w:p>
    <w:p w14:paraId="76A6316C" w14:textId="2239F3AF" w:rsidR="00AC2E66" w:rsidRPr="00F811CB" w:rsidRDefault="00AC2E66" w:rsidP="00690F58">
      <w:pPr>
        <w:pStyle w:val="CERLEVEL5"/>
        <w:numPr>
          <w:ilvl w:val="0"/>
          <w:numId w:val="0"/>
        </w:numPr>
        <w:tabs>
          <w:tab w:val="left" w:pos="1418"/>
        </w:tabs>
        <w:ind w:left="1701" w:hanging="567"/>
        <w:rPr>
          <w:rFonts w:asciiTheme="minorHAnsi" w:hAnsiTheme="minorHAnsi" w:cstheme="minorHAnsi"/>
        </w:rPr>
      </w:pPr>
      <w:r w:rsidRPr="00F811CB">
        <w:rPr>
          <w:rFonts w:asciiTheme="minorHAnsi" w:hAnsiTheme="minorHAnsi" w:cstheme="minorHAnsi"/>
        </w:rPr>
        <w:t>(a)</w:t>
      </w:r>
      <w:r w:rsidR="00834A21" w:rsidRPr="00F811CB">
        <w:rPr>
          <w:rFonts w:asciiTheme="minorHAnsi" w:hAnsiTheme="minorHAnsi" w:cstheme="minorHAnsi"/>
        </w:rPr>
        <w:tab/>
      </w:r>
      <w:r w:rsidR="00690F58" w:rsidRPr="00F811CB">
        <w:rPr>
          <w:rFonts w:asciiTheme="minorHAnsi" w:hAnsiTheme="minorHAnsi" w:cstheme="minorHAnsi"/>
        </w:rPr>
        <w:tab/>
      </w:r>
      <w:r w:rsidRPr="00F811CB">
        <w:rPr>
          <w:rFonts w:asciiTheme="minorHAnsi" w:hAnsiTheme="minorHAnsi" w:cstheme="minorHAnsi"/>
        </w:rPr>
        <w:t>where the Capacity Market Unit is currently Qualified for the Capacity Year, or under section E.10 is to be treated as if it had been Qualified, for the entire forward period over which the proposed trade will apply; and</w:t>
      </w:r>
    </w:p>
    <w:p w14:paraId="59C8C9BE" w14:textId="37E33375" w:rsidR="00AC2E66" w:rsidRDefault="00AC2E66" w:rsidP="00690F58">
      <w:pPr>
        <w:pStyle w:val="CERLEVEL5"/>
        <w:numPr>
          <w:ilvl w:val="0"/>
          <w:numId w:val="0"/>
        </w:numPr>
        <w:tabs>
          <w:tab w:val="left" w:pos="1418"/>
          <w:tab w:val="left" w:pos="1701"/>
          <w:tab w:val="left" w:pos="1985"/>
        </w:tabs>
        <w:ind w:left="1701" w:hanging="567"/>
        <w:rPr>
          <w:rFonts w:asciiTheme="minorHAnsi" w:hAnsiTheme="minorHAnsi" w:cstheme="minorHAnsi"/>
        </w:rPr>
      </w:pPr>
      <w:r w:rsidRPr="00F811CB">
        <w:rPr>
          <w:rFonts w:asciiTheme="minorHAnsi" w:hAnsiTheme="minorHAnsi" w:cstheme="minorHAnsi"/>
        </w:rPr>
        <w:t>(b)</w:t>
      </w:r>
      <w:r w:rsidRPr="00F811CB">
        <w:rPr>
          <w:rFonts w:asciiTheme="minorHAnsi" w:hAnsiTheme="minorHAnsi" w:cstheme="minorHAnsi"/>
        </w:rPr>
        <w:tab/>
      </w:r>
      <w:r w:rsidR="00834A21" w:rsidRPr="00F811CB">
        <w:rPr>
          <w:rFonts w:asciiTheme="minorHAnsi" w:hAnsiTheme="minorHAnsi" w:cstheme="minorHAnsi"/>
        </w:rPr>
        <w:tab/>
      </w:r>
      <w:r w:rsidRPr="00F811CB">
        <w:rPr>
          <w:rFonts w:asciiTheme="minorHAnsi" w:hAnsiTheme="minorHAnsi" w:cstheme="minorHAnsi"/>
        </w:rPr>
        <w:t>to the extent the Capacity Market Unit is providing Existing Capacity.</w:t>
      </w:r>
    </w:p>
    <w:p w14:paraId="1F88DD16" w14:textId="77777777" w:rsidR="000A727B" w:rsidRPr="00F811CB" w:rsidRDefault="000A727B" w:rsidP="00690F58">
      <w:pPr>
        <w:pStyle w:val="CERLEVEL5"/>
        <w:numPr>
          <w:ilvl w:val="0"/>
          <w:numId w:val="0"/>
        </w:numPr>
        <w:tabs>
          <w:tab w:val="left" w:pos="1418"/>
          <w:tab w:val="left" w:pos="1701"/>
          <w:tab w:val="left" w:pos="1985"/>
        </w:tabs>
        <w:ind w:left="1701" w:hanging="567"/>
        <w:rPr>
          <w:rFonts w:asciiTheme="minorHAnsi" w:hAnsiTheme="minorHAnsi" w:cstheme="minorHAnsi"/>
        </w:rPr>
      </w:pPr>
    </w:p>
    <w:p w14:paraId="6E6329B7" w14:textId="77777777" w:rsidR="00193693" w:rsidRPr="00F811CB" w:rsidRDefault="00193693" w:rsidP="003E45E7">
      <w:pPr>
        <w:pStyle w:val="BodyText"/>
        <w:spacing w:before="118"/>
        <w:ind w:hanging="1440"/>
        <w:rPr>
          <w:rFonts w:asciiTheme="minorHAnsi" w:hAnsiTheme="minorHAnsi" w:cstheme="minorHAnsi"/>
        </w:rPr>
      </w:pPr>
    </w:p>
    <w:p w14:paraId="7E2DBBFA" w14:textId="72BA656E" w:rsidR="00CD7E0F" w:rsidRPr="00F811CB" w:rsidRDefault="00CD7E0F" w:rsidP="003E45E7">
      <w:pPr>
        <w:pStyle w:val="Heading7"/>
        <w:keepNext w:val="0"/>
        <w:keepLines w:val="0"/>
        <w:widowControl w:val="0"/>
        <w:tabs>
          <w:tab w:val="left" w:pos="1716"/>
        </w:tabs>
        <w:autoSpaceDE w:val="0"/>
        <w:autoSpaceDN w:val="0"/>
        <w:spacing w:line="360" w:lineRule="auto"/>
        <w:ind w:left="1716" w:hanging="1716"/>
        <w:rPr>
          <w:rFonts w:asciiTheme="minorHAnsi" w:hAnsiTheme="minorHAnsi" w:cstheme="minorHAnsi"/>
          <w:b/>
          <w:bCs/>
          <w:i w:val="0"/>
          <w:iCs w:val="0"/>
          <w:color w:val="auto"/>
          <w:szCs w:val="22"/>
        </w:rPr>
      </w:pPr>
      <w:r w:rsidRPr="00F811CB">
        <w:rPr>
          <w:rFonts w:asciiTheme="minorHAnsi" w:hAnsiTheme="minorHAnsi" w:cstheme="minorHAnsi"/>
          <w:i w:val="0"/>
          <w:iCs w:val="0"/>
          <w:color w:val="auto"/>
          <w:szCs w:val="22"/>
        </w:rPr>
        <w:lastRenderedPageBreak/>
        <w:t>M.1</w:t>
      </w:r>
      <w:r w:rsidR="00902F86" w:rsidRPr="00F811CB">
        <w:rPr>
          <w:rFonts w:asciiTheme="minorHAnsi" w:hAnsiTheme="minorHAnsi" w:cstheme="minorHAnsi"/>
          <w:i w:val="0"/>
          <w:iCs w:val="0"/>
          <w:color w:val="auto"/>
          <w:szCs w:val="22"/>
        </w:rPr>
        <w:t>1</w:t>
      </w:r>
      <w:r w:rsidRPr="00F811CB">
        <w:rPr>
          <w:rFonts w:asciiTheme="minorHAnsi" w:hAnsiTheme="minorHAnsi" w:cstheme="minorHAnsi"/>
          <w:i w:val="0"/>
          <w:iCs w:val="0"/>
          <w:color w:val="auto"/>
          <w:szCs w:val="22"/>
        </w:rPr>
        <w:t xml:space="preserve">.3         </w:t>
      </w:r>
      <w:r w:rsidRPr="00F811CB">
        <w:rPr>
          <w:rFonts w:asciiTheme="minorHAnsi" w:hAnsiTheme="minorHAnsi" w:cstheme="minorHAnsi"/>
          <w:b/>
          <w:bCs/>
          <w:i w:val="0"/>
          <w:iCs w:val="0"/>
          <w:color w:val="auto"/>
          <w:szCs w:val="22"/>
        </w:rPr>
        <w:t>Role of System</w:t>
      </w:r>
      <w:r w:rsidRPr="00F811CB">
        <w:rPr>
          <w:rFonts w:asciiTheme="minorHAnsi" w:hAnsiTheme="minorHAnsi" w:cstheme="minorHAnsi"/>
          <w:b/>
          <w:bCs/>
          <w:i w:val="0"/>
          <w:iCs w:val="0"/>
          <w:color w:val="auto"/>
          <w:spacing w:val="-6"/>
          <w:szCs w:val="22"/>
        </w:rPr>
        <w:t xml:space="preserve"> </w:t>
      </w:r>
      <w:r w:rsidRPr="00F811CB">
        <w:rPr>
          <w:rFonts w:asciiTheme="minorHAnsi" w:hAnsiTheme="minorHAnsi" w:cstheme="minorHAnsi"/>
          <w:b/>
          <w:bCs/>
          <w:i w:val="0"/>
          <w:iCs w:val="0"/>
          <w:color w:val="auto"/>
          <w:szCs w:val="22"/>
        </w:rPr>
        <w:t>Operators</w:t>
      </w:r>
    </w:p>
    <w:p w14:paraId="513AE600" w14:textId="7B855172" w:rsidR="00CD7E0F" w:rsidRPr="00F811CB" w:rsidRDefault="00CD7E0F" w:rsidP="00736A86">
      <w:pPr>
        <w:pStyle w:val="Heading7"/>
        <w:keepNext w:val="0"/>
        <w:keepLines w:val="0"/>
        <w:widowControl w:val="0"/>
        <w:tabs>
          <w:tab w:val="left" w:pos="1134"/>
        </w:tabs>
        <w:autoSpaceDE w:val="0"/>
        <w:autoSpaceDN w:val="0"/>
        <w:ind w:left="1134" w:hanging="1134"/>
        <w:rPr>
          <w:rFonts w:asciiTheme="minorHAnsi" w:hAnsiTheme="minorHAnsi" w:cstheme="minorHAnsi"/>
          <w:szCs w:val="22"/>
        </w:rPr>
      </w:pPr>
      <w:r w:rsidRPr="00F811CB">
        <w:rPr>
          <w:rFonts w:asciiTheme="minorHAnsi" w:hAnsiTheme="minorHAnsi" w:cstheme="minorHAnsi"/>
          <w:i w:val="0"/>
          <w:color w:val="000000" w:themeColor="text1"/>
          <w:szCs w:val="22"/>
        </w:rPr>
        <w:t>M.1</w:t>
      </w:r>
      <w:r w:rsidR="00902F86" w:rsidRPr="00F811CB">
        <w:rPr>
          <w:rFonts w:asciiTheme="minorHAnsi" w:hAnsiTheme="minorHAnsi" w:cstheme="minorHAnsi"/>
          <w:i w:val="0"/>
          <w:color w:val="000000" w:themeColor="text1"/>
          <w:szCs w:val="22"/>
        </w:rPr>
        <w:t>1</w:t>
      </w:r>
      <w:r w:rsidRPr="00F811CB">
        <w:rPr>
          <w:rFonts w:asciiTheme="minorHAnsi" w:hAnsiTheme="minorHAnsi" w:cstheme="minorHAnsi"/>
          <w:i w:val="0"/>
          <w:color w:val="000000" w:themeColor="text1"/>
          <w:szCs w:val="22"/>
        </w:rPr>
        <w:t>.</w:t>
      </w:r>
      <w:r w:rsidRPr="00F811CB">
        <w:rPr>
          <w:rFonts w:asciiTheme="minorHAnsi" w:hAnsiTheme="minorHAnsi" w:cstheme="minorHAnsi"/>
          <w:i w:val="0"/>
          <w:iCs w:val="0"/>
          <w:color w:val="000000" w:themeColor="text1"/>
          <w:szCs w:val="22"/>
        </w:rPr>
        <w:t>3</w:t>
      </w:r>
      <w:r w:rsidRPr="00F811CB">
        <w:rPr>
          <w:rFonts w:asciiTheme="minorHAnsi" w:hAnsiTheme="minorHAnsi" w:cstheme="minorHAnsi"/>
          <w:i w:val="0"/>
          <w:color w:val="000000" w:themeColor="text1"/>
          <w:szCs w:val="22"/>
        </w:rPr>
        <w:t>.1</w:t>
      </w:r>
      <w:r w:rsidR="00736A86" w:rsidRPr="00F811CB">
        <w:rPr>
          <w:rFonts w:asciiTheme="minorHAnsi" w:hAnsiTheme="minorHAnsi" w:cstheme="minorHAnsi"/>
          <w:color w:val="000000" w:themeColor="text1"/>
          <w:szCs w:val="22"/>
        </w:rPr>
        <w:tab/>
      </w:r>
      <w:r w:rsidRPr="00F811CB">
        <w:rPr>
          <w:rFonts w:asciiTheme="minorHAnsi" w:hAnsiTheme="minorHAnsi" w:cstheme="minorHAnsi"/>
          <w:i w:val="0"/>
          <w:color w:val="000000" w:themeColor="text1"/>
          <w:szCs w:val="22"/>
        </w:rPr>
        <w:t>The System Operators must do all things necessary to operate and administer</w:t>
      </w:r>
      <w:r w:rsidR="00736A86" w:rsidRPr="00F811CB">
        <w:rPr>
          <w:rFonts w:asciiTheme="minorHAnsi" w:hAnsiTheme="minorHAnsi" w:cstheme="minorHAnsi"/>
          <w:i w:val="0"/>
          <w:color w:val="000000" w:themeColor="text1"/>
          <w:szCs w:val="22"/>
        </w:rPr>
        <w:t xml:space="preserve"> </w:t>
      </w:r>
      <w:r w:rsidR="00335724" w:rsidRPr="00F811CB">
        <w:rPr>
          <w:rFonts w:asciiTheme="minorHAnsi" w:hAnsiTheme="minorHAnsi" w:cstheme="minorHAnsi"/>
          <w:i w:val="0"/>
          <w:color w:val="000000" w:themeColor="text1"/>
          <w:szCs w:val="22"/>
        </w:rPr>
        <w:t xml:space="preserve">the Alternative </w:t>
      </w:r>
      <w:r w:rsidRPr="00F811CB">
        <w:rPr>
          <w:rFonts w:asciiTheme="minorHAnsi" w:hAnsiTheme="minorHAnsi" w:cstheme="minorHAnsi"/>
          <w:i w:val="0"/>
          <w:color w:val="000000" w:themeColor="text1"/>
          <w:szCs w:val="22"/>
        </w:rPr>
        <w:t>Secondary Trad</w:t>
      </w:r>
      <w:r w:rsidR="00335724" w:rsidRPr="00F811CB">
        <w:rPr>
          <w:rFonts w:asciiTheme="minorHAnsi" w:hAnsiTheme="minorHAnsi" w:cstheme="minorHAnsi"/>
          <w:i w:val="0"/>
          <w:color w:val="000000" w:themeColor="text1"/>
          <w:szCs w:val="22"/>
        </w:rPr>
        <w:t>ing Arrangements</w:t>
      </w:r>
      <w:r w:rsidRPr="00F811CB">
        <w:rPr>
          <w:rFonts w:asciiTheme="minorHAnsi" w:hAnsiTheme="minorHAnsi" w:cstheme="minorHAnsi"/>
          <w:i w:val="0"/>
          <w:color w:val="000000" w:themeColor="text1"/>
          <w:szCs w:val="22"/>
        </w:rPr>
        <w:t xml:space="preserve"> </w:t>
      </w:r>
      <w:r w:rsidR="00E412E5" w:rsidRPr="00F811CB">
        <w:rPr>
          <w:rFonts w:asciiTheme="minorHAnsi" w:hAnsiTheme="minorHAnsi" w:cstheme="minorHAnsi"/>
          <w:i w:val="0"/>
          <w:color w:val="000000" w:themeColor="text1"/>
          <w:szCs w:val="22"/>
        </w:rPr>
        <w:t xml:space="preserve">such that </w:t>
      </w:r>
      <w:r w:rsidR="00C823D8" w:rsidRPr="00F811CB">
        <w:rPr>
          <w:rFonts w:asciiTheme="minorHAnsi" w:hAnsiTheme="minorHAnsi" w:cstheme="minorHAnsi"/>
          <w:i w:val="0"/>
          <w:color w:val="000000" w:themeColor="text1"/>
          <w:szCs w:val="22"/>
        </w:rPr>
        <w:t>Alternative Secondary Trade Notifications</w:t>
      </w:r>
      <w:r w:rsidR="00E412E5" w:rsidRPr="00F811CB">
        <w:rPr>
          <w:rFonts w:asciiTheme="minorHAnsi" w:hAnsiTheme="minorHAnsi" w:cstheme="minorHAnsi"/>
          <w:i w:val="0"/>
          <w:color w:val="000000" w:themeColor="text1"/>
          <w:szCs w:val="22"/>
        </w:rPr>
        <w:t xml:space="preserve"> are validated, and the Capacity and Trade Register is updated within </w:t>
      </w:r>
      <w:r w:rsidR="0004198B" w:rsidRPr="00F811CB">
        <w:rPr>
          <w:rFonts w:asciiTheme="minorHAnsi" w:hAnsiTheme="minorHAnsi" w:cstheme="minorHAnsi"/>
          <w:i w:val="0"/>
          <w:color w:val="000000" w:themeColor="text1"/>
          <w:szCs w:val="22"/>
        </w:rPr>
        <w:t>5</w:t>
      </w:r>
      <w:r w:rsidR="00E412E5" w:rsidRPr="00F811CB">
        <w:rPr>
          <w:rFonts w:asciiTheme="minorHAnsi" w:hAnsiTheme="minorHAnsi" w:cstheme="minorHAnsi"/>
          <w:i w:val="0"/>
          <w:color w:val="000000" w:themeColor="text1"/>
          <w:szCs w:val="22"/>
        </w:rPr>
        <w:t xml:space="preserve"> Working Day</w:t>
      </w:r>
      <w:r w:rsidR="0004198B" w:rsidRPr="00F811CB">
        <w:rPr>
          <w:rFonts w:asciiTheme="minorHAnsi" w:hAnsiTheme="minorHAnsi" w:cstheme="minorHAnsi"/>
          <w:i w:val="0"/>
          <w:color w:val="000000" w:themeColor="text1"/>
          <w:szCs w:val="22"/>
        </w:rPr>
        <w:t>s</w:t>
      </w:r>
      <w:r w:rsidR="00E412E5" w:rsidRPr="00F811CB">
        <w:rPr>
          <w:rFonts w:asciiTheme="minorHAnsi" w:hAnsiTheme="minorHAnsi" w:cstheme="minorHAnsi"/>
          <w:i w:val="0"/>
          <w:color w:val="000000" w:themeColor="text1"/>
          <w:szCs w:val="22"/>
        </w:rPr>
        <w:t xml:space="preserve"> </w:t>
      </w:r>
      <w:r w:rsidRPr="00F811CB">
        <w:rPr>
          <w:rFonts w:asciiTheme="minorHAnsi" w:hAnsiTheme="minorHAnsi" w:cstheme="minorHAnsi"/>
          <w:i w:val="0"/>
          <w:color w:val="000000" w:themeColor="text1"/>
          <w:szCs w:val="22"/>
        </w:rPr>
        <w:t xml:space="preserve">in accordance with this </w:t>
      </w:r>
      <w:r w:rsidR="00902F86" w:rsidRPr="00F811CB">
        <w:rPr>
          <w:rFonts w:asciiTheme="minorHAnsi" w:hAnsiTheme="minorHAnsi" w:cstheme="minorHAnsi"/>
          <w:i w:val="0"/>
          <w:color w:val="000000" w:themeColor="text1"/>
          <w:szCs w:val="22"/>
        </w:rPr>
        <w:t>section M.11</w:t>
      </w:r>
      <w:r w:rsidRPr="00F811CB">
        <w:rPr>
          <w:rFonts w:asciiTheme="minorHAnsi" w:hAnsiTheme="minorHAnsi" w:cstheme="minorHAnsi"/>
          <w:i w:val="0"/>
          <w:color w:val="000000" w:themeColor="text1"/>
          <w:spacing w:val="-5"/>
          <w:szCs w:val="22"/>
        </w:rPr>
        <w:t xml:space="preserve"> </w:t>
      </w:r>
      <w:r w:rsidRPr="00F811CB">
        <w:rPr>
          <w:rFonts w:asciiTheme="minorHAnsi" w:hAnsiTheme="minorHAnsi" w:cstheme="minorHAnsi"/>
          <w:i w:val="0"/>
          <w:color w:val="000000" w:themeColor="text1"/>
          <w:szCs w:val="22"/>
        </w:rPr>
        <w:t>including:</w:t>
      </w:r>
      <w:r w:rsidR="00E8525A" w:rsidRPr="00F811CB">
        <w:rPr>
          <w:rFonts w:asciiTheme="minorHAnsi" w:hAnsiTheme="minorHAnsi" w:cstheme="minorHAnsi"/>
          <w:i w:val="0"/>
          <w:color w:val="000000" w:themeColor="text1"/>
          <w:szCs w:val="22"/>
        </w:rPr>
        <w:t xml:space="preserve"> </w:t>
      </w:r>
    </w:p>
    <w:p w14:paraId="2D50B04A" w14:textId="0816434D" w:rsidR="00CD7E0F" w:rsidRPr="00F811CB" w:rsidRDefault="00AC2E66" w:rsidP="003828CC">
      <w:pPr>
        <w:pStyle w:val="ListParagraph"/>
        <w:widowControl w:val="0"/>
        <w:numPr>
          <w:ilvl w:val="4"/>
          <w:numId w:val="4"/>
        </w:numPr>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providing facilities for the receipt and processing of Alternative Secondary Trade Notifications</w:t>
      </w:r>
      <w:r w:rsidR="00902F86" w:rsidRPr="00F811CB">
        <w:rPr>
          <w:rFonts w:asciiTheme="minorHAnsi" w:hAnsiTheme="minorHAnsi" w:cstheme="minorHAnsi"/>
          <w:sz w:val="22"/>
          <w:szCs w:val="22"/>
        </w:rPr>
        <w:t>;</w:t>
      </w:r>
      <w:r w:rsidR="00CD7E0F" w:rsidRPr="00F811CB">
        <w:rPr>
          <w:rFonts w:asciiTheme="minorHAnsi" w:hAnsiTheme="minorHAnsi" w:cstheme="minorHAnsi"/>
          <w:sz w:val="22"/>
          <w:szCs w:val="22"/>
        </w:rPr>
        <w:t xml:space="preserve"> </w:t>
      </w:r>
    </w:p>
    <w:p w14:paraId="4571FB10" w14:textId="153FE6BC" w:rsidR="00902F86" w:rsidRPr="00F811CB" w:rsidRDefault="00AC2E66" w:rsidP="003828CC">
      <w:pPr>
        <w:pStyle w:val="ListParagraph"/>
        <w:widowControl w:val="0"/>
        <w:numPr>
          <w:ilvl w:val="4"/>
          <w:numId w:val="4"/>
        </w:numPr>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validating Alternative Secondary Trade Notifications</w:t>
      </w:r>
      <w:r w:rsidR="003828CC" w:rsidRPr="00F811CB">
        <w:rPr>
          <w:rFonts w:asciiTheme="minorHAnsi" w:hAnsiTheme="minorHAnsi" w:cstheme="minorHAnsi"/>
          <w:sz w:val="22"/>
          <w:szCs w:val="22"/>
        </w:rPr>
        <w:t xml:space="preserve"> and the associated proposed Secondary Trades</w:t>
      </w:r>
      <w:r w:rsidRPr="00F811CB">
        <w:rPr>
          <w:rFonts w:asciiTheme="minorHAnsi" w:hAnsiTheme="minorHAnsi" w:cstheme="minorHAnsi"/>
          <w:sz w:val="22"/>
          <w:szCs w:val="22"/>
        </w:rPr>
        <w:t>;</w:t>
      </w:r>
    </w:p>
    <w:p w14:paraId="0819F6AF" w14:textId="1DE9A70B" w:rsidR="00AC2E66" w:rsidRPr="00F811CB" w:rsidRDefault="00AC2E66" w:rsidP="003828CC">
      <w:pPr>
        <w:pStyle w:val="ListParagraph"/>
        <w:widowControl w:val="0"/>
        <w:numPr>
          <w:ilvl w:val="4"/>
          <w:numId w:val="4"/>
        </w:numPr>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determining and publishing the outcome of Secondary Trade</w:t>
      </w:r>
      <w:r w:rsidR="00335724" w:rsidRPr="00F811CB">
        <w:rPr>
          <w:rFonts w:asciiTheme="minorHAnsi" w:hAnsiTheme="minorHAnsi" w:cstheme="minorHAnsi"/>
          <w:sz w:val="22"/>
          <w:szCs w:val="22"/>
        </w:rPr>
        <w:t>s</w:t>
      </w:r>
      <w:r w:rsidRPr="00F811CB">
        <w:rPr>
          <w:rFonts w:asciiTheme="minorHAnsi" w:hAnsiTheme="minorHAnsi" w:cstheme="minorHAnsi"/>
          <w:sz w:val="22"/>
          <w:szCs w:val="22"/>
        </w:rPr>
        <w:t>, including Awarded Capacity and prices;</w:t>
      </w:r>
    </w:p>
    <w:p w14:paraId="4511D224" w14:textId="6C18C91D" w:rsidR="00CD7E0F" w:rsidRPr="00F811CB" w:rsidRDefault="00CD7E0F" w:rsidP="003828CC">
      <w:pPr>
        <w:pStyle w:val="ListParagraph"/>
        <w:widowControl w:val="0"/>
        <w:numPr>
          <w:ilvl w:val="4"/>
          <w:numId w:val="4"/>
        </w:numPr>
        <w:tabs>
          <w:tab w:val="left" w:pos="1701"/>
          <w:tab w:val="left" w:pos="2102"/>
        </w:tabs>
        <w:overflowPunct/>
        <w:adjustRightInd/>
        <w:spacing w:before="121"/>
        <w:ind w:left="1701" w:right="1135" w:hanging="567"/>
        <w:rPr>
          <w:rFonts w:asciiTheme="minorHAnsi" w:hAnsiTheme="minorHAnsi" w:cstheme="minorHAnsi"/>
          <w:sz w:val="22"/>
          <w:szCs w:val="22"/>
        </w:rPr>
      </w:pPr>
      <w:r w:rsidRPr="00F811CB">
        <w:rPr>
          <w:rFonts w:asciiTheme="minorHAnsi" w:hAnsiTheme="minorHAnsi" w:cstheme="minorHAnsi"/>
          <w:sz w:val="22"/>
          <w:szCs w:val="22"/>
        </w:rPr>
        <w:t xml:space="preserve">Update the Capacity and Trade Register with </w:t>
      </w:r>
      <w:r w:rsidR="003828CC" w:rsidRPr="00F811CB">
        <w:rPr>
          <w:rFonts w:asciiTheme="minorHAnsi" w:hAnsiTheme="minorHAnsi" w:cstheme="minorHAnsi"/>
          <w:sz w:val="22"/>
          <w:szCs w:val="22"/>
        </w:rPr>
        <w:t>the details of a valid trade as soon as reasonable practica</w:t>
      </w:r>
      <w:r w:rsidR="007F76D7" w:rsidRPr="00F811CB">
        <w:rPr>
          <w:rFonts w:asciiTheme="minorHAnsi" w:hAnsiTheme="minorHAnsi" w:cstheme="minorHAnsi"/>
          <w:sz w:val="22"/>
          <w:szCs w:val="22"/>
        </w:rPr>
        <w:t>b</w:t>
      </w:r>
      <w:r w:rsidR="003828CC" w:rsidRPr="00F811CB">
        <w:rPr>
          <w:rFonts w:asciiTheme="minorHAnsi" w:hAnsiTheme="minorHAnsi" w:cstheme="minorHAnsi"/>
          <w:sz w:val="22"/>
          <w:szCs w:val="22"/>
        </w:rPr>
        <w:t>l</w:t>
      </w:r>
      <w:r w:rsidR="007F76D7" w:rsidRPr="00F811CB">
        <w:rPr>
          <w:rFonts w:asciiTheme="minorHAnsi" w:hAnsiTheme="minorHAnsi" w:cstheme="minorHAnsi"/>
          <w:sz w:val="22"/>
          <w:szCs w:val="22"/>
        </w:rPr>
        <w:t>e</w:t>
      </w:r>
      <w:r w:rsidRPr="00F811CB">
        <w:rPr>
          <w:rFonts w:asciiTheme="minorHAnsi" w:hAnsiTheme="minorHAnsi" w:cstheme="minorHAnsi"/>
          <w:sz w:val="22"/>
          <w:szCs w:val="22"/>
        </w:rPr>
        <w:t>.</w:t>
      </w:r>
      <w:r w:rsidRPr="00F811CB">
        <w:rPr>
          <w:rFonts w:asciiTheme="minorHAnsi" w:hAnsiTheme="minorHAnsi" w:cstheme="minorHAnsi"/>
          <w:color w:val="1F497D"/>
          <w:sz w:val="22"/>
          <w:szCs w:val="22"/>
        </w:rPr>
        <w:t xml:space="preserve"> </w:t>
      </w:r>
    </w:p>
    <w:p w14:paraId="57B786BE" w14:textId="6F476486" w:rsidR="00CD7E0F" w:rsidRPr="00F811CB" w:rsidRDefault="00CD7E0F" w:rsidP="008003B4">
      <w:pPr>
        <w:widowControl w:val="0"/>
        <w:tabs>
          <w:tab w:val="left" w:pos="1134"/>
        </w:tabs>
        <w:spacing w:before="119"/>
        <w:ind w:left="1134" w:right="1133" w:hanging="1134"/>
        <w:jc w:val="both"/>
        <w:rPr>
          <w:rFonts w:asciiTheme="minorHAnsi" w:hAnsiTheme="minorHAnsi" w:cstheme="minorHAnsi"/>
          <w:sz w:val="22"/>
          <w:szCs w:val="22"/>
        </w:rPr>
      </w:pPr>
      <w:r w:rsidRPr="00F811CB">
        <w:rPr>
          <w:rFonts w:asciiTheme="minorHAnsi" w:hAnsiTheme="minorHAnsi" w:cstheme="minorHAnsi"/>
          <w:sz w:val="22"/>
          <w:szCs w:val="22"/>
        </w:rPr>
        <w:t>M.1</w:t>
      </w:r>
      <w:r w:rsidR="00AC2E66" w:rsidRPr="00F811CB">
        <w:rPr>
          <w:rFonts w:asciiTheme="minorHAnsi" w:hAnsiTheme="minorHAnsi" w:cstheme="minorHAnsi"/>
          <w:sz w:val="22"/>
          <w:szCs w:val="22"/>
        </w:rPr>
        <w:t>1</w:t>
      </w:r>
      <w:r w:rsidRPr="00F811CB">
        <w:rPr>
          <w:rFonts w:asciiTheme="minorHAnsi" w:hAnsiTheme="minorHAnsi" w:cstheme="minorHAnsi"/>
          <w:sz w:val="22"/>
          <w:szCs w:val="22"/>
        </w:rPr>
        <w:t>.3.2</w:t>
      </w:r>
      <w:r w:rsidRPr="00F811CB">
        <w:rPr>
          <w:rFonts w:asciiTheme="minorHAnsi" w:hAnsiTheme="minorHAnsi" w:cstheme="minorHAnsi"/>
          <w:sz w:val="22"/>
          <w:szCs w:val="22"/>
        </w:rPr>
        <w:tab/>
        <w:t xml:space="preserve">The System Operators shall reject a </w:t>
      </w:r>
      <w:r w:rsidR="00661E5D" w:rsidRPr="00F811CB">
        <w:rPr>
          <w:rFonts w:asciiTheme="minorHAnsi" w:hAnsiTheme="minorHAnsi" w:cstheme="minorHAnsi"/>
          <w:sz w:val="22"/>
          <w:szCs w:val="22"/>
        </w:rPr>
        <w:t xml:space="preserve">proposed </w:t>
      </w:r>
      <w:r w:rsidRPr="00F811CB">
        <w:rPr>
          <w:rFonts w:asciiTheme="minorHAnsi" w:hAnsiTheme="minorHAnsi" w:cstheme="minorHAnsi"/>
          <w:sz w:val="22"/>
          <w:szCs w:val="22"/>
        </w:rPr>
        <w:t xml:space="preserve">Secondary Trade </w:t>
      </w:r>
      <w:r w:rsidR="00661E5D" w:rsidRPr="00F811CB">
        <w:rPr>
          <w:rFonts w:asciiTheme="minorHAnsi" w:hAnsiTheme="minorHAnsi" w:cstheme="minorHAnsi"/>
          <w:sz w:val="22"/>
          <w:szCs w:val="22"/>
        </w:rPr>
        <w:t>set out</w:t>
      </w:r>
      <w:r w:rsidR="00902F86" w:rsidRPr="00F811CB">
        <w:rPr>
          <w:rFonts w:asciiTheme="minorHAnsi" w:hAnsiTheme="minorHAnsi" w:cstheme="minorHAnsi"/>
          <w:sz w:val="22"/>
          <w:szCs w:val="22"/>
        </w:rPr>
        <w:t xml:space="preserve"> in an Alternative Secondary Trade Notification</w:t>
      </w:r>
      <w:r w:rsidRPr="00F811CB">
        <w:rPr>
          <w:rFonts w:asciiTheme="minorHAnsi" w:hAnsiTheme="minorHAnsi" w:cstheme="minorHAnsi"/>
          <w:sz w:val="22"/>
          <w:szCs w:val="22"/>
        </w:rPr>
        <w:t xml:space="preserve"> if:</w:t>
      </w:r>
    </w:p>
    <w:p w14:paraId="36B914CB" w14:textId="07E41A02" w:rsidR="00902F86" w:rsidRPr="00F811CB" w:rsidRDefault="00422108" w:rsidP="00422108">
      <w:pPr>
        <w:pStyle w:val="ListParagraph"/>
        <w:widowControl w:val="0"/>
        <w:numPr>
          <w:ilvl w:val="4"/>
          <w:numId w:val="2"/>
        </w:numPr>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i</w:t>
      </w:r>
      <w:r w:rsidR="00902F86" w:rsidRPr="00F811CB">
        <w:rPr>
          <w:rFonts w:asciiTheme="minorHAnsi" w:hAnsiTheme="minorHAnsi" w:cstheme="minorHAnsi"/>
          <w:sz w:val="22"/>
          <w:szCs w:val="22"/>
        </w:rPr>
        <w:t xml:space="preserve">t does not form part of a matching </w:t>
      </w:r>
      <w:r w:rsidR="00751DC3" w:rsidRPr="00F811CB">
        <w:rPr>
          <w:rFonts w:asciiTheme="minorHAnsi" w:hAnsiTheme="minorHAnsi" w:cstheme="minorHAnsi"/>
          <w:sz w:val="22"/>
          <w:szCs w:val="22"/>
        </w:rPr>
        <w:t>T</w:t>
      </w:r>
      <w:r w:rsidR="00902F86" w:rsidRPr="00F811CB">
        <w:rPr>
          <w:rFonts w:asciiTheme="minorHAnsi" w:hAnsiTheme="minorHAnsi" w:cstheme="minorHAnsi"/>
          <w:sz w:val="22"/>
          <w:szCs w:val="22"/>
        </w:rPr>
        <w:t xml:space="preserve">rade </w:t>
      </w:r>
      <w:r w:rsidR="00751DC3" w:rsidRPr="00F811CB">
        <w:rPr>
          <w:rFonts w:asciiTheme="minorHAnsi" w:hAnsiTheme="minorHAnsi" w:cstheme="minorHAnsi"/>
          <w:sz w:val="22"/>
          <w:szCs w:val="22"/>
        </w:rPr>
        <w:t>P</w:t>
      </w:r>
      <w:r w:rsidR="00902F86" w:rsidRPr="00F811CB">
        <w:rPr>
          <w:rFonts w:asciiTheme="minorHAnsi" w:hAnsiTheme="minorHAnsi" w:cstheme="minorHAnsi"/>
          <w:sz w:val="22"/>
          <w:szCs w:val="22"/>
        </w:rPr>
        <w:t>air</w:t>
      </w:r>
      <w:r w:rsidR="00751DC3" w:rsidRPr="00F811CB">
        <w:rPr>
          <w:rFonts w:asciiTheme="minorHAnsi" w:hAnsiTheme="minorHAnsi" w:cstheme="minorHAnsi"/>
          <w:sz w:val="22"/>
          <w:szCs w:val="22"/>
        </w:rPr>
        <w:t>, where a Trade Pair is formed of matching Alternative Secondary Trade Notifications</w:t>
      </w:r>
      <w:r w:rsidR="00B179A1" w:rsidRPr="00F811CB">
        <w:rPr>
          <w:rFonts w:asciiTheme="minorHAnsi" w:hAnsiTheme="minorHAnsi" w:cstheme="minorHAnsi"/>
          <w:sz w:val="22"/>
          <w:szCs w:val="22"/>
        </w:rPr>
        <w:t xml:space="preserve"> from Buyer and Seller submitted </w:t>
      </w:r>
      <w:r w:rsidR="00164E8F" w:rsidRPr="00F811CB">
        <w:rPr>
          <w:rFonts w:asciiTheme="minorHAnsi" w:hAnsiTheme="minorHAnsi" w:cstheme="minorHAnsi"/>
          <w:sz w:val="22"/>
          <w:szCs w:val="22"/>
        </w:rPr>
        <w:t>on the same</w:t>
      </w:r>
      <w:r w:rsidR="00B179A1" w:rsidRPr="00F811CB">
        <w:rPr>
          <w:rFonts w:asciiTheme="minorHAnsi" w:hAnsiTheme="minorHAnsi" w:cstheme="minorHAnsi"/>
          <w:sz w:val="22"/>
          <w:szCs w:val="22"/>
        </w:rPr>
        <w:t xml:space="preserve"> Working Day</w:t>
      </w:r>
      <w:r w:rsidR="00902F86" w:rsidRPr="00F811CB">
        <w:rPr>
          <w:rFonts w:asciiTheme="minorHAnsi" w:hAnsiTheme="minorHAnsi" w:cstheme="minorHAnsi"/>
          <w:sz w:val="22"/>
          <w:szCs w:val="22"/>
        </w:rPr>
        <w:t>;</w:t>
      </w:r>
    </w:p>
    <w:p w14:paraId="6BC8E45D" w14:textId="76D01C04" w:rsidR="00B35342" w:rsidRPr="00F811CB" w:rsidRDefault="00B35342" w:rsidP="00422108">
      <w:pPr>
        <w:pStyle w:val="ListParagraph"/>
        <w:widowControl w:val="0"/>
        <w:numPr>
          <w:ilvl w:val="4"/>
          <w:numId w:val="2"/>
        </w:numPr>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 xml:space="preserve">the start of the proposed trade is </w:t>
      </w:r>
      <w:r w:rsidR="003D3FF4" w:rsidRPr="00F811CB">
        <w:rPr>
          <w:rFonts w:asciiTheme="minorHAnsi" w:hAnsiTheme="minorHAnsi" w:cstheme="minorHAnsi"/>
          <w:sz w:val="22"/>
          <w:szCs w:val="22"/>
        </w:rPr>
        <w:t xml:space="preserve">prior to 5 Working Days after </w:t>
      </w:r>
      <w:r w:rsidRPr="00F811CB">
        <w:rPr>
          <w:rFonts w:asciiTheme="minorHAnsi" w:hAnsiTheme="minorHAnsi" w:cstheme="minorHAnsi"/>
          <w:sz w:val="22"/>
          <w:szCs w:val="22"/>
        </w:rPr>
        <w:t>the trade was notified;</w:t>
      </w:r>
    </w:p>
    <w:p w14:paraId="24F9BD6A" w14:textId="3AF0D8A5" w:rsidR="00B35342" w:rsidRPr="00F811CB" w:rsidRDefault="00B35342" w:rsidP="00422108">
      <w:pPr>
        <w:pStyle w:val="ListParagraph"/>
        <w:widowControl w:val="0"/>
        <w:numPr>
          <w:ilvl w:val="4"/>
          <w:numId w:val="2"/>
        </w:numPr>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the end of the proposed trade is at or before its start;</w:t>
      </w:r>
    </w:p>
    <w:p w14:paraId="27DE0932" w14:textId="0C776450" w:rsidR="000B3E6B" w:rsidRPr="00F811CB" w:rsidRDefault="000B3E6B" w:rsidP="00422108">
      <w:pPr>
        <w:pStyle w:val="ListParagraph"/>
        <w:widowControl w:val="0"/>
        <w:numPr>
          <w:ilvl w:val="4"/>
          <w:numId w:val="2"/>
        </w:numPr>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the MW quantity of the proposed trade after adjustment pursuant to M.11.2.4 is zero; or</w:t>
      </w:r>
    </w:p>
    <w:p w14:paraId="464B79E6" w14:textId="3375D270" w:rsidR="00902F86" w:rsidRPr="00F811CB" w:rsidRDefault="00422108" w:rsidP="00422108">
      <w:pPr>
        <w:pStyle w:val="ListParagraph"/>
        <w:widowControl w:val="0"/>
        <w:numPr>
          <w:ilvl w:val="4"/>
          <w:numId w:val="2"/>
        </w:numPr>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i</w:t>
      </w:r>
      <w:r w:rsidR="00AC2E66" w:rsidRPr="00F811CB">
        <w:rPr>
          <w:rFonts w:asciiTheme="minorHAnsi" w:hAnsiTheme="minorHAnsi" w:cstheme="minorHAnsi"/>
          <w:sz w:val="22"/>
          <w:szCs w:val="22"/>
        </w:rPr>
        <w:t>t does not comply with the requirements set out in this section M.11</w:t>
      </w:r>
      <w:r w:rsidR="0065774C" w:rsidRPr="00F811CB">
        <w:rPr>
          <w:rFonts w:asciiTheme="minorHAnsi" w:hAnsiTheme="minorHAnsi" w:cstheme="minorHAnsi"/>
          <w:sz w:val="22"/>
          <w:szCs w:val="22"/>
        </w:rPr>
        <w:t>.</w:t>
      </w:r>
    </w:p>
    <w:p w14:paraId="4A16EED9" w14:textId="0D338ACE" w:rsidR="004F4F7A" w:rsidRPr="00F811CB" w:rsidRDefault="004F4F7A" w:rsidP="004F4F7A">
      <w:pPr>
        <w:widowControl w:val="0"/>
        <w:overflowPunct/>
        <w:adjustRightInd/>
        <w:spacing w:before="121"/>
        <w:ind w:left="1134" w:hanging="1134"/>
        <w:rPr>
          <w:rFonts w:asciiTheme="minorHAnsi" w:hAnsiTheme="minorHAnsi" w:cstheme="minorHAnsi"/>
          <w:sz w:val="22"/>
          <w:szCs w:val="22"/>
        </w:rPr>
      </w:pPr>
      <w:r w:rsidRPr="00F811CB">
        <w:rPr>
          <w:rFonts w:asciiTheme="minorHAnsi" w:hAnsiTheme="minorHAnsi" w:cstheme="minorHAnsi"/>
          <w:sz w:val="22"/>
          <w:szCs w:val="22"/>
        </w:rPr>
        <w:t>M.11.3.3</w:t>
      </w:r>
      <w:r w:rsidRPr="00F811CB">
        <w:rPr>
          <w:rFonts w:asciiTheme="minorHAnsi" w:hAnsiTheme="minorHAnsi" w:cstheme="minorHAnsi"/>
          <w:sz w:val="22"/>
          <w:szCs w:val="22"/>
        </w:rPr>
        <w:tab/>
        <w:t xml:space="preserve">The System Operators shall notify Participants </w:t>
      </w:r>
      <w:r w:rsidR="0076182D" w:rsidRPr="00F811CB">
        <w:rPr>
          <w:rFonts w:asciiTheme="minorHAnsi" w:hAnsiTheme="minorHAnsi" w:cstheme="minorHAnsi"/>
          <w:sz w:val="22"/>
          <w:szCs w:val="22"/>
        </w:rPr>
        <w:t>if their proposed Secondary Trade is rejected pursuant to M.11.3.2 as soon as practicable, ide</w:t>
      </w:r>
      <w:r w:rsidR="00060E55" w:rsidRPr="00F811CB">
        <w:rPr>
          <w:rFonts w:asciiTheme="minorHAnsi" w:hAnsiTheme="minorHAnsi" w:cstheme="minorHAnsi"/>
          <w:sz w:val="22"/>
          <w:szCs w:val="22"/>
        </w:rPr>
        <w:t>n</w:t>
      </w:r>
      <w:r w:rsidR="0076182D" w:rsidRPr="00F811CB">
        <w:rPr>
          <w:rFonts w:asciiTheme="minorHAnsi" w:hAnsiTheme="minorHAnsi" w:cstheme="minorHAnsi"/>
          <w:sz w:val="22"/>
          <w:szCs w:val="22"/>
        </w:rPr>
        <w:t>tifying the reason for such rejection</w:t>
      </w:r>
      <w:r w:rsidR="00060E55" w:rsidRPr="00F811CB">
        <w:rPr>
          <w:rFonts w:asciiTheme="minorHAnsi" w:hAnsiTheme="minorHAnsi" w:cstheme="minorHAnsi"/>
          <w:sz w:val="22"/>
          <w:szCs w:val="22"/>
        </w:rPr>
        <w:t>.</w:t>
      </w:r>
    </w:p>
    <w:p w14:paraId="6DC66A4F" w14:textId="5295632D" w:rsidR="00CD7E0F" w:rsidRPr="00F811CB" w:rsidRDefault="00CD7E0F" w:rsidP="003E45E7">
      <w:pPr>
        <w:widowControl w:val="0"/>
        <w:overflowPunct/>
        <w:adjustRightInd/>
        <w:spacing w:before="121"/>
        <w:ind w:hanging="1440"/>
        <w:rPr>
          <w:rFonts w:asciiTheme="minorHAnsi" w:hAnsiTheme="minorHAnsi" w:cstheme="minorHAnsi"/>
          <w:sz w:val="22"/>
          <w:szCs w:val="22"/>
        </w:rPr>
      </w:pPr>
    </w:p>
    <w:p w14:paraId="13D1EAE9" w14:textId="0334546C" w:rsidR="001E7301" w:rsidRPr="00F811CB" w:rsidRDefault="001E7301" w:rsidP="00422108">
      <w:pPr>
        <w:widowControl w:val="0"/>
        <w:tabs>
          <w:tab w:val="left" w:pos="1134"/>
          <w:tab w:val="left" w:pos="1418"/>
        </w:tabs>
        <w:overflowPunct/>
        <w:adjustRightInd/>
        <w:spacing w:before="121"/>
        <w:rPr>
          <w:rFonts w:asciiTheme="minorHAnsi" w:hAnsiTheme="minorHAnsi" w:cstheme="minorHAnsi"/>
          <w:sz w:val="22"/>
          <w:szCs w:val="22"/>
        </w:rPr>
      </w:pPr>
      <w:r w:rsidRPr="00F811CB">
        <w:rPr>
          <w:rFonts w:asciiTheme="minorHAnsi" w:hAnsiTheme="minorHAnsi" w:cstheme="minorHAnsi"/>
          <w:sz w:val="22"/>
          <w:szCs w:val="22"/>
        </w:rPr>
        <w:t>M.11.</w:t>
      </w:r>
      <w:r w:rsidR="00CA40B7" w:rsidRPr="00F811CB">
        <w:rPr>
          <w:rFonts w:asciiTheme="minorHAnsi" w:hAnsiTheme="minorHAnsi" w:cstheme="minorHAnsi"/>
          <w:sz w:val="22"/>
          <w:szCs w:val="22"/>
        </w:rPr>
        <w:t>4</w:t>
      </w:r>
      <w:r w:rsidR="00422108" w:rsidRPr="00F811CB">
        <w:rPr>
          <w:rFonts w:asciiTheme="minorHAnsi" w:hAnsiTheme="minorHAnsi" w:cstheme="minorHAnsi"/>
          <w:sz w:val="22"/>
          <w:szCs w:val="22"/>
        </w:rPr>
        <w:tab/>
      </w:r>
      <w:r w:rsidRPr="00F811CB">
        <w:rPr>
          <w:rFonts w:asciiTheme="minorHAnsi" w:hAnsiTheme="minorHAnsi" w:cstheme="minorHAnsi"/>
          <w:b/>
          <w:bCs/>
          <w:sz w:val="22"/>
          <w:szCs w:val="22"/>
        </w:rPr>
        <w:t>Product Load Following Factor</w:t>
      </w:r>
    </w:p>
    <w:p w14:paraId="772DA1FE" w14:textId="72D06B63" w:rsidR="001E7301" w:rsidRPr="00F811CB" w:rsidRDefault="00CA40B7" w:rsidP="00422108">
      <w:pPr>
        <w:widowControl w:val="0"/>
        <w:tabs>
          <w:tab w:val="left" w:pos="1134"/>
          <w:tab w:val="left" w:pos="1418"/>
        </w:tabs>
        <w:overflowPunct/>
        <w:adjustRightInd/>
        <w:spacing w:before="121"/>
        <w:ind w:left="1134" w:hanging="1134"/>
        <w:rPr>
          <w:rFonts w:asciiTheme="minorHAnsi" w:hAnsiTheme="minorHAnsi" w:cstheme="minorHAnsi"/>
          <w:sz w:val="22"/>
          <w:szCs w:val="22"/>
        </w:rPr>
      </w:pPr>
      <w:r w:rsidRPr="00F811CB">
        <w:rPr>
          <w:rFonts w:asciiTheme="minorHAnsi" w:hAnsiTheme="minorHAnsi" w:cstheme="minorHAnsi"/>
          <w:sz w:val="22"/>
          <w:szCs w:val="22"/>
        </w:rPr>
        <w:t>M.11.4.1</w:t>
      </w:r>
      <w:r w:rsidRPr="00F811CB">
        <w:rPr>
          <w:rFonts w:asciiTheme="minorHAnsi" w:hAnsiTheme="minorHAnsi" w:cstheme="minorHAnsi"/>
          <w:sz w:val="22"/>
          <w:szCs w:val="22"/>
        </w:rPr>
        <w:tab/>
      </w:r>
      <w:r w:rsidR="001E7301" w:rsidRPr="00F811CB">
        <w:rPr>
          <w:rFonts w:asciiTheme="minorHAnsi" w:hAnsiTheme="minorHAnsi" w:cstheme="minorHAnsi"/>
          <w:sz w:val="22"/>
          <w:szCs w:val="22"/>
        </w:rPr>
        <w:t>The Product Load Following Factor for a Product is a value that allows for the impact of the Capacity Quantity Scaling Factor (as calculated in accordance with paragraph F.18.2.1 of the Trading and Settlement Code).</w:t>
      </w:r>
    </w:p>
    <w:p w14:paraId="7F8CF2BB" w14:textId="286E65F3" w:rsidR="004872FA" w:rsidRPr="00F811CB" w:rsidRDefault="0096064A" w:rsidP="00422108">
      <w:pPr>
        <w:widowControl w:val="0"/>
        <w:tabs>
          <w:tab w:val="left" w:pos="1134"/>
          <w:tab w:val="left" w:pos="1418"/>
        </w:tabs>
        <w:overflowPunct/>
        <w:adjustRightInd/>
        <w:spacing w:before="121"/>
        <w:ind w:left="1134" w:hanging="1134"/>
        <w:rPr>
          <w:rFonts w:asciiTheme="minorHAnsi" w:hAnsiTheme="minorHAnsi" w:cstheme="minorHAnsi"/>
          <w:sz w:val="22"/>
          <w:szCs w:val="22"/>
        </w:rPr>
      </w:pPr>
      <w:r w:rsidRPr="00F811CB">
        <w:rPr>
          <w:rFonts w:asciiTheme="minorHAnsi" w:hAnsiTheme="minorHAnsi" w:cstheme="minorHAnsi"/>
          <w:sz w:val="22"/>
          <w:szCs w:val="22"/>
        </w:rPr>
        <w:t>M.11.4.2</w:t>
      </w:r>
      <w:r w:rsidRPr="00F811CB">
        <w:rPr>
          <w:rFonts w:asciiTheme="minorHAnsi" w:hAnsiTheme="minorHAnsi" w:cstheme="minorHAnsi"/>
          <w:sz w:val="22"/>
          <w:szCs w:val="22"/>
        </w:rPr>
        <w:tab/>
        <w:t xml:space="preserve">The System Operators shall </w:t>
      </w:r>
      <w:r w:rsidR="00224479" w:rsidRPr="00F811CB">
        <w:rPr>
          <w:rFonts w:asciiTheme="minorHAnsi" w:hAnsiTheme="minorHAnsi" w:cstheme="minorHAnsi"/>
          <w:sz w:val="22"/>
          <w:szCs w:val="22"/>
        </w:rPr>
        <w:t>submit</w:t>
      </w:r>
      <w:r w:rsidRPr="00F811CB">
        <w:rPr>
          <w:rFonts w:asciiTheme="minorHAnsi" w:hAnsiTheme="minorHAnsi" w:cstheme="minorHAnsi"/>
          <w:sz w:val="22"/>
          <w:szCs w:val="22"/>
        </w:rPr>
        <w:t xml:space="preserve"> weekly values for </w:t>
      </w:r>
      <w:r w:rsidR="00C9665B" w:rsidRPr="00F811CB">
        <w:rPr>
          <w:rFonts w:asciiTheme="minorHAnsi" w:hAnsiTheme="minorHAnsi" w:cstheme="minorHAnsi"/>
          <w:sz w:val="22"/>
          <w:szCs w:val="22"/>
        </w:rPr>
        <w:t>the Product Load Following Factor</w:t>
      </w:r>
      <w:r w:rsidR="00325A58" w:rsidRPr="00F811CB">
        <w:rPr>
          <w:rFonts w:asciiTheme="minorHAnsi" w:hAnsiTheme="minorHAnsi" w:cstheme="minorHAnsi"/>
          <w:sz w:val="22"/>
          <w:szCs w:val="22"/>
        </w:rPr>
        <w:t xml:space="preserve"> for a Capacity Year</w:t>
      </w:r>
      <w:r w:rsidR="00C9665B" w:rsidRPr="00F811CB">
        <w:rPr>
          <w:rFonts w:asciiTheme="minorHAnsi" w:hAnsiTheme="minorHAnsi" w:cstheme="minorHAnsi"/>
          <w:sz w:val="22"/>
          <w:szCs w:val="22"/>
        </w:rPr>
        <w:t xml:space="preserve"> </w:t>
      </w:r>
      <w:r w:rsidR="004E0EB5" w:rsidRPr="00F811CB">
        <w:rPr>
          <w:rFonts w:asciiTheme="minorHAnsi" w:hAnsiTheme="minorHAnsi" w:cstheme="minorHAnsi"/>
          <w:sz w:val="22"/>
          <w:szCs w:val="22"/>
        </w:rPr>
        <w:t xml:space="preserve">to the Regulatory Authorities </w:t>
      </w:r>
      <w:r w:rsidR="0081197B" w:rsidRPr="00F811CB">
        <w:rPr>
          <w:rFonts w:asciiTheme="minorHAnsi" w:hAnsiTheme="minorHAnsi" w:cstheme="minorHAnsi"/>
          <w:sz w:val="22"/>
          <w:szCs w:val="22"/>
        </w:rPr>
        <w:t xml:space="preserve">for approval </w:t>
      </w:r>
      <w:r w:rsidR="00C9665B" w:rsidRPr="00F811CB">
        <w:rPr>
          <w:rFonts w:asciiTheme="minorHAnsi" w:hAnsiTheme="minorHAnsi" w:cstheme="minorHAnsi"/>
          <w:sz w:val="22"/>
          <w:szCs w:val="22"/>
        </w:rPr>
        <w:t xml:space="preserve">at least </w:t>
      </w:r>
      <w:r w:rsidR="00C36720" w:rsidRPr="00F811CB">
        <w:rPr>
          <w:rFonts w:asciiTheme="minorHAnsi" w:hAnsiTheme="minorHAnsi" w:cstheme="minorHAnsi"/>
          <w:sz w:val="22"/>
          <w:szCs w:val="22"/>
        </w:rPr>
        <w:t>3</w:t>
      </w:r>
      <w:r w:rsidR="00C9665B" w:rsidRPr="00F811CB">
        <w:rPr>
          <w:rFonts w:asciiTheme="minorHAnsi" w:hAnsiTheme="minorHAnsi" w:cstheme="minorHAnsi"/>
          <w:sz w:val="22"/>
          <w:szCs w:val="22"/>
        </w:rPr>
        <w:t xml:space="preserve"> months </w:t>
      </w:r>
      <w:r w:rsidR="007D041A" w:rsidRPr="00F811CB">
        <w:rPr>
          <w:rFonts w:asciiTheme="minorHAnsi" w:hAnsiTheme="minorHAnsi" w:cstheme="minorHAnsi"/>
          <w:sz w:val="22"/>
          <w:szCs w:val="22"/>
        </w:rPr>
        <w:t>prior to</w:t>
      </w:r>
      <w:r w:rsidR="00C9665B" w:rsidRPr="00F811CB">
        <w:rPr>
          <w:rFonts w:asciiTheme="minorHAnsi" w:hAnsiTheme="minorHAnsi" w:cstheme="minorHAnsi"/>
          <w:sz w:val="22"/>
          <w:szCs w:val="22"/>
        </w:rPr>
        <w:t xml:space="preserve"> the start of </w:t>
      </w:r>
      <w:r w:rsidR="00325A58" w:rsidRPr="00F811CB">
        <w:rPr>
          <w:rFonts w:asciiTheme="minorHAnsi" w:hAnsiTheme="minorHAnsi" w:cstheme="minorHAnsi"/>
          <w:sz w:val="22"/>
          <w:szCs w:val="22"/>
        </w:rPr>
        <w:t>th</w:t>
      </w:r>
      <w:r w:rsidR="00C36720" w:rsidRPr="00F811CB">
        <w:rPr>
          <w:rFonts w:asciiTheme="minorHAnsi" w:hAnsiTheme="minorHAnsi" w:cstheme="minorHAnsi"/>
          <w:sz w:val="22"/>
          <w:szCs w:val="22"/>
        </w:rPr>
        <w:t>e preceding</w:t>
      </w:r>
      <w:r w:rsidR="00664A0A" w:rsidRPr="00F811CB">
        <w:rPr>
          <w:rFonts w:asciiTheme="minorHAnsi" w:hAnsiTheme="minorHAnsi" w:cstheme="minorHAnsi"/>
          <w:sz w:val="22"/>
          <w:szCs w:val="22"/>
        </w:rPr>
        <w:t xml:space="preserve"> </w:t>
      </w:r>
      <w:r w:rsidR="00C9665B" w:rsidRPr="00F811CB">
        <w:rPr>
          <w:rFonts w:asciiTheme="minorHAnsi" w:hAnsiTheme="minorHAnsi" w:cstheme="minorHAnsi"/>
          <w:sz w:val="22"/>
          <w:szCs w:val="22"/>
        </w:rPr>
        <w:t>Capacity Year</w:t>
      </w:r>
      <w:r w:rsidR="007D041A" w:rsidRPr="00F811CB">
        <w:rPr>
          <w:rFonts w:asciiTheme="minorHAnsi" w:hAnsiTheme="minorHAnsi" w:cstheme="minorHAnsi"/>
          <w:sz w:val="22"/>
          <w:szCs w:val="22"/>
        </w:rPr>
        <w:t>,</w:t>
      </w:r>
      <w:r w:rsidR="00C9665B" w:rsidRPr="00F811CB">
        <w:rPr>
          <w:rFonts w:asciiTheme="minorHAnsi" w:hAnsiTheme="minorHAnsi" w:cstheme="minorHAnsi"/>
          <w:sz w:val="22"/>
          <w:szCs w:val="22"/>
        </w:rPr>
        <w:t xml:space="preserve"> or as requested by the Regulatory Authorities.</w:t>
      </w:r>
    </w:p>
    <w:p w14:paraId="40B4A74E" w14:textId="68BEC820" w:rsidR="0096064A" w:rsidRPr="00F811CB" w:rsidRDefault="004872FA" w:rsidP="00422108">
      <w:pPr>
        <w:widowControl w:val="0"/>
        <w:tabs>
          <w:tab w:val="left" w:pos="1134"/>
          <w:tab w:val="left" w:pos="1418"/>
        </w:tabs>
        <w:overflowPunct/>
        <w:adjustRightInd/>
        <w:spacing w:before="121"/>
        <w:ind w:left="1134" w:hanging="1134"/>
        <w:rPr>
          <w:rFonts w:asciiTheme="minorHAnsi" w:hAnsiTheme="minorHAnsi" w:cstheme="minorHAnsi"/>
          <w:sz w:val="22"/>
          <w:szCs w:val="22"/>
        </w:rPr>
      </w:pPr>
      <w:r w:rsidRPr="00F811CB">
        <w:rPr>
          <w:rFonts w:asciiTheme="minorHAnsi" w:hAnsiTheme="minorHAnsi" w:cstheme="minorHAnsi"/>
          <w:sz w:val="22"/>
          <w:szCs w:val="22"/>
        </w:rPr>
        <w:t>M.11.4.3</w:t>
      </w:r>
      <w:r w:rsidRPr="00F811CB">
        <w:rPr>
          <w:rFonts w:asciiTheme="minorHAnsi" w:hAnsiTheme="minorHAnsi" w:cstheme="minorHAnsi"/>
          <w:sz w:val="22"/>
          <w:szCs w:val="22"/>
        </w:rPr>
        <w:tab/>
      </w:r>
      <w:r w:rsidR="009B5DFC" w:rsidRPr="00F811CB">
        <w:rPr>
          <w:rFonts w:asciiTheme="minorHAnsi" w:hAnsiTheme="minorHAnsi" w:cstheme="minorHAnsi"/>
          <w:sz w:val="22"/>
          <w:szCs w:val="22"/>
        </w:rPr>
        <w:t>The</w:t>
      </w:r>
      <w:r w:rsidR="00645055" w:rsidRPr="00F811CB">
        <w:rPr>
          <w:rFonts w:asciiTheme="minorHAnsi" w:hAnsiTheme="minorHAnsi" w:cstheme="minorHAnsi"/>
          <w:sz w:val="22"/>
          <w:szCs w:val="22"/>
        </w:rPr>
        <w:t xml:space="preserve"> Product Load Following Factor for a week</w:t>
      </w:r>
      <w:r w:rsidR="009B5DFC" w:rsidRPr="00F811CB">
        <w:rPr>
          <w:rFonts w:asciiTheme="minorHAnsi" w:hAnsiTheme="minorHAnsi" w:cstheme="minorHAnsi"/>
          <w:sz w:val="22"/>
          <w:szCs w:val="22"/>
        </w:rPr>
        <w:t xml:space="preserve"> shall be determined </w:t>
      </w:r>
      <w:r w:rsidR="007D041A" w:rsidRPr="00F811CB">
        <w:rPr>
          <w:rFonts w:asciiTheme="minorHAnsi" w:hAnsiTheme="minorHAnsi" w:cstheme="minorHAnsi"/>
          <w:sz w:val="22"/>
          <w:szCs w:val="22"/>
        </w:rPr>
        <w:t>as the</w:t>
      </w:r>
      <w:r w:rsidR="009B5DFC" w:rsidRPr="00F811CB">
        <w:rPr>
          <w:rFonts w:asciiTheme="minorHAnsi" w:hAnsiTheme="minorHAnsi" w:cstheme="minorHAnsi"/>
          <w:sz w:val="22"/>
          <w:szCs w:val="22"/>
        </w:rPr>
        <w:t xml:space="preserve"> m</w:t>
      </w:r>
      <w:r w:rsidR="00E44ED6" w:rsidRPr="00F811CB">
        <w:rPr>
          <w:rFonts w:asciiTheme="minorHAnsi" w:hAnsiTheme="minorHAnsi" w:cstheme="minorHAnsi"/>
          <w:sz w:val="22"/>
          <w:szCs w:val="22"/>
        </w:rPr>
        <w:t>ax</w:t>
      </w:r>
      <w:r w:rsidR="009B5DFC" w:rsidRPr="00F811CB">
        <w:rPr>
          <w:rFonts w:asciiTheme="minorHAnsi" w:hAnsiTheme="minorHAnsi" w:cstheme="minorHAnsi"/>
          <w:sz w:val="22"/>
          <w:szCs w:val="22"/>
        </w:rPr>
        <w:t xml:space="preserve">imum value of the Capacity Quantity Scaling Factor </w:t>
      </w:r>
      <w:r w:rsidR="00645055" w:rsidRPr="00F811CB">
        <w:rPr>
          <w:rFonts w:asciiTheme="minorHAnsi" w:hAnsiTheme="minorHAnsi" w:cstheme="minorHAnsi"/>
          <w:sz w:val="22"/>
          <w:szCs w:val="22"/>
        </w:rPr>
        <w:t xml:space="preserve">in each of the Imbalance Settlement Periods comprising that week </w:t>
      </w:r>
      <w:r w:rsidR="004B76D6" w:rsidRPr="00F811CB">
        <w:rPr>
          <w:rFonts w:asciiTheme="minorHAnsi" w:hAnsiTheme="minorHAnsi" w:cstheme="minorHAnsi"/>
          <w:sz w:val="22"/>
          <w:szCs w:val="22"/>
        </w:rPr>
        <w:t>determin</w:t>
      </w:r>
      <w:r w:rsidR="005C195F" w:rsidRPr="00F811CB">
        <w:rPr>
          <w:rFonts w:asciiTheme="minorHAnsi" w:hAnsiTheme="minorHAnsi" w:cstheme="minorHAnsi"/>
          <w:sz w:val="22"/>
          <w:szCs w:val="22"/>
        </w:rPr>
        <w:t>ed</w:t>
      </w:r>
      <w:r w:rsidR="004B76D6" w:rsidRPr="00F811CB">
        <w:rPr>
          <w:rFonts w:asciiTheme="minorHAnsi" w:hAnsiTheme="minorHAnsi" w:cstheme="minorHAnsi"/>
          <w:sz w:val="22"/>
          <w:szCs w:val="22"/>
        </w:rPr>
        <w:t xml:space="preserve"> </w:t>
      </w:r>
      <w:r w:rsidR="005C195F" w:rsidRPr="00F811CB">
        <w:rPr>
          <w:rFonts w:asciiTheme="minorHAnsi" w:hAnsiTheme="minorHAnsi" w:cstheme="minorHAnsi"/>
          <w:sz w:val="22"/>
          <w:szCs w:val="22"/>
        </w:rPr>
        <w:t xml:space="preserve">as </w:t>
      </w:r>
      <w:r w:rsidR="004B76D6" w:rsidRPr="00F811CB">
        <w:rPr>
          <w:rFonts w:asciiTheme="minorHAnsi" w:hAnsiTheme="minorHAnsi" w:cstheme="minorHAnsi"/>
          <w:sz w:val="22"/>
          <w:szCs w:val="22"/>
        </w:rPr>
        <w:t>set out in paragraph F.18.2.1 of the TSC</w:t>
      </w:r>
      <w:r w:rsidR="00645055" w:rsidRPr="00F811CB">
        <w:rPr>
          <w:rFonts w:asciiTheme="minorHAnsi" w:hAnsiTheme="minorHAnsi" w:cstheme="minorHAnsi"/>
          <w:sz w:val="22"/>
          <w:szCs w:val="22"/>
        </w:rPr>
        <w:t xml:space="preserve"> </w:t>
      </w:r>
      <w:r w:rsidR="005C195F" w:rsidRPr="00F811CB">
        <w:rPr>
          <w:rFonts w:asciiTheme="minorHAnsi" w:hAnsiTheme="minorHAnsi" w:cstheme="minorHAnsi"/>
          <w:sz w:val="22"/>
          <w:szCs w:val="22"/>
        </w:rPr>
        <w:t>using</w:t>
      </w:r>
      <w:r w:rsidR="00645055" w:rsidRPr="00F811CB">
        <w:rPr>
          <w:rFonts w:asciiTheme="minorHAnsi" w:hAnsiTheme="minorHAnsi" w:cstheme="minorHAnsi"/>
          <w:sz w:val="22"/>
          <w:szCs w:val="22"/>
        </w:rPr>
        <w:t xml:space="preserve"> the best available estimate of the inputs</w:t>
      </w:r>
      <w:r w:rsidR="00B70D0A" w:rsidRPr="00F811CB">
        <w:rPr>
          <w:rFonts w:asciiTheme="minorHAnsi" w:hAnsiTheme="minorHAnsi" w:cstheme="minorHAnsi"/>
          <w:sz w:val="22"/>
          <w:szCs w:val="22"/>
        </w:rPr>
        <w:t xml:space="preserve"> for that determination</w:t>
      </w:r>
      <w:r w:rsidR="00645055" w:rsidRPr="00F811CB">
        <w:rPr>
          <w:rFonts w:asciiTheme="minorHAnsi" w:hAnsiTheme="minorHAnsi" w:cstheme="minorHAnsi"/>
          <w:sz w:val="22"/>
          <w:szCs w:val="22"/>
        </w:rPr>
        <w:t>.</w:t>
      </w:r>
    </w:p>
    <w:p w14:paraId="27257FA6" w14:textId="5C875473" w:rsidR="00325A58" w:rsidRPr="00F811CB" w:rsidRDefault="00325A58" w:rsidP="00422108">
      <w:pPr>
        <w:widowControl w:val="0"/>
        <w:tabs>
          <w:tab w:val="left" w:pos="1134"/>
          <w:tab w:val="left" w:pos="1418"/>
        </w:tabs>
        <w:overflowPunct/>
        <w:adjustRightInd/>
        <w:spacing w:before="121"/>
        <w:ind w:left="1134" w:hanging="1134"/>
        <w:rPr>
          <w:rFonts w:asciiTheme="minorHAnsi" w:hAnsiTheme="minorHAnsi" w:cstheme="minorHAnsi"/>
          <w:sz w:val="22"/>
          <w:szCs w:val="22"/>
        </w:rPr>
      </w:pPr>
      <w:r w:rsidRPr="00F811CB">
        <w:rPr>
          <w:rFonts w:asciiTheme="minorHAnsi" w:hAnsiTheme="minorHAnsi" w:cstheme="minorHAnsi"/>
          <w:sz w:val="22"/>
          <w:szCs w:val="22"/>
        </w:rPr>
        <w:t>M.11.4.3</w:t>
      </w:r>
      <w:r w:rsidRPr="00F811CB">
        <w:rPr>
          <w:rFonts w:asciiTheme="minorHAnsi" w:hAnsiTheme="minorHAnsi" w:cstheme="minorHAnsi"/>
          <w:sz w:val="22"/>
          <w:szCs w:val="22"/>
        </w:rPr>
        <w:tab/>
      </w:r>
      <w:r w:rsidR="006C439C" w:rsidRPr="00F811CB">
        <w:rPr>
          <w:rFonts w:asciiTheme="minorHAnsi" w:hAnsiTheme="minorHAnsi" w:cstheme="minorHAnsi"/>
          <w:sz w:val="22"/>
          <w:szCs w:val="22"/>
        </w:rPr>
        <w:t>If th</w:t>
      </w:r>
      <w:r w:rsidRPr="00F811CB">
        <w:rPr>
          <w:rFonts w:asciiTheme="minorHAnsi" w:hAnsiTheme="minorHAnsi" w:cstheme="minorHAnsi"/>
          <w:sz w:val="22"/>
          <w:szCs w:val="22"/>
        </w:rPr>
        <w:t xml:space="preserve">e </w:t>
      </w:r>
      <w:r w:rsidR="00172FC8" w:rsidRPr="00F811CB">
        <w:rPr>
          <w:rFonts w:asciiTheme="minorHAnsi" w:hAnsiTheme="minorHAnsi" w:cstheme="minorHAnsi"/>
          <w:sz w:val="22"/>
          <w:szCs w:val="22"/>
        </w:rPr>
        <w:t xml:space="preserve">Regulatory Authorities </w:t>
      </w:r>
      <w:r w:rsidR="006C439C" w:rsidRPr="00F811CB">
        <w:rPr>
          <w:rFonts w:asciiTheme="minorHAnsi" w:hAnsiTheme="minorHAnsi" w:cstheme="minorHAnsi"/>
          <w:sz w:val="22"/>
          <w:szCs w:val="22"/>
        </w:rPr>
        <w:t>do not approve or reject and request a re-determination of the Product Load Following Factor within 20 Working Days, the values shall be deemed to have been approved.</w:t>
      </w:r>
    </w:p>
    <w:p w14:paraId="480A890B" w14:textId="6347C063" w:rsidR="001E7301" w:rsidRPr="00F811CB" w:rsidRDefault="00CA40B7" w:rsidP="00422108">
      <w:pPr>
        <w:widowControl w:val="0"/>
        <w:tabs>
          <w:tab w:val="left" w:pos="1134"/>
        </w:tabs>
        <w:overflowPunct/>
        <w:adjustRightInd/>
        <w:spacing w:before="121"/>
        <w:ind w:left="1134" w:hanging="1134"/>
        <w:rPr>
          <w:rFonts w:asciiTheme="minorHAnsi" w:hAnsiTheme="minorHAnsi" w:cstheme="minorHAnsi"/>
          <w:sz w:val="22"/>
          <w:szCs w:val="22"/>
        </w:rPr>
      </w:pPr>
      <w:r w:rsidRPr="00F811CB">
        <w:rPr>
          <w:rFonts w:asciiTheme="minorHAnsi" w:hAnsiTheme="minorHAnsi" w:cstheme="minorHAnsi"/>
          <w:sz w:val="22"/>
          <w:szCs w:val="22"/>
        </w:rPr>
        <w:t>M.11.4.</w:t>
      </w:r>
      <w:r w:rsidR="00595645" w:rsidRPr="00F811CB">
        <w:rPr>
          <w:rFonts w:asciiTheme="minorHAnsi" w:hAnsiTheme="minorHAnsi" w:cstheme="minorHAnsi"/>
          <w:sz w:val="22"/>
          <w:szCs w:val="22"/>
        </w:rPr>
        <w:t>4</w:t>
      </w:r>
      <w:r w:rsidRPr="00F811CB">
        <w:rPr>
          <w:rFonts w:asciiTheme="minorHAnsi" w:hAnsiTheme="minorHAnsi" w:cstheme="minorHAnsi"/>
          <w:sz w:val="22"/>
          <w:szCs w:val="22"/>
        </w:rPr>
        <w:tab/>
      </w:r>
      <w:r w:rsidR="001E7301" w:rsidRPr="00F811CB">
        <w:rPr>
          <w:rFonts w:asciiTheme="minorHAnsi" w:hAnsiTheme="minorHAnsi" w:cstheme="minorHAnsi"/>
          <w:sz w:val="22"/>
          <w:szCs w:val="22"/>
        </w:rPr>
        <w:t>The Product Load Following Factor for the specific time interval covered by a</w:t>
      </w:r>
      <w:r w:rsidRPr="00F811CB">
        <w:rPr>
          <w:rFonts w:asciiTheme="minorHAnsi" w:hAnsiTheme="minorHAnsi" w:cstheme="minorHAnsi"/>
          <w:sz w:val="22"/>
          <w:szCs w:val="22"/>
        </w:rPr>
        <w:t xml:space="preserve"> proposed Secondary Trade</w:t>
      </w:r>
      <w:r w:rsidR="001E7301" w:rsidRPr="00F811CB">
        <w:rPr>
          <w:rFonts w:asciiTheme="minorHAnsi" w:hAnsiTheme="minorHAnsi" w:cstheme="minorHAnsi"/>
          <w:sz w:val="22"/>
          <w:szCs w:val="22"/>
        </w:rPr>
        <w:t xml:space="preserve"> shall be determined </w:t>
      </w:r>
      <w:r w:rsidR="00FE4D6D" w:rsidRPr="00F811CB">
        <w:rPr>
          <w:rFonts w:asciiTheme="minorHAnsi" w:hAnsiTheme="minorHAnsi" w:cstheme="minorHAnsi"/>
          <w:sz w:val="22"/>
          <w:szCs w:val="22"/>
        </w:rPr>
        <w:t xml:space="preserve">as </w:t>
      </w:r>
      <w:r w:rsidR="00C856CF" w:rsidRPr="00F811CB">
        <w:rPr>
          <w:rFonts w:asciiTheme="minorHAnsi" w:hAnsiTheme="minorHAnsi" w:cstheme="minorHAnsi"/>
          <w:sz w:val="22"/>
          <w:szCs w:val="22"/>
        </w:rPr>
        <w:t xml:space="preserve">the maximum value of the Product Load Following Factor which applies to any week </w:t>
      </w:r>
      <w:r w:rsidR="0044231E" w:rsidRPr="00F811CB">
        <w:rPr>
          <w:rFonts w:asciiTheme="minorHAnsi" w:hAnsiTheme="minorHAnsi" w:cstheme="minorHAnsi"/>
          <w:sz w:val="22"/>
          <w:szCs w:val="22"/>
        </w:rPr>
        <w:t xml:space="preserve">which includes a period </w:t>
      </w:r>
      <w:r w:rsidR="00C856CF" w:rsidRPr="00F811CB">
        <w:rPr>
          <w:rFonts w:asciiTheme="minorHAnsi" w:hAnsiTheme="minorHAnsi" w:cstheme="minorHAnsi"/>
          <w:sz w:val="22"/>
          <w:szCs w:val="22"/>
        </w:rPr>
        <w:t>covered by the proposed Secondary Trade</w:t>
      </w:r>
      <w:r w:rsidR="001E7301" w:rsidRPr="00F811CB">
        <w:rPr>
          <w:rFonts w:asciiTheme="minorHAnsi" w:hAnsiTheme="minorHAnsi" w:cstheme="minorHAnsi"/>
          <w:sz w:val="22"/>
          <w:szCs w:val="22"/>
        </w:rPr>
        <w:t>.</w:t>
      </w:r>
    </w:p>
    <w:p w14:paraId="1F18D321" w14:textId="07068763" w:rsidR="00595645" w:rsidRPr="00F811CB" w:rsidRDefault="00595645" w:rsidP="00422108">
      <w:pPr>
        <w:widowControl w:val="0"/>
        <w:tabs>
          <w:tab w:val="left" w:pos="1134"/>
        </w:tabs>
        <w:overflowPunct/>
        <w:adjustRightInd/>
        <w:spacing w:before="121"/>
        <w:ind w:left="1134" w:hanging="1134"/>
        <w:rPr>
          <w:rFonts w:asciiTheme="minorHAnsi" w:hAnsiTheme="minorHAnsi" w:cstheme="minorHAnsi"/>
          <w:sz w:val="22"/>
          <w:szCs w:val="22"/>
        </w:rPr>
      </w:pPr>
      <w:r w:rsidRPr="00F811CB">
        <w:rPr>
          <w:rFonts w:asciiTheme="minorHAnsi" w:hAnsiTheme="minorHAnsi" w:cstheme="minorHAnsi"/>
          <w:sz w:val="22"/>
          <w:szCs w:val="22"/>
        </w:rPr>
        <w:lastRenderedPageBreak/>
        <w:t>M.11.4.5</w:t>
      </w:r>
      <w:r w:rsidRPr="00F811CB">
        <w:rPr>
          <w:rFonts w:asciiTheme="minorHAnsi" w:hAnsiTheme="minorHAnsi" w:cstheme="minorHAnsi"/>
          <w:sz w:val="22"/>
          <w:szCs w:val="22"/>
        </w:rPr>
        <w:tab/>
        <w:t xml:space="preserve">The System Operators shall publish the </w:t>
      </w:r>
      <w:r w:rsidR="00F74A15" w:rsidRPr="00F811CB">
        <w:rPr>
          <w:rFonts w:asciiTheme="minorHAnsi" w:hAnsiTheme="minorHAnsi" w:cstheme="minorHAnsi"/>
          <w:sz w:val="22"/>
          <w:szCs w:val="22"/>
        </w:rPr>
        <w:t xml:space="preserve">values of Product Load Following Factor </w:t>
      </w:r>
      <w:r w:rsidR="000C4F97" w:rsidRPr="00F811CB">
        <w:rPr>
          <w:rFonts w:asciiTheme="minorHAnsi" w:hAnsiTheme="minorHAnsi" w:cstheme="minorHAnsi"/>
          <w:sz w:val="22"/>
          <w:szCs w:val="22"/>
        </w:rPr>
        <w:t xml:space="preserve">by </w:t>
      </w:r>
      <w:r w:rsidR="000B0869" w:rsidRPr="00F811CB">
        <w:rPr>
          <w:rFonts w:asciiTheme="minorHAnsi" w:hAnsiTheme="minorHAnsi" w:cstheme="minorHAnsi"/>
          <w:sz w:val="22"/>
          <w:szCs w:val="22"/>
        </w:rPr>
        <w:t>two</w:t>
      </w:r>
      <w:r w:rsidR="00F74A15" w:rsidRPr="00F811CB">
        <w:rPr>
          <w:rFonts w:asciiTheme="minorHAnsi" w:hAnsiTheme="minorHAnsi" w:cstheme="minorHAnsi"/>
          <w:sz w:val="22"/>
          <w:szCs w:val="22"/>
        </w:rPr>
        <w:t xml:space="preserve"> Working Days </w:t>
      </w:r>
      <w:r w:rsidR="000B0869" w:rsidRPr="00F811CB">
        <w:rPr>
          <w:rFonts w:asciiTheme="minorHAnsi" w:hAnsiTheme="minorHAnsi" w:cstheme="minorHAnsi"/>
          <w:sz w:val="22"/>
          <w:szCs w:val="22"/>
        </w:rPr>
        <w:t xml:space="preserve">after the Regulatory Authorities have approved (or are deemed to have approved) </w:t>
      </w:r>
      <w:r w:rsidR="00CE201B" w:rsidRPr="00F811CB">
        <w:rPr>
          <w:rFonts w:asciiTheme="minorHAnsi" w:hAnsiTheme="minorHAnsi" w:cstheme="minorHAnsi"/>
          <w:sz w:val="22"/>
          <w:szCs w:val="22"/>
        </w:rPr>
        <w:t>those factors.</w:t>
      </w:r>
    </w:p>
    <w:p w14:paraId="6FE93DED" w14:textId="77777777" w:rsidR="00CD7E0F" w:rsidRPr="00F811CB" w:rsidRDefault="00CD7E0F" w:rsidP="00422108">
      <w:pPr>
        <w:pStyle w:val="ListParagraph"/>
        <w:widowControl w:val="0"/>
        <w:tabs>
          <w:tab w:val="left" w:pos="1134"/>
          <w:tab w:val="left" w:pos="1418"/>
          <w:tab w:val="left" w:pos="2102"/>
        </w:tabs>
        <w:overflowPunct/>
        <w:adjustRightInd/>
        <w:spacing w:before="119"/>
        <w:ind w:left="1418" w:right="1135" w:hanging="1440"/>
        <w:rPr>
          <w:rFonts w:asciiTheme="minorHAnsi" w:hAnsiTheme="minorHAnsi" w:cstheme="minorHAnsi"/>
          <w:sz w:val="22"/>
          <w:szCs w:val="22"/>
        </w:rPr>
      </w:pPr>
    </w:p>
    <w:p w14:paraId="61F99638" w14:textId="0FB99C78" w:rsidR="00CD7E0F" w:rsidRPr="00F811CB" w:rsidRDefault="00CD7E0F" w:rsidP="00422108">
      <w:pPr>
        <w:widowControl w:val="0"/>
        <w:tabs>
          <w:tab w:val="left" w:pos="1134"/>
        </w:tabs>
        <w:overflowPunct/>
        <w:adjustRightInd/>
        <w:spacing w:after="240" w:line="276" w:lineRule="auto"/>
        <w:ind w:left="1716" w:hanging="1716"/>
        <w:rPr>
          <w:rFonts w:asciiTheme="minorHAnsi" w:eastAsiaTheme="majorEastAsia" w:hAnsiTheme="minorHAnsi" w:cstheme="minorHAnsi"/>
          <w:b/>
          <w:bCs/>
          <w:sz w:val="22"/>
          <w:szCs w:val="22"/>
          <w:lang w:val="en-GB"/>
        </w:rPr>
      </w:pPr>
      <w:r w:rsidRPr="00F811CB">
        <w:rPr>
          <w:rFonts w:asciiTheme="minorHAnsi" w:eastAsiaTheme="majorEastAsia" w:hAnsiTheme="minorHAnsi" w:cstheme="minorHAnsi"/>
          <w:sz w:val="22"/>
          <w:szCs w:val="22"/>
          <w:lang w:val="en-GB" w:eastAsia="en-US"/>
        </w:rPr>
        <w:t>M.1</w:t>
      </w:r>
      <w:r w:rsidR="00AC2E66" w:rsidRPr="00F811CB">
        <w:rPr>
          <w:rFonts w:asciiTheme="minorHAnsi" w:eastAsiaTheme="majorEastAsia" w:hAnsiTheme="minorHAnsi" w:cstheme="minorHAnsi"/>
          <w:sz w:val="22"/>
          <w:szCs w:val="22"/>
          <w:lang w:val="en-GB" w:eastAsia="en-US"/>
        </w:rPr>
        <w:t>1</w:t>
      </w:r>
      <w:r w:rsidRPr="00F811CB">
        <w:rPr>
          <w:rFonts w:asciiTheme="minorHAnsi" w:eastAsiaTheme="majorEastAsia" w:hAnsiTheme="minorHAnsi" w:cstheme="minorHAnsi"/>
          <w:sz w:val="22"/>
          <w:szCs w:val="22"/>
          <w:lang w:val="en-GB" w:eastAsia="en-US"/>
        </w:rPr>
        <w:t>.</w:t>
      </w:r>
      <w:r w:rsidR="00CA40B7" w:rsidRPr="00F811CB">
        <w:rPr>
          <w:rFonts w:asciiTheme="minorHAnsi" w:eastAsiaTheme="majorEastAsia" w:hAnsiTheme="minorHAnsi" w:cstheme="minorHAnsi"/>
          <w:sz w:val="22"/>
          <w:szCs w:val="22"/>
          <w:lang w:val="en-GB" w:eastAsia="en-US"/>
        </w:rPr>
        <w:t>5</w:t>
      </w:r>
      <w:r w:rsidRPr="00F811CB">
        <w:rPr>
          <w:rFonts w:asciiTheme="minorHAnsi" w:eastAsiaTheme="majorEastAsia" w:hAnsiTheme="minorHAnsi" w:cstheme="minorHAnsi"/>
          <w:sz w:val="22"/>
          <w:szCs w:val="22"/>
          <w:lang w:val="en-GB"/>
        </w:rPr>
        <w:t xml:space="preserve">        </w:t>
      </w:r>
      <w:r w:rsidRPr="00F811CB">
        <w:rPr>
          <w:rFonts w:asciiTheme="minorHAnsi" w:eastAsiaTheme="majorEastAsia" w:hAnsiTheme="minorHAnsi" w:cstheme="minorHAnsi"/>
          <w:b/>
          <w:bCs/>
          <w:sz w:val="22"/>
          <w:szCs w:val="22"/>
          <w:lang w:val="en-GB"/>
        </w:rPr>
        <w:t>Applicable Exchange Rate</w:t>
      </w:r>
    </w:p>
    <w:p w14:paraId="388DF0E1" w14:textId="48169336" w:rsidR="00CD7E0F" w:rsidRPr="00F811CB" w:rsidRDefault="00CD7E0F" w:rsidP="003E45E7">
      <w:pPr>
        <w:widowControl w:val="0"/>
        <w:tabs>
          <w:tab w:val="left" w:pos="1716"/>
        </w:tabs>
        <w:overflowPunct/>
        <w:adjustRightInd/>
        <w:spacing w:line="276" w:lineRule="auto"/>
        <w:ind w:left="1716" w:hanging="1716"/>
        <w:rPr>
          <w:rFonts w:asciiTheme="minorHAnsi" w:eastAsiaTheme="majorEastAsia" w:hAnsiTheme="minorHAnsi" w:cstheme="minorHAnsi"/>
          <w:i/>
          <w:color w:val="8496B0" w:themeColor="text2" w:themeTint="99"/>
          <w:sz w:val="22"/>
          <w:szCs w:val="22"/>
          <w:lang w:val="en-GB"/>
        </w:rPr>
      </w:pPr>
      <w:r w:rsidRPr="00F811CB">
        <w:rPr>
          <w:rFonts w:asciiTheme="minorHAnsi" w:hAnsiTheme="minorHAnsi" w:cstheme="minorHAnsi"/>
          <w:sz w:val="22"/>
          <w:szCs w:val="22"/>
        </w:rPr>
        <w:t>M.1</w:t>
      </w:r>
      <w:r w:rsidR="00AC2E66" w:rsidRPr="00F811CB">
        <w:rPr>
          <w:rFonts w:asciiTheme="minorHAnsi" w:hAnsiTheme="minorHAnsi" w:cstheme="minorHAnsi"/>
          <w:sz w:val="22"/>
          <w:szCs w:val="22"/>
        </w:rPr>
        <w:t>1</w:t>
      </w:r>
      <w:r w:rsidRPr="00F811CB">
        <w:rPr>
          <w:rFonts w:asciiTheme="minorHAnsi" w:hAnsiTheme="minorHAnsi" w:cstheme="minorHAnsi"/>
          <w:sz w:val="22"/>
          <w:szCs w:val="22"/>
        </w:rPr>
        <w:t>.</w:t>
      </w:r>
      <w:r w:rsidR="00CA40B7" w:rsidRPr="00F811CB">
        <w:rPr>
          <w:rFonts w:asciiTheme="minorHAnsi" w:hAnsiTheme="minorHAnsi" w:cstheme="minorHAnsi"/>
          <w:sz w:val="22"/>
          <w:szCs w:val="22"/>
        </w:rPr>
        <w:t>5</w:t>
      </w:r>
      <w:r w:rsidRPr="00F811CB">
        <w:rPr>
          <w:rFonts w:asciiTheme="minorHAnsi" w:hAnsiTheme="minorHAnsi" w:cstheme="minorHAnsi"/>
          <w:sz w:val="22"/>
          <w:szCs w:val="22"/>
        </w:rPr>
        <w:t>.1     The exchange rate applicable to a trade</w:t>
      </w:r>
      <w:r w:rsidRPr="00F811CB">
        <w:rPr>
          <w:rFonts w:asciiTheme="minorHAnsi" w:hAnsiTheme="minorHAnsi" w:cstheme="minorHAnsi"/>
          <w:spacing w:val="-6"/>
          <w:sz w:val="22"/>
          <w:szCs w:val="22"/>
        </w:rPr>
        <w:t xml:space="preserve"> </w:t>
      </w:r>
      <w:r w:rsidRPr="00F811CB">
        <w:rPr>
          <w:rFonts w:asciiTheme="minorHAnsi" w:hAnsiTheme="minorHAnsi" w:cstheme="minorHAnsi"/>
          <w:sz w:val="22"/>
          <w:szCs w:val="22"/>
        </w:rPr>
        <w:t>is:</w:t>
      </w:r>
    </w:p>
    <w:p w14:paraId="385EB18B" w14:textId="77777777" w:rsidR="00CD7E0F" w:rsidRPr="00F811CB" w:rsidRDefault="00CD7E0F" w:rsidP="00422108">
      <w:pPr>
        <w:pStyle w:val="ListParagraph"/>
        <w:widowControl w:val="0"/>
        <w:numPr>
          <w:ilvl w:val="4"/>
          <w:numId w:val="5"/>
        </w:numPr>
        <w:tabs>
          <w:tab w:val="left" w:pos="1701"/>
        </w:tabs>
        <w:overflowPunct/>
        <w:adjustRightInd/>
        <w:spacing w:before="124"/>
        <w:ind w:left="1701" w:right="-46" w:hanging="542"/>
        <w:jc w:val="both"/>
        <w:rPr>
          <w:rFonts w:asciiTheme="minorHAnsi" w:hAnsiTheme="minorHAnsi" w:cstheme="minorHAnsi"/>
          <w:sz w:val="22"/>
          <w:szCs w:val="22"/>
        </w:rPr>
      </w:pPr>
      <w:r w:rsidRPr="00F811CB">
        <w:rPr>
          <w:rFonts w:asciiTheme="minorHAnsi" w:hAnsiTheme="minorHAnsi" w:cstheme="minorHAnsi"/>
          <w:sz w:val="22"/>
          <w:szCs w:val="22"/>
        </w:rPr>
        <w:t xml:space="preserve">if the forward period over which the Trade applies will commence more than a year after the date of the Secondary Trade Request, the Annual Capacity Payment Exchange Rate for the relevant Capacity Year (as last calculated under section </w:t>
      </w:r>
      <w:hyperlink r:id="rId9" w:anchor="_bookmark620" w:history="1">
        <w:r w:rsidRPr="00F811CB">
          <w:rPr>
            <w:rStyle w:val="Hyperlink"/>
            <w:rFonts w:asciiTheme="minorHAnsi" w:eastAsia="Arial" w:hAnsiTheme="minorHAnsi" w:cstheme="minorHAnsi"/>
            <w:sz w:val="22"/>
            <w:szCs w:val="22"/>
          </w:rPr>
          <w:t>K.2</w:t>
        </w:r>
      </w:hyperlink>
      <w:r w:rsidRPr="00F811CB">
        <w:rPr>
          <w:rFonts w:asciiTheme="minorHAnsi" w:hAnsiTheme="minorHAnsi" w:cstheme="minorHAnsi"/>
          <w:sz w:val="22"/>
          <w:szCs w:val="22"/>
        </w:rPr>
        <w:t>);</w:t>
      </w:r>
      <w:r w:rsidRPr="00F811CB">
        <w:rPr>
          <w:rFonts w:asciiTheme="minorHAnsi" w:hAnsiTheme="minorHAnsi" w:cstheme="minorHAnsi"/>
          <w:spacing w:val="-5"/>
          <w:sz w:val="22"/>
          <w:szCs w:val="22"/>
        </w:rPr>
        <w:t xml:space="preserve"> </w:t>
      </w:r>
      <w:r w:rsidRPr="00F811CB">
        <w:rPr>
          <w:rFonts w:asciiTheme="minorHAnsi" w:hAnsiTheme="minorHAnsi" w:cstheme="minorHAnsi"/>
          <w:sz w:val="22"/>
          <w:szCs w:val="22"/>
        </w:rPr>
        <w:t>and</w:t>
      </w:r>
    </w:p>
    <w:p w14:paraId="23CDF81E" w14:textId="77777777" w:rsidR="00CD7E0F" w:rsidRPr="00F811CB" w:rsidRDefault="00CD7E0F" w:rsidP="00422108">
      <w:pPr>
        <w:pStyle w:val="ListParagraph"/>
        <w:widowControl w:val="0"/>
        <w:numPr>
          <w:ilvl w:val="4"/>
          <w:numId w:val="5"/>
        </w:numPr>
        <w:tabs>
          <w:tab w:val="left" w:pos="1701"/>
        </w:tabs>
        <w:overflowPunct/>
        <w:adjustRightInd/>
        <w:spacing w:before="124"/>
        <w:ind w:left="1701" w:right="-46" w:hanging="567"/>
        <w:jc w:val="both"/>
        <w:rPr>
          <w:rFonts w:asciiTheme="minorHAnsi" w:hAnsiTheme="minorHAnsi" w:cstheme="minorHAnsi"/>
          <w:sz w:val="22"/>
          <w:szCs w:val="22"/>
        </w:rPr>
      </w:pPr>
      <w:r w:rsidRPr="00F811CB">
        <w:rPr>
          <w:rFonts w:asciiTheme="minorHAnsi" w:hAnsiTheme="minorHAnsi" w:cstheme="minorHAnsi"/>
          <w:sz w:val="22"/>
          <w:szCs w:val="22"/>
        </w:rPr>
        <w:t xml:space="preserve">otherwise, the Monthly Capacity Payment Exchange Rate for the Month in which the forward period over which the Trade applies commences (as last calculated under section </w:t>
      </w:r>
      <w:hyperlink r:id="rId10" w:anchor="_bookmark620" w:history="1">
        <w:r w:rsidRPr="00F811CB">
          <w:rPr>
            <w:rStyle w:val="Hyperlink"/>
            <w:rFonts w:asciiTheme="minorHAnsi" w:eastAsia="Arial" w:hAnsiTheme="minorHAnsi" w:cstheme="minorHAnsi"/>
            <w:sz w:val="22"/>
            <w:szCs w:val="22"/>
          </w:rPr>
          <w:t>K.2</w:t>
        </w:r>
      </w:hyperlink>
      <w:r w:rsidRPr="00F811CB">
        <w:rPr>
          <w:rFonts w:asciiTheme="minorHAnsi" w:hAnsiTheme="minorHAnsi" w:cstheme="minorHAnsi"/>
          <w:sz w:val="22"/>
          <w:szCs w:val="22"/>
        </w:rPr>
        <w:t>).</w:t>
      </w:r>
    </w:p>
    <w:p w14:paraId="2FB4497A" w14:textId="77777777" w:rsidR="00CD7E0F" w:rsidRDefault="00CD7E0F" w:rsidP="003E45E7">
      <w:pPr>
        <w:widowControl w:val="0"/>
        <w:tabs>
          <w:tab w:val="left" w:pos="1709"/>
        </w:tabs>
        <w:overflowPunct/>
        <w:adjustRightInd/>
        <w:ind w:left="1716" w:hanging="1440"/>
        <w:rPr>
          <w:rFonts w:asciiTheme="minorHAnsi" w:eastAsiaTheme="majorEastAsia" w:hAnsiTheme="minorHAnsi" w:cstheme="minorHAnsi"/>
          <w:i/>
          <w:color w:val="1F3864" w:themeColor="accent1" w:themeShade="80"/>
          <w:sz w:val="22"/>
          <w:szCs w:val="22"/>
          <w:lang w:val="en-GB"/>
        </w:rPr>
      </w:pPr>
      <w:bookmarkStart w:id="2" w:name="_bookmark536"/>
      <w:bookmarkEnd w:id="2"/>
    </w:p>
    <w:p w14:paraId="56537105" w14:textId="77777777" w:rsidR="006B3E60" w:rsidRPr="00F811CB" w:rsidRDefault="006B3E60" w:rsidP="003E45E7">
      <w:pPr>
        <w:widowControl w:val="0"/>
        <w:tabs>
          <w:tab w:val="left" w:pos="1709"/>
        </w:tabs>
        <w:overflowPunct/>
        <w:adjustRightInd/>
        <w:ind w:left="1716" w:hanging="1440"/>
        <w:rPr>
          <w:rFonts w:asciiTheme="minorHAnsi" w:eastAsiaTheme="majorEastAsia" w:hAnsiTheme="minorHAnsi" w:cstheme="minorHAnsi"/>
          <w:i/>
          <w:color w:val="1F3864" w:themeColor="accent1" w:themeShade="80"/>
          <w:sz w:val="22"/>
          <w:szCs w:val="22"/>
          <w:lang w:val="en-GB"/>
        </w:rPr>
      </w:pPr>
    </w:p>
    <w:p w14:paraId="3273981A" w14:textId="6DF3ED65" w:rsidR="00CD7E0F" w:rsidRPr="00F811CB" w:rsidRDefault="00CD7E0F" w:rsidP="00422108">
      <w:pPr>
        <w:widowControl w:val="0"/>
        <w:tabs>
          <w:tab w:val="left" w:pos="1134"/>
        </w:tabs>
        <w:overflowPunct/>
        <w:adjustRightInd/>
        <w:spacing w:after="240" w:line="276" w:lineRule="auto"/>
        <w:ind w:left="1134" w:hanging="1134"/>
        <w:rPr>
          <w:rFonts w:asciiTheme="minorHAnsi" w:eastAsiaTheme="majorEastAsia" w:hAnsiTheme="minorHAnsi" w:cstheme="minorHAnsi"/>
          <w:b/>
          <w:bCs/>
          <w:iCs/>
          <w:sz w:val="22"/>
          <w:szCs w:val="22"/>
          <w:lang w:val="en-GB"/>
        </w:rPr>
      </w:pPr>
      <w:r w:rsidRPr="00F811CB">
        <w:rPr>
          <w:rFonts w:asciiTheme="minorHAnsi" w:eastAsiaTheme="majorEastAsia" w:hAnsiTheme="minorHAnsi" w:cstheme="minorHAnsi"/>
          <w:iCs/>
          <w:sz w:val="22"/>
          <w:szCs w:val="22"/>
          <w:lang w:val="en-GB"/>
        </w:rPr>
        <w:t>M.1</w:t>
      </w:r>
      <w:r w:rsidR="00AC2E66" w:rsidRPr="00F811CB">
        <w:rPr>
          <w:rFonts w:asciiTheme="minorHAnsi" w:eastAsiaTheme="majorEastAsia" w:hAnsiTheme="minorHAnsi" w:cstheme="minorHAnsi"/>
          <w:iCs/>
          <w:sz w:val="22"/>
          <w:szCs w:val="22"/>
          <w:lang w:val="en-GB"/>
        </w:rPr>
        <w:t>1</w:t>
      </w:r>
      <w:r w:rsidRPr="00F811CB">
        <w:rPr>
          <w:rFonts w:asciiTheme="minorHAnsi" w:eastAsiaTheme="majorEastAsia" w:hAnsiTheme="minorHAnsi" w:cstheme="minorHAnsi"/>
          <w:iCs/>
          <w:sz w:val="22"/>
          <w:szCs w:val="22"/>
          <w:lang w:val="en-GB"/>
        </w:rPr>
        <w:t>.</w:t>
      </w:r>
      <w:r w:rsidR="00CA40B7" w:rsidRPr="00F811CB">
        <w:rPr>
          <w:rFonts w:asciiTheme="minorHAnsi" w:eastAsiaTheme="majorEastAsia" w:hAnsiTheme="minorHAnsi" w:cstheme="minorHAnsi"/>
          <w:iCs/>
          <w:sz w:val="22"/>
          <w:szCs w:val="22"/>
          <w:lang w:val="en-GB" w:eastAsia="en-US"/>
        </w:rPr>
        <w:t>6</w:t>
      </w:r>
      <w:r w:rsidRPr="00F811CB">
        <w:rPr>
          <w:rFonts w:asciiTheme="minorHAnsi" w:eastAsiaTheme="majorEastAsia" w:hAnsiTheme="minorHAnsi" w:cstheme="minorHAnsi"/>
          <w:iCs/>
          <w:sz w:val="22"/>
          <w:szCs w:val="22"/>
          <w:lang w:val="en-GB"/>
        </w:rPr>
        <w:t xml:space="preserve">        </w:t>
      </w:r>
      <w:r w:rsidRPr="00F811CB">
        <w:rPr>
          <w:rFonts w:asciiTheme="minorHAnsi" w:eastAsiaTheme="majorEastAsia" w:hAnsiTheme="minorHAnsi" w:cstheme="minorHAnsi"/>
          <w:b/>
          <w:bCs/>
          <w:iCs/>
          <w:sz w:val="22"/>
          <w:szCs w:val="22"/>
          <w:lang w:val="en-GB"/>
        </w:rPr>
        <w:t>Buyer Limits and Seller Limits</w:t>
      </w:r>
      <w:bookmarkStart w:id="3" w:name="_bookmark537"/>
      <w:bookmarkEnd w:id="3"/>
    </w:p>
    <w:p w14:paraId="179EDB90" w14:textId="6527E4B5" w:rsidR="00CD7E0F" w:rsidRPr="00F811CB" w:rsidRDefault="00CD7E0F" w:rsidP="00422108">
      <w:pPr>
        <w:widowControl w:val="0"/>
        <w:tabs>
          <w:tab w:val="left" w:pos="1134"/>
        </w:tabs>
        <w:overflowPunct/>
        <w:adjustRightInd/>
        <w:spacing w:after="240" w:line="276" w:lineRule="auto"/>
        <w:ind w:left="1134" w:hanging="1134"/>
        <w:rPr>
          <w:rFonts w:asciiTheme="minorHAnsi" w:eastAsiaTheme="majorEastAsia" w:hAnsiTheme="minorHAnsi" w:cstheme="minorHAnsi"/>
          <w:i/>
          <w:color w:val="8496B0" w:themeColor="text2" w:themeTint="99"/>
          <w:sz w:val="22"/>
          <w:szCs w:val="22"/>
          <w:lang w:val="en-GB"/>
        </w:rPr>
      </w:pPr>
      <w:r w:rsidRPr="00F811CB">
        <w:rPr>
          <w:rFonts w:asciiTheme="minorHAnsi" w:hAnsiTheme="minorHAnsi" w:cstheme="minorHAnsi"/>
          <w:sz w:val="22"/>
          <w:szCs w:val="22"/>
        </w:rPr>
        <w:t>M.1</w:t>
      </w:r>
      <w:r w:rsidR="00AC2E66" w:rsidRPr="00F811CB">
        <w:rPr>
          <w:rFonts w:asciiTheme="minorHAnsi" w:hAnsiTheme="minorHAnsi" w:cstheme="minorHAnsi"/>
          <w:sz w:val="22"/>
          <w:szCs w:val="22"/>
        </w:rPr>
        <w:t>1</w:t>
      </w:r>
      <w:r w:rsidRPr="00F811CB">
        <w:rPr>
          <w:rFonts w:asciiTheme="minorHAnsi" w:hAnsiTheme="minorHAnsi" w:cstheme="minorHAnsi"/>
          <w:sz w:val="22"/>
          <w:szCs w:val="22"/>
        </w:rPr>
        <w:t>.</w:t>
      </w:r>
      <w:r w:rsidR="00CA40B7" w:rsidRPr="00F811CB">
        <w:rPr>
          <w:rFonts w:asciiTheme="minorHAnsi" w:hAnsiTheme="minorHAnsi" w:cstheme="minorHAnsi"/>
          <w:sz w:val="22"/>
          <w:szCs w:val="22"/>
        </w:rPr>
        <w:t>6</w:t>
      </w:r>
      <w:r w:rsidRPr="00F811CB">
        <w:rPr>
          <w:rFonts w:asciiTheme="minorHAnsi" w:hAnsiTheme="minorHAnsi" w:cstheme="minorHAnsi"/>
          <w:sz w:val="22"/>
          <w:szCs w:val="22"/>
        </w:rPr>
        <w:t>.1     The “</w:t>
      </w:r>
      <w:r w:rsidRPr="00F811CB">
        <w:rPr>
          <w:rFonts w:asciiTheme="minorHAnsi" w:hAnsiTheme="minorHAnsi" w:cstheme="minorHAnsi"/>
          <w:b/>
          <w:sz w:val="22"/>
          <w:szCs w:val="22"/>
        </w:rPr>
        <w:t>Initial Position</w:t>
      </w:r>
      <w:r w:rsidRPr="00F811CB">
        <w:rPr>
          <w:rFonts w:asciiTheme="minorHAnsi" w:hAnsiTheme="minorHAnsi" w:cstheme="minorHAnsi"/>
          <w:sz w:val="22"/>
          <w:szCs w:val="22"/>
        </w:rPr>
        <w:t xml:space="preserve">” of a Capacity Market Unit in respect of the period of time to which a </w:t>
      </w:r>
      <w:r w:rsidR="00AC2E66" w:rsidRPr="00F811CB">
        <w:rPr>
          <w:rFonts w:asciiTheme="minorHAnsi" w:hAnsiTheme="minorHAnsi" w:cstheme="minorHAnsi"/>
          <w:sz w:val="22"/>
          <w:szCs w:val="22"/>
        </w:rPr>
        <w:t xml:space="preserve">proposed Secondary </w:t>
      </w:r>
      <w:r w:rsidRPr="00F811CB">
        <w:rPr>
          <w:rFonts w:asciiTheme="minorHAnsi" w:hAnsiTheme="minorHAnsi" w:cstheme="minorHAnsi"/>
          <w:sz w:val="22"/>
          <w:szCs w:val="22"/>
        </w:rPr>
        <w:t xml:space="preserve">Trade relates is the Net Capacity Quantity of that Capacity Market Unit in respect of that period of time immediately prior to the </w:t>
      </w:r>
      <w:r w:rsidR="00AC2E66" w:rsidRPr="00F811CB">
        <w:rPr>
          <w:rFonts w:asciiTheme="minorHAnsi" w:hAnsiTheme="minorHAnsi" w:cstheme="minorHAnsi"/>
          <w:sz w:val="22"/>
          <w:szCs w:val="22"/>
        </w:rPr>
        <w:t xml:space="preserve">proposed </w:t>
      </w:r>
      <w:r w:rsidRPr="00F811CB">
        <w:rPr>
          <w:rFonts w:asciiTheme="minorHAnsi" w:hAnsiTheme="minorHAnsi" w:cstheme="minorHAnsi"/>
          <w:sz w:val="22"/>
          <w:szCs w:val="22"/>
        </w:rPr>
        <w:t>Secondary Trade</w:t>
      </w:r>
    </w:p>
    <w:p w14:paraId="48E78EA5" w14:textId="5FC647E2" w:rsidR="00CD7E0F" w:rsidRPr="00F811CB" w:rsidRDefault="00CD7E0F" w:rsidP="00422108">
      <w:pPr>
        <w:widowControl w:val="0"/>
        <w:tabs>
          <w:tab w:val="left" w:pos="1134"/>
        </w:tabs>
        <w:overflowPunct/>
        <w:adjustRightInd/>
        <w:spacing w:before="123"/>
        <w:ind w:left="1134" w:right="1140" w:hanging="1141"/>
        <w:rPr>
          <w:rFonts w:asciiTheme="minorHAnsi" w:hAnsiTheme="minorHAnsi" w:cstheme="minorHAnsi"/>
          <w:sz w:val="22"/>
          <w:szCs w:val="22"/>
        </w:rPr>
      </w:pPr>
      <w:bookmarkStart w:id="4" w:name="_bookmark538"/>
      <w:bookmarkEnd w:id="4"/>
      <w:r w:rsidRPr="00F811CB">
        <w:rPr>
          <w:rFonts w:asciiTheme="minorHAnsi" w:hAnsiTheme="minorHAnsi" w:cstheme="minorHAnsi"/>
          <w:sz w:val="22"/>
          <w:szCs w:val="22"/>
        </w:rPr>
        <w:t>M.1</w:t>
      </w:r>
      <w:r w:rsidR="00AC2E66" w:rsidRPr="00F811CB">
        <w:rPr>
          <w:rFonts w:asciiTheme="minorHAnsi" w:hAnsiTheme="minorHAnsi" w:cstheme="minorHAnsi"/>
          <w:sz w:val="22"/>
          <w:szCs w:val="22"/>
        </w:rPr>
        <w:t>1</w:t>
      </w:r>
      <w:r w:rsidRPr="00F811CB">
        <w:rPr>
          <w:rFonts w:asciiTheme="minorHAnsi" w:hAnsiTheme="minorHAnsi" w:cstheme="minorHAnsi"/>
          <w:sz w:val="22"/>
          <w:szCs w:val="22"/>
        </w:rPr>
        <w:t>.</w:t>
      </w:r>
      <w:r w:rsidR="00CA40B7" w:rsidRPr="00F811CB">
        <w:rPr>
          <w:rFonts w:asciiTheme="minorHAnsi" w:hAnsiTheme="minorHAnsi" w:cstheme="minorHAnsi"/>
          <w:sz w:val="22"/>
          <w:szCs w:val="22"/>
        </w:rPr>
        <w:t>6</w:t>
      </w:r>
      <w:r w:rsidRPr="00F811CB">
        <w:rPr>
          <w:rFonts w:asciiTheme="minorHAnsi" w:hAnsiTheme="minorHAnsi" w:cstheme="minorHAnsi"/>
          <w:sz w:val="22"/>
          <w:szCs w:val="22"/>
        </w:rPr>
        <w:t>.2     The Buyer Limit for a Capacity Market Unit is the Initial</w:t>
      </w:r>
      <w:r w:rsidR="00AC2E66" w:rsidRPr="00F811CB">
        <w:rPr>
          <w:rFonts w:asciiTheme="minorHAnsi" w:hAnsiTheme="minorHAnsi" w:cstheme="minorHAnsi"/>
          <w:sz w:val="22"/>
          <w:szCs w:val="22"/>
        </w:rPr>
        <w:t xml:space="preserve"> </w:t>
      </w:r>
      <w:r w:rsidRPr="00F811CB">
        <w:rPr>
          <w:rFonts w:asciiTheme="minorHAnsi" w:hAnsiTheme="minorHAnsi" w:cstheme="minorHAnsi"/>
          <w:sz w:val="22"/>
          <w:szCs w:val="22"/>
        </w:rPr>
        <w:t>Position of the Capacity Market Unit</w:t>
      </w:r>
    </w:p>
    <w:p w14:paraId="71F1CC47" w14:textId="1564FB6E" w:rsidR="00CD7E0F" w:rsidRPr="00F811CB" w:rsidRDefault="00CD7E0F" w:rsidP="00FD7E99">
      <w:pPr>
        <w:pStyle w:val="ListParagraph"/>
        <w:widowControl w:val="0"/>
        <w:tabs>
          <w:tab w:val="left" w:pos="1134"/>
        </w:tabs>
        <w:overflowPunct/>
        <w:adjustRightInd/>
        <w:spacing w:before="118"/>
        <w:ind w:left="399" w:right="1140" w:hanging="399"/>
        <w:rPr>
          <w:rFonts w:asciiTheme="minorHAnsi" w:hAnsiTheme="minorHAnsi" w:cstheme="minorHAnsi"/>
          <w:sz w:val="22"/>
          <w:szCs w:val="22"/>
        </w:rPr>
      </w:pPr>
      <w:bookmarkStart w:id="5" w:name="_bookmark539"/>
      <w:bookmarkEnd w:id="5"/>
      <w:r w:rsidRPr="00F811CB">
        <w:rPr>
          <w:rFonts w:asciiTheme="minorHAnsi" w:hAnsiTheme="minorHAnsi" w:cstheme="minorHAnsi"/>
          <w:sz w:val="22"/>
          <w:szCs w:val="22"/>
        </w:rPr>
        <w:t>M.1</w:t>
      </w:r>
      <w:r w:rsidR="00AC2E66" w:rsidRPr="00F811CB">
        <w:rPr>
          <w:rFonts w:asciiTheme="minorHAnsi" w:hAnsiTheme="minorHAnsi" w:cstheme="minorHAnsi"/>
          <w:sz w:val="22"/>
          <w:szCs w:val="22"/>
        </w:rPr>
        <w:t>1</w:t>
      </w:r>
      <w:r w:rsidRPr="00F811CB">
        <w:rPr>
          <w:rFonts w:asciiTheme="minorHAnsi" w:hAnsiTheme="minorHAnsi" w:cstheme="minorHAnsi"/>
          <w:sz w:val="22"/>
          <w:szCs w:val="22"/>
        </w:rPr>
        <w:t>.</w:t>
      </w:r>
      <w:r w:rsidR="00CA40B7" w:rsidRPr="00F811CB">
        <w:rPr>
          <w:rFonts w:asciiTheme="minorHAnsi" w:hAnsiTheme="minorHAnsi" w:cstheme="minorHAnsi"/>
          <w:sz w:val="22"/>
          <w:szCs w:val="22"/>
        </w:rPr>
        <w:t>6</w:t>
      </w:r>
      <w:r w:rsidRPr="00F811CB">
        <w:rPr>
          <w:rFonts w:asciiTheme="minorHAnsi" w:hAnsiTheme="minorHAnsi" w:cstheme="minorHAnsi"/>
          <w:sz w:val="22"/>
          <w:szCs w:val="22"/>
        </w:rPr>
        <w:t>.3     The Seller Limit for a Capacity Market Unit</w:t>
      </w:r>
      <w:r w:rsidRPr="00F811CB">
        <w:rPr>
          <w:rFonts w:asciiTheme="minorHAnsi" w:hAnsiTheme="minorHAnsi" w:cstheme="minorHAnsi"/>
          <w:spacing w:val="-11"/>
          <w:sz w:val="22"/>
          <w:szCs w:val="22"/>
        </w:rPr>
        <w:t xml:space="preserve"> </w:t>
      </w:r>
      <w:r w:rsidRPr="00F811CB">
        <w:rPr>
          <w:rFonts w:asciiTheme="minorHAnsi" w:hAnsiTheme="minorHAnsi" w:cstheme="minorHAnsi"/>
          <w:sz w:val="22"/>
          <w:szCs w:val="22"/>
        </w:rPr>
        <w:t>is</w:t>
      </w:r>
      <w:r w:rsidR="00FD7E99" w:rsidRPr="00F811CB">
        <w:rPr>
          <w:rFonts w:asciiTheme="minorHAnsi" w:hAnsiTheme="minorHAnsi" w:cstheme="minorHAnsi"/>
          <w:sz w:val="22"/>
          <w:szCs w:val="22"/>
        </w:rPr>
        <w:t xml:space="preserve"> </w:t>
      </w:r>
      <w:r w:rsidRPr="00F811CB">
        <w:rPr>
          <w:rFonts w:asciiTheme="minorHAnsi" w:hAnsiTheme="minorHAnsi" w:cstheme="minorHAnsi"/>
          <w:sz w:val="22"/>
          <w:szCs w:val="22"/>
        </w:rPr>
        <w:t>the value calculated as:</w:t>
      </w:r>
    </w:p>
    <w:p w14:paraId="1CD96A61" w14:textId="57DA83C6" w:rsidR="00CD7E0F" w:rsidRPr="00F811CB" w:rsidRDefault="00970AA0" w:rsidP="00151FA6">
      <w:pPr>
        <w:widowControl w:val="0"/>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(a)</w:t>
      </w:r>
      <w:r w:rsidR="00151FA6" w:rsidRPr="00F811CB">
        <w:rPr>
          <w:rFonts w:asciiTheme="minorHAnsi" w:hAnsiTheme="minorHAnsi" w:cstheme="minorHAnsi"/>
          <w:sz w:val="22"/>
          <w:szCs w:val="22"/>
        </w:rPr>
        <w:tab/>
      </w:r>
      <w:r w:rsidR="00CD7E0F" w:rsidRPr="00F811CB">
        <w:rPr>
          <w:rFonts w:asciiTheme="minorHAnsi" w:hAnsiTheme="minorHAnsi" w:cstheme="minorHAnsi"/>
          <w:sz w:val="22"/>
          <w:szCs w:val="22"/>
        </w:rPr>
        <w:t>the Available De-Rated Capacity less</w:t>
      </w:r>
      <w:r w:rsidR="00151FA6" w:rsidRPr="00F811CB">
        <w:rPr>
          <w:rFonts w:asciiTheme="minorHAnsi" w:hAnsiTheme="minorHAnsi" w:cstheme="minorHAnsi"/>
          <w:sz w:val="22"/>
          <w:szCs w:val="22"/>
        </w:rPr>
        <w:t xml:space="preserve"> t</w:t>
      </w:r>
      <w:r w:rsidR="00CD7E0F" w:rsidRPr="00F811CB">
        <w:rPr>
          <w:rFonts w:asciiTheme="minorHAnsi" w:hAnsiTheme="minorHAnsi" w:cstheme="minorHAnsi"/>
          <w:sz w:val="22"/>
          <w:szCs w:val="22"/>
        </w:rPr>
        <w:t>he Initial Position of the Capacity Market Unit,</w:t>
      </w:r>
    </w:p>
    <w:p w14:paraId="5659E9EE" w14:textId="618D951B" w:rsidR="00CD7E0F" w:rsidRPr="00F811CB" w:rsidRDefault="00151FA6" w:rsidP="00151FA6">
      <w:pPr>
        <w:widowControl w:val="0"/>
        <w:tabs>
          <w:tab w:val="left" w:pos="1701"/>
        </w:tabs>
        <w:overflowPunct/>
        <w:adjustRightInd/>
        <w:spacing w:before="121"/>
        <w:ind w:left="1701" w:hanging="567"/>
        <w:rPr>
          <w:rFonts w:asciiTheme="minorHAnsi" w:hAnsiTheme="minorHAnsi" w:cstheme="minorHAnsi"/>
          <w:sz w:val="22"/>
          <w:szCs w:val="22"/>
        </w:rPr>
      </w:pPr>
      <w:r w:rsidRPr="00F811CB">
        <w:rPr>
          <w:rFonts w:asciiTheme="minorHAnsi" w:hAnsiTheme="minorHAnsi" w:cstheme="minorHAnsi"/>
          <w:sz w:val="22"/>
          <w:szCs w:val="22"/>
        </w:rPr>
        <w:t>(b)</w:t>
      </w:r>
      <w:r w:rsidRPr="00F811CB">
        <w:rPr>
          <w:rFonts w:asciiTheme="minorHAnsi" w:hAnsiTheme="minorHAnsi" w:cstheme="minorHAnsi"/>
          <w:sz w:val="22"/>
          <w:szCs w:val="22"/>
        </w:rPr>
        <w:tab/>
      </w:r>
      <w:r w:rsidR="00AC5663" w:rsidRPr="00F811CB">
        <w:rPr>
          <w:rFonts w:asciiTheme="minorHAnsi" w:hAnsiTheme="minorHAnsi" w:cstheme="minorHAnsi"/>
          <w:sz w:val="22"/>
          <w:szCs w:val="22"/>
        </w:rPr>
        <w:t>divid</w:t>
      </w:r>
      <w:r w:rsidR="00CD7E0F" w:rsidRPr="00F811CB">
        <w:rPr>
          <w:rFonts w:asciiTheme="minorHAnsi" w:hAnsiTheme="minorHAnsi" w:cstheme="minorHAnsi"/>
          <w:sz w:val="22"/>
          <w:szCs w:val="22"/>
        </w:rPr>
        <w:t xml:space="preserve">ed by the </w:t>
      </w:r>
      <w:r w:rsidR="00AC5663" w:rsidRPr="00F811CB">
        <w:rPr>
          <w:rFonts w:asciiTheme="minorHAnsi" w:hAnsiTheme="minorHAnsi" w:cstheme="minorHAnsi"/>
          <w:sz w:val="22"/>
          <w:szCs w:val="22"/>
        </w:rPr>
        <w:t xml:space="preserve">Product Load Following Factor </w:t>
      </w:r>
      <w:r w:rsidR="00CD7E0F" w:rsidRPr="00F811CB">
        <w:rPr>
          <w:rFonts w:asciiTheme="minorHAnsi" w:hAnsiTheme="minorHAnsi" w:cstheme="minorHAnsi"/>
          <w:sz w:val="22"/>
          <w:szCs w:val="22"/>
        </w:rPr>
        <w:t>for the traded period.</w:t>
      </w:r>
    </w:p>
    <w:p w14:paraId="6A36C966" w14:textId="77777777" w:rsidR="008824B4" w:rsidRPr="00F811CB" w:rsidRDefault="008824B4" w:rsidP="009B17A3">
      <w:pPr>
        <w:widowControl w:val="0"/>
        <w:tabs>
          <w:tab w:val="left" w:pos="1673"/>
        </w:tabs>
        <w:overflowPunct/>
        <w:adjustRightInd/>
        <w:spacing w:before="79" w:after="240"/>
        <w:ind w:left="1134" w:right="1133" w:hanging="1134"/>
        <w:jc w:val="both"/>
        <w:rPr>
          <w:rFonts w:asciiTheme="minorHAnsi" w:eastAsiaTheme="majorEastAsia" w:hAnsiTheme="minorHAnsi" w:cstheme="minorHAnsi"/>
          <w:iCs/>
          <w:sz w:val="22"/>
          <w:szCs w:val="22"/>
          <w:lang w:val="en-GB"/>
        </w:rPr>
      </w:pPr>
      <w:bookmarkStart w:id="6" w:name="_bookmark543"/>
      <w:bookmarkStart w:id="7" w:name="_bookmark544"/>
      <w:bookmarkStart w:id="8" w:name="_bookmark545"/>
      <w:bookmarkEnd w:id="6"/>
      <w:bookmarkEnd w:id="7"/>
      <w:bookmarkEnd w:id="8"/>
    </w:p>
    <w:p w14:paraId="4D4D7C6B" w14:textId="291D75A3" w:rsidR="00D3260C" w:rsidRPr="00F811CB" w:rsidRDefault="00D3260C" w:rsidP="009B17A3">
      <w:pPr>
        <w:widowControl w:val="0"/>
        <w:tabs>
          <w:tab w:val="left" w:pos="1673"/>
        </w:tabs>
        <w:overflowPunct/>
        <w:adjustRightInd/>
        <w:spacing w:before="79" w:after="240"/>
        <w:ind w:left="1134" w:right="1133" w:hanging="1134"/>
        <w:jc w:val="both"/>
        <w:rPr>
          <w:rFonts w:asciiTheme="minorHAnsi" w:eastAsiaTheme="majorEastAsia" w:hAnsiTheme="minorHAnsi" w:cstheme="minorHAnsi"/>
          <w:iCs/>
          <w:sz w:val="22"/>
          <w:szCs w:val="22"/>
          <w:lang w:val="en-GB"/>
        </w:rPr>
      </w:pPr>
      <w:r w:rsidRPr="00F811CB">
        <w:rPr>
          <w:rFonts w:asciiTheme="minorHAnsi" w:eastAsiaTheme="majorEastAsia" w:hAnsiTheme="minorHAnsi" w:cstheme="minorHAnsi"/>
          <w:iCs/>
          <w:sz w:val="22"/>
          <w:szCs w:val="22"/>
          <w:lang w:val="en-GB"/>
        </w:rPr>
        <w:t>M.11.6.4</w:t>
      </w:r>
      <w:r w:rsidRPr="00F811CB">
        <w:rPr>
          <w:rFonts w:asciiTheme="minorHAnsi" w:eastAsiaTheme="majorEastAsia" w:hAnsiTheme="minorHAnsi" w:cstheme="minorHAnsi"/>
          <w:iCs/>
          <w:sz w:val="22"/>
          <w:szCs w:val="22"/>
          <w:lang w:val="en-GB"/>
        </w:rPr>
        <w:tab/>
        <w:t>For the purposes of paragraph M.11.6.3:</w:t>
      </w:r>
    </w:p>
    <w:p w14:paraId="30AAF12F" w14:textId="3F1B1643" w:rsidR="00D3260C" w:rsidRPr="00F811CB" w:rsidRDefault="00D3260C" w:rsidP="00402A82">
      <w:pPr>
        <w:widowControl w:val="0"/>
        <w:tabs>
          <w:tab w:val="left" w:pos="1673"/>
        </w:tabs>
        <w:overflowPunct/>
        <w:adjustRightInd/>
        <w:spacing w:before="79" w:after="240"/>
        <w:ind w:left="1701" w:right="95" w:hanging="567"/>
        <w:jc w:val="both"/>
        <w:rPr>
          <w:rFonts w:asciiTheme="minorHAnsi" w:eastAsiaTheme="majorEastAsia" w:hAnsiTheme="minorHAnsi" w:cstheme="minorHAnsi"/>
          <w:iCs/>
          <w:sz w:val="22"/>
          <w:szCs w:val="22"/>
          <w:lang w:val="en-GB"/>
        </w:rPr>
      </w:pPr>
      <w:r w:rsidRPr="00F811CB">
        <w:rPr>
          <w:rFonts w:asciiTheme="minorHAnsi" w:eastAsiaTheme="majorEastAsia" w:hAnsiTheme="minorHAnsi" w:cstheme="minorHAnsi"/>
          <w:iCs/>
          <w:sz w:val="22"/>
          <w:szCs w:val="22"/>
          <w:lang w:val="en-GB"/>
        </w:rPr>
        <w:t>(a)</w:t>
      </w:r>
      <w:r w:rsidRPr="00F811CB">
        <w:rPr>
          <w:rFonts w:asciiTheme="minorHAnsi" w:eastAsiaTheme="majorEastAsia" w:hAnsiTheme="minorHAnsi" w:cstheme="minorHAnsi"/>
          <w:iCs/>
          <w:sz w:val="22"/>
          <w:szCs w:val="22"/>
          <w:lang w:val="en-GB"/>
        </w:rPr>
        <w:tab/>
        <w:t>the level at which a Participant is seeking to trade in a</w:t>
      </w:r>
      <w:r w:rsidR="009A0BB7" w:rsidRPr="00F811CB">
        <w:rPr>
          <w:rFonts w:asciiTheme="minorHAnsi" w:eastAsiaTheme="majorEastAsia" w:hAnsiTheme="minorHAnsi" w:cstheme="minorHAnsi"/>
          <w:iCs/>
          <w:sz w:val="22"/>
          <w:szCs w:val="22"/>
          <w:lang w:val="en-GB"/>
        </w:rPr>
        <w:t xml:space="preserve"> proposed </w:t>
      </w:r>
      <w:r w:rsidRPr="00F811CB">
        <w:rPr>
          <w:rFonts w:asciiTheme="minorHAnsi" w:eastAsiaTheme="majorEastAsia" w:hAnsiTheme="minorHAnsi" w:cstheme="minorHAnsi"/>
          <w:iCs/>
          <w:sz w:val="22"/>
          <w:szCs w:val="22"/>
          <w:lang w:val="en-GB"/>
        </w:rPr>
        <w:t xml:space="preserve">Secondary </w:t>
      </w:r>
      <w:r w:rsidR="009A0BB7" w:rsidRPr="00F811CB">
        <w:rPr>
          <w:rFonts w:asciiTheme="minorHAnsi" w:eastAsiaTheme="majorEastAsia" w:hAnsiTheme="minorHAnsi" w:cstheme="minorHAnsi"/>
          <w:iCs/>
          <w:sz w:val="22"/>
          <w:szCs w:val="22"/>
          <w:lang w:val="en-GB"/>
        </w:rPr>
        <w:t>Trade</w:t>
      </w:r>
      <w:r w:rsidRPr="00F811CB">
        <w:rPr>
          <w:rFonts w:asciiTheme="minorHAnsi" w:eastAsiaTheme="majorEastAsia" w:hAnsiTheme="minorHAnsi" w:cstheme="minorHAnsi"/>
          <w:iCs/>
          <w:sz w:val="22"/>
          <w:szCs w:val="22"/>
          <w:lang w:val="en-GB"/>
        </w:rPr>
        <w:t xml:space="preserve"> is the Initial Position of the relevant Capacity Market Unit plus the incremental MW quantity offered in that </w:t>
      </w:r>
      <w:r w:rsidR="009A0BB7" w:rsidRPr="00F811CB">
        <w:rPr>
          <w:rFonts w:asciiTheme="minorHAnsi" w:eastAsiaTheme="majorEastAsia" w:hAnsiTheme="minorHAnsi" w:cstheme="minorHAnsi"/>
          <w:iCs/>
          <w:sz w:val="22"/>
          <w:szCs w:val="22"/>
          <w:lang w:val="en-GB"/>
        </w:rPr>
        <w:t>proposed Secondary Trade</w:t>
      </w:r>
      <w:r w:rsidRPr="00F811CB">
        <w:rPr>
          <w:rFonts w:asciiTheme="minorHAnsi" w:eastAsiaTheme="majorEastAsia" w:hAnsiTheme="minorHAnsi" w:cstheme="minorHAnsi"/>
          <w:iCs/>
          <w:sz w:val="22"/>
          <w:szCs w:val="22"/>
          <w:lang w:val="en-GB"/>
        </w:rPr>
        <w:t>; and</w:t>
      </w:r>
    </w:p>
    <w:p w14:paraId="08AE9679" w14:textId="28F36986" w:rsidR="00CA40B7" w:rsidRDefault="00D3260C" w:rsidP="00402A82">
      <w:pPr>
        <w:widowControl w:val="0"/>
        <w:tabs>
          <w:tab w:val="left" w:pos="1673"/>
        </w:tabs>
        <w:overflowPunct/>
        <w:adjustRightInd/>
        <w:spacing w:before="79" w:after="240"/>
        <w:ind w:left="1701" w:right="95" w:hanging="567"/>
        <w:jc w:val="both"/>
        <w:rPr>
          <w:rFonts w:asciiTheme="minorHAnsi" w:eastAsiaTheme="majorEastAsia" w:hAnsiTheme="minorHAnsi" w:cstheme="minorHAnsi"/>
          <w:iCs/>
          <w:sz w:val="22"/>
          <w:szCs w:val="22"/>
          <w:lang w:val="en-GB"/>
        </w:rPr>
      </w:pPr>
      <w:r w:rsidRPr="00F811CB">
        <w:rPr>
          <w:rFonts w:asciiTheme="minorHAnsi" w:eastAsiaTheme="majorEastAsia" w:hAnsiTheme="minorHAnsi" w:cstheme="minorHAnsi"/>
          <w:iCs/>
          <w:sz w:val="22"/>
          <w:szCs w:val="22"/>
          <w:lang w:val="en-GB"/>
        </w:rPr>
        <w:t>(b)</w:t>
      </w:r>
      <w:r w:rsidRPr="00F811CB">
        <w:rPr>
          <w:rFonts w:asciiTheme="minorHAnsi" w:eastAsiaTheme="majorEastAsia" w:hAnsiTheme="minorHAnsi" w:cstheme="minorHAnsi"/>
          <w:iCs/>
          <w:sz w:val="22"/>
          <w:szCs w:val="22"/>
          <w:lang w:val="en-GB"/>
        </w:rPr>
        <w:tab/>
        <w:t>“Available De-Rated Capacity” is the lesser of the Commissioned Capacity and the Gross De-Rated Capacity (Total) of the Capacity Market Unit (when the Capacity Market Unit was last Qualified in respect of the Capacity Year).</w:t>
      </w:r>
    </w:p>
    <w:p w14:paraId="7732215F" w14:textId="77777777" w:rsidR="006B3E60" w:rsidRDefault="006B3E60" w:rsidP="00402A82">
      <w:pPr>
        <w:widowControl w:val="0"/>
        <w:tabs>
          <w:tab w:val="left" w:pos="1673"/>
        </w:tabs>
        <w:overflowPunct/>
        <w:adjustRightInd/>
        <w:spacing w:before="79" w:after="240"/>
        <w:ind w:left="1701" w:right="95" w:hanging="567"/>
        <w:jc w:val="both"/>
        <w:rPr>
          <w:rFonts w:asciiTheme="minorHAnsi" w:eastAsiaTheme="majorEastAsia" w:hAnsiTheme="minorHAnsi" w:cstheme="minorHAnsi"/>
          <w:iCs/>
          <w:sz w:val="22"/>
          <w:szCs w:val="22"/>
          <w:lang w:val="en-GB"/>
        </w:rPr>
      </w:pPr>
    </w:p>
    <w:p w14:paraId="59371F43" w14:textId="77777777" w:rsidR="006B3E60" w:rsidRDefault="006B3E60" w:rsidP="00402A82">
      <w:pPr>
        <w:widowControl w:val="0"/>
        <w:tabs>
          <w:tab w:val="left" w:pos="1673"/>
        </w:tabs>
        <w:overflowPunct/>
        <w:adjustRightInd/>
        <w:spacing w:before="79" w:after="240"/>
        <w:ind w:left="1701" w:right="95" w:hanging="567"/>
        <w:jc w:val="both"/>
        <w:rPr>
          <w:rFonts w:asciiTheme="minorHAnsi" w:eastAsiaTheme="majorEastAsia" w:hAnsiTheme="minorHAnsi" w:cstheme="minorHAnsi"/>
          <w:iCs/>
          <w:sz w:val="22"/>
          <w:szCs w:val="22"/>
          <w:lang w:val="en-GB"/>
        </w:rPr>
      </w:pPr>
    </w:p>
    <w:p w14:paraId="32B740F5" w14:textId="77777777" w:rsidR="006B3E60" w:rsidRDefault="006B3E60" w:rsidP="00402A82">
      <w:pPr>
        <w:widowControl w:val="0"/>
        <w:tabs>
          <w:tab w:val="left" w:pos="1673"/>
        </w:tabs>
        <w:overflowPunct/>
        <w:adjustRightInd/>
        <w:spacing w:before="79" w:after="240"/>
        <w:ind w:left="1701" w:right="95" w:hanging="567"/>
        <w:jc w:val="both"/>
        <w:rPr>
          <w:rFonts w:asciiTheme="minorHAnsi" w:eastAsiaTheme="majorEastAsia" w:hAnsiTheme="minorHAnsi" w:cstheme="minorHAnsi"/>
          <w:iCs/>
          <w:sz w:val="22"/>
          <w:szCs w:val="22"/>
          <w:lang w:val="en-GB"/>
        </w:rPr>
      </w:pPr>
    </w:p>
    <w:p w14:paraId="2F7F9061" w14:textId="77777777" w:rsidR="006B3E60" w:rsidRPr="00F811CB" w:rsidRDefault="006B3E60" w:rsidP="00402A82">
      <w:pPr>
        <w:widowControl w:val="0"/>
        <w:tabs>
          <w:tab w:val="left" w:pos="1673"/>
        </w:tabs>
        <w:overflowPunct/>
        <w:adjustRightInd/>
        <w:spacing w:before="79" w:after="240"/>
        <w:ind w:left="1701" w:right="95" w:hanging="567"/>
        <w:jc w:val="both"/>
        <w:rPr>
          <w:rFonts w:asciiTheme="minorHAnsi" w:eastAsiaTheme="majorEastAsia" w:hAnsiTheme="minorHAnsi" w:cstheme="minorHAnsi"/>
          <w:iCs/>
          <w:sz w:val="22"/>
          <w:szCs w:val="22"/>
          <w:lang w:val="en-GB"/>
        </w:rPr>
      </w:pPr>
    </w:p>
    <w:p w14:paraId="76254941" w14:textId="49D8CE68" w:rsidR="00D641EC" w:rsidRPr="00F811CB" w:rsidRDefault="00D641EC" w:rsidP="00D641EC">
      <w:pPr>
        <w:widowControl w:val="0"/>
        <w:tabs>
          <w:tab w:val="left" w:pos="1134"/>
        </w:tabs>
        <w:overflowPunct/>
        <w:adjustRightInd/>
        <w:spacing w:after="240" w:line="276" w:lineRule="auto"/>
        <w:ind w:left="1716" w:hanging="1716"/>
        <w:rPr>
          <w:rFonts w:asciiTheme="minorHAnsi" w:eastAsiaTheme="majorEastAsia" w:hAnsiTheme="minorHAnsi" w:cstheme="minorHAnsi"/>
          <w:b/>
          <w:bCs/>
          <w:sz w:val="22"/>
          <w:szCs w:val="22"/>
          <w:lang w:val="en-GB" w:eastAsia="en-US"/>
        </w:rPr>
      </w:pPr>
      <w:r w:rsidRPr="00F811CB">
        <w:rPr>
          <w:rFonts w:asciiTheme="minorHAnsi" w:eastAsiaTheme="majorEastAsia" w:hAnsiTheme="minorHAnsi" w:cstheme="minorHAnsi"/>
          <w:sz w:val="22"/>
          <w:szCs w:val="22"/>
          <w:lang w:val="en-GB" w:eastAsia="en-US"/>
        </w:rPr>
        <w:lastRenderedPageBreak/>
        <w:t xml:space="preserve">M.11.7        </w:t>
      </w:r>
      <w:r w:rsidRPr="00F811CB">
        <w:rPr>
          <w:rFonts w:asciiTheme="minorHAnsi" w:eastAsiaTheme="majorEastAsia" w:hAnsiTheme="minorHAnsi" w:cstheme="minorHAnsi"/>
          <w:b/>
          <w:bCs/>
          <w:sz w:val="22"/>
          <w:szCs w:val="22"/>
          <w:lang w:val="en-GB" w:eastAsia="en-US"/>
        </w:rPr>
        <w:t>Restrictions on secondary trade</w:t>
      </w:r>
    </w:p>
    <w:p w14:paraId="478FC874" w14:textId="198A6868" w:rsidR="00FF1594" w:rsidRPr="00F811CB" w:rsidRDefault="00FF1594" w:rsidP="00FF1594">
      <w:pPr>
        <w:widowControl w:val="0"/>
        <w:overflowPunct/>
        <w:adjustRightInd/>
        <w:spacing w:before="119"/>
        <w:ind w:left="1134" w:hanging="1134"/>
        <w:rPr>
          <w:rFonts w:asciiTheme="minorHAnsi" w:hAnsiTheme="minorHAnsi" w:cstheme="minorHAnsi"/>
          <w:sz w:val="22"/>
          <w:szCs w:val="22"/>
          <w:lang w:val="en-IE"/>
        </w:rPr>
      </w:pPr>
      <w:r w:rsidRPr="00F811CB">
        <w:rPr>
          <w:rFonts w:asciiTheme="minorHAnsi" w:hAnsiTheme="minorHAnsi" w:cstheme="minorHAnsi"/>
          <w:sz w:val="22"/>
          <w:szCs w:val="22"/>
          <w:lang w:val="en-IE"/>
        </w:rPr>
        <w:t>M.11.7.1</w:t>
      </w:r>
      <w:r w:rsidRPr="00F811CB">
        <w:rPr>
          <w:rFonts w:asciiTheme="minorHAnsi" w:hAnsiTheme="minorHAnsi" w:cstheme="minorHAnsi"/>
          <w:sz w:val="22"/>
          <w:szCs w:val="22"/>
          <w:lang w:val="en-IE"/>
        </w:rPr>
        <w:tab/>
        <w:t>For the purposes of this section M.11, each of the following is a “Legitimate Reason”:</w:t>
      </w:r>
    </w:p>
    <w:p w14:paraId="7209DA76" w14:textId="77777777" w:rsidR="00FF1594" w:rsidRPr="00F811CB" w:rsidRDefault="00FF1594" w:rsidP="003805B9">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(a)</w:t>
      </w:r>
      <w:r w:rsidRPr="00F811CB">
        <w:rPr>
          <w:rFonts w:asciiTheme="minorHAnsi" w:hAnsiTheme="minorHAnsi" w:cstheme="minorHAnsi"/>
          <w:sz w:val="22"/>
          <w:szCs w:val="22"/>
          <w:lang w:val="en-IE"/>
        </w:rPr>
        <w:tab/>
        <w:t>one or more of the Generator Units or the Interconnector comprising the Capacity Market Unit is or are undertaking a Planned Outage;</w:t>
      </w:r>
    </w:p>
    <w:p w14:paraId="7F0ED647" w14:textId="5998E637" w:rsidR="00FF1594" w:rsidRPr="00F811CB" w:rsidRDefault="00FF1594" w:rsidP="003805B9">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(b)</w:t>
      </w:r>
      <w:r w:rsidRPr="00F811CB">
        <w:rPr>
          <w:rFonts w:asciiTheme="minorHAnsi" w:hAnsiTheme="minorHAnsi" w:cstheme="minorHAnsi"/>
          <w:sz w:val="22"/>
          <w:szCs w:val="22"/>
          <w:lang w:val="en-IE"/>
        </w:rPr>
        <w:tab/>
        <w:t>one or more of the Generator Units or the Interconnector comprising the Capacity Market Unit is or are adversely affected by a</w:t>
      </w:r>
      <w:r w:rsidR="00562384" w:rsidRPr="00F811CB">
        <w:rPr>
          <w:rFonts w:asciiTheme="minorHAnsi" w:hAnsiTheme="minorHAnsi" w:cstheme="minorHAnsi"/>
          <w:sz w:val="22"/>
          <w:szCs w:val="22"/>
          <w:lang w:val="en-IE"/>
        </w:rPr>
        <w:t>n</w:t>
      </w:r>
      <w:r w:rsidRPr="00F811CB">
        <w:rPr>
          <w:rFonts w:asciiTheme="minorHAnsi" w:hAnsiTheme="minorHAnsi" w:cstheme="minorHAnsi"/>
          <w:sz w:val="22"/>
          <w:szCs w:val="22"/>
          <w:lang w:val="en-IE"/>
        </w:rPr>
        <w:t xml:space="preserve"> Outage;</w:t>
      </w:r>
    </w:p>
    <w:p w14:paraId="773F53E8" w14:textId="77777777" w:rsidR="00FF1594" w:rsidRPr="00F811CB" w:rsidRDefault="00FF1594" w:rsidP="003805B9">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(c)</w:t>
      </w:r>
      <w:r w:rsidRPr="00F811CB">
        <w:rPr>
          <w:rFonts w:asciiTheme="minorHAnsi" w:hAnsiTheme="minorHAnsi" w:cstheme="minorHAnsi"/>
          <w:sz w:val="22"/>
          <w:szCs w:val="22"/>
          <w:lang w:val="en-IE"/>
        </w:rPr>
        <w:tab/>
        <w:t xml:space="preserve">one or more of the Generator Units comprising the Capacity Market Unit is or are adversely affected by an Ambient Outage; </w:t>
      </w:r>
    </w:p>
    <w:p w14:paraId="5382DDB2" w14:textId="77777777" w:rsidR="00FF1594" w:rsidRPr="00F811CB" w:rsidRDefault="00FF1594" w:rsidP="003805B9">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(d)</w:t>
      </w:r>
      <w:r w:rsidRPr="00F811CB">
        <w:rPr>
          <w:rFonts w:asciiTheme="minorHAnsi" w:hAnsiTheme="minorHAnsi" w:cstheme="minorHAnsi"/>
          <w:sz w:val="22"/>
          <w:szCs w:val="22"/>
          <w:lang w:val="en-IE"/>
        </w:rPr>
        <w:tab/>
        <w:t>one or more Variable Generator Units comprising the Capacity Market Unit is or are adversely affected by:</w:t>
      </w:r>
    </w:p>
    <w:p w14:paraId="5E7FDD97" w14:textId="77777777" w:rsidR="00FF1594" w:rsidRPr="00F811CB" w:rsidRDefault="00FF1594" w:rsidP="003805B9">
      <w:pPr>
        <w:widowControl w:val="0"/>
        <w:overflowPunct/>
        <w:adjustRightInd/>
        <w:spacing w:before="119"/>
        <w:ind w:left="1985" w:hanging="284"/>
        <w:rPr>
          <w:rFonts w:asciiTheme="minorHAnsi" w:hAnsiTheme="minorHAnsi" w:cstheme="minorHAnsi"/>
          <w:sz w:val="22"/>
          <w:szCs w:val="22"/>
          <w:lang w:val="en-IE"/>
        </w:rPr>
      </w:pPr>
      <w:r w:rsidRPr="00F811CB">
        <w:rPr>
          <w:rFonts w:asciiTheme="minorHAnsi" w:hAnsiTheme="minorHAnsi" w:cstheme="minorHAnsi"/>
          <w:sz w:val="22"/>
          <w:szCs w:val="22"/>
          <w:lang w:val="en-IE"/>
        </w:rPr>
        <w:t>(i)</w:t>
      </w:r>
      <w:r w:rsidRPr="00F811CB">
        <w:rPr>
          <w:rFonts w:asciiTheme="minorHAnsi" w:hAnsiTheme="minorHAnsi" w:cstheme="minorHAnsi"/>
          <w:sz w:val="22"/>
          <w:szCs w:val="22"/>
          <w:lang w:val="en-IE"/>
        </w:rPr>
        <w:tab/>
        <w:t>fluctuations in the availability of its primary energy source; or</w:t>
      </w:r>
    </w:p>
    <w:p w14:paraId="6A64C138" w14:textId="77777777" w:rsidR="00FF1594" w:rsidRPr="00F811CB" w:rsidRDefault="00FF1594" w:rsidP="003805B9">
      <w:pPr>
        <w:widowControl w:val="0"/>
        <w:overflowPunct/>
        <w:adjustRightInd/>
        <w:spacing w:before="119"/>
        <w:ind w:left="1985" w:hanging="284"/>
        <w:rPr>
          <w:rFonts w:asciiTheme="minorHAnsi" w:hAnsiTheme="minorHAnsi" w:cstheme="minorHAnsi"/>
          <w:sz w:val="22"/>
          <w:szCs w:val="22"/>
          <w:lang w:val="en-IE"/>
        </w:rPr>
      </w:pPr>
      <w:r w:rsidRPr="00F811CB">
        <w:rPr>
          <w:rFonts w:asciiTheme="minorHAnsi" w:hAnsiTheme="minorHAnsi" w:cstheme="minorHAnsi"/>
          <w:sz w:val="22"/>
          <w:szCs w:val="22"/>
          <w:lang w:val="en-IE"/>
        </w:rPr>
        <w:t>(ii)</w:t>
      </w:r>
      <w:r w:rsidRPr="00F811CB">
        <w:rPr>
          <w:rFonts w:asciiTheme="minorHAnsi" w:hAnsiTheme="minorHAnsi" w:cstheme="minorHAnsi"/>
          <w:sz w:val="22"/>
          <w:szCs w:val="22"/>
          <w:lang w:val="en-IE"/>
        </w:rPr>
        <w:tab/>
        <w:t>if the primary energy source for the Variable Generator Unit is wave, tidal or run-of-river hydro energy, a restriction or limitation affecting its capacity to generate arising under a Legal Requirement;</w:t>
      </w:r>
    </w:p>
    <w:p w14:paraId="3655799B" w14:textId="5B302710" w:rsidR="00FF1594" w:rsidRPr="00F811CB" w:rsidRDefault="00FF1594" w:rsidP="003805B9">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(e)</w:t>
      </w:r>
      <w:r w:rsidRPr="00F811CB">
        <w:rPr>
          <w:rFonts w:asciiTheme="minorHAnsi" w:hAnsiTheme="minorHAnsi" w:cstheme="minorHAnsi"/>
          <w:sz w:val="22"/>
          <w:szCs w:val="22"/>
          <w:lang w:val="en-IE"/>
        </w:rPr>
        <w:tab/>
        <w:t xml:space="preserve">one or more of the Generator Units or the Interconnector comprising the Capacity Market Unit are adversely affected by a condition that the Regulatory Authorities notify the System Operators that they consider to be a Legitimate Reason in respect of the Generator Unit or Interconnector, following an application under paragraph </w:t>
      </w:r>
      <w:r w:rsidR="000671DA" w:rsidRPr="00F811CB">
        <w:rPr>
          <w:rFonts w:asciiTheme="minorHAnsi" w:hAnsiTheme="minorHAnsi" w:cstheme="minorHAnsi"/>
          <w:sz w:val="22"/>
          <w:szCs w:val="22"/>
          <w:lang w:val="en-IE"/>
        </w:rPr>
        <w:t>M</w:t>
      </w:r>
      <w:r w:rsidRPr="00F811CB">
        <w:rPr>
          <w:rFonts w:asciiTheme="minorHAnsi" w:hAnsiTheme="minorHAnsi" w:cstheme="minorHAnsi"/>
          <w:sz w:val="22"/>
          <w:szCs w:val="22"/>
          <w:lang w:val="en-IE"/>
        </w:rPr>
        <w:t>.</w:t>
      </w:r>
      <w:r w:rsidR="000671DA" w:rsidRPr="00F811CB">
        <w:rPr>
          <w:rFonts w:asciiTheme="minorHAnsi" w:hAnsiTheme="minorHAnsi" w:cstheme="minorHAnsi"/>
          <w:sz w:val="22"/>
          <w:szCs w:val="22"/>
          <w:lang w:val="en-IE"/>
        </w:rPr>
        <w:t>11</w:t>
      </w:r>
      <w:r w:rsidRPr="00F811CB">
        <w:rPr>
          <w:rFonts w:asciiTheme="minorHAnsi" w:hAnsiTheme="minorHAnsi" w:cstheme="minorHAnsi"/>
          <w:sz w:val="22"/>
          <w:szCs w:val="22"/>
          <w:lang w:val="en-IE"/>
        </w:rPr>
        <w:t>.</w:t>
      </w:r>
      <w:r w:rsidR="000671DA" w:rsidRPr="00F811CB">
        <w:rPr>
          <w:rFonts w:asciiTheme="minorHAnsi" w:hAnsiTheme="minorHAnsi" w:cstheme="minorHAnsi"/>
          <w:sz w:val="22"/>
          <w:szCs w:val="22"/>
          <w:lang w:val="en-IE"/>
        </w:rPr>
        <w:t>7</w:t>
      </w:r>
      <w:r w:rsidRPr="00F811CB">
        <w:rPr>
          <w:rFonts w:asciiTheme="minorHAnsi" w:hAnsiTheme="minorHAnsi" w:cstheme="minorHAnsi"/>
          <w:sz w:val="22"/>
          <w:szCs w:val="22"/>
          <w:lang w:val="en-IE"/>
        </w:rPr>
        <w:t>.2, during the period the Regulatory Authorities specify in their notice; or</w:t>
      </w:r>
    </w:p>
    <w:p w14:paraId="6D80342F" w14:textId="6A5EEA67" w:rsidR="006B3E60" w:rsidRPr="00F811CB" w:rsidRDefault="00FF1594" w:rsidP="006B3E60">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(f)</w:t>
      </w:r>
      <w:r w:rsidRPr="00F811CB">
        <w:rPr>
          <w:rFonts w:asciiTheme="minorHAnsi" w:hAnsiTheme="minorHAnsi" w:cstheme="minorHAnsi"/>
          <w:sz w:val="22"/>
          <w:szCs w:val="22"/>
          <w:lang w:val="en-IE"/>
        </w:rPr>
        <w:tab/>
        <w:t xml:space="preserve">in the case of paragraph </w:t>
      </w:r>
      <w:r w:rsidR="00CB4DB0" w:rsidRPr="00F811CB">
        <w:rPr>
          <w:rFonts w:asciiTheme="minorHAnsi" w:hAnsiTheme="minorHAnsi" w:cstheme="minorHAnsi"/>
          <w:sz w:val="22"/>
          <w:szCs w:val="22"/>
          <w:lang w:val="en-IE"/>
        </w:rPr>
        <w:t>M</w:t>
      </w:r>
      <w:r w:rsidRPr="00F811CB">
        <w:rPr>
          <w:rFonts w:asciiTheme="minorHAnsi" w:hAnsiTheme="minorHAnsi" w:cstheme="minorHAnsi"/>
          <w:sz w:val="22"/>
          <w:szCs w:val="22"/>
          <w:lang w:val="en-IE"/>
        </w:rPr>
        <w:t>.</w:t>
      </w:r>
      <w:r w:rsidR="00CB4DB0" w:rsidRPr="00F811CB">
        <w:rPr>
          <w:rFonts w:asciiTheme="minorHAnsi" w:hAnsiTheme="minorHAnsi" w:cstheme="minorHAnsi"/>
          <w:sz w:val="22"/>
          <w:szCs w:val="22"/>
          <w:lang w:val="en-IE"/>
        </w:rPr>
        <w:t>11.2</w:t>
      </w:r>
      <w:r w:rsidRPr="00F811CB">
        <w:rPr>
          <w:rFonts w:asciiTheme="minorHAnsi" w:hAnsiTheme="minorHAnsi" w:cstheme="minorHAnsi"/>
          <w:sz w:val="22"/>
          <w:szCs w:val="22"/>
          <w:lang w:val="en-IE"/>
        </w:rPr>
        <w:t>.</w:t>
      </w:r>
      <w:r w:rsidR="00CB4DB0" w:rsidRPr="00F811CB">
        <w:rPr>
          <w:rFonts w:asciiTheme="minorHAnsi" w:hAnsiTheme="minorHAnsi" w:cstheme="minorHAnsi"/>
          <w:sz w:val="22"/>
          <w:szCs w:val="22"/>
          <w:lang w:val="en-IE"/>
        </w:rPr>
        <w:t>2</w:t>
      </w:r>
      <w:r w:rsidRPr="00F811CB">
        <w:rPr>
          <w:rFonts w:asciiTheme="minorHAnsi" w:hAnsiTheme="minorHAnsi" w:cstheme="minorHAnsi"/>
          <w:sz w:val="22"/>
          <w:szCs w:val="22"/>
          <w:lang w:val="en-IE"/>
        </w:rPr>
        <w:t>, if as a result of one or more prior Secondary Trades a Participant’s Net Capacity Quantity in respect of the Capacity Market Unit exceeds its total Awarded Capacity allocated in respect of that Capacity Market Unit as a result of a Capacity Auction for the relevant Capacity Year (and as recorded in the Capacity and Trade Register with a Commissioning Status Flag of “Actual”), and the effect of the proposed Secondary Trade is to cancel the effect of one or more of those prior Secondary Trades on the Net Capacity Quantity, provided that the relevant Secondary Trade Auction is not less than two  Working Days prior to the commencement of the forward period over which the relevant Product will apply.</w:t>
      </w:r>
    </w:p>
    <w:p w14:paraId="59E7C762" w14:textId="09A6D121" w:rsidR="00FF1594" w:rsidRPr="00F811CB" w:rsidRDefault="00CB4DB0" w:rsidP="00FF1594">
      <w:pPr>
        <w:widowControl w:val="0"/>
        <w:overflowPunct/>
        <w:adjustRightInd/>
        <w:spacing w:before="119"/>
        <w:ind w:left="1134" w:hanging="1134"/>
        <w:rPr>
          <w:rFonts w:asciiTheme="minorHAnsi" w:hAnsiTheme="minorHAnsi" w:cstheme="minorHAnsi"/>
          <w:sz w:val="22"/>
          <w:szCs w:val="22"/>
          <w:lang w:val="en-IE"/>
        </w:rPr>
      </w:pPr>
      <w:r w:rsidRPr="00F811CB">
        <w:rPr>
          <w:rFonts w:asciiTheme="minorHAnsi" w:hAnsiTheme="minorHAnsi" w:cstheme="minorHAnsi"/>
          <w:sz w:val="22"/>
          <w:szCs w:val="22"/>
          <w:lang w:val="en-IE"/>
        </w:rPr>
        <w:t>M</w:t>
      </w:r>
      <w:r w:rsidR="00FF1594" w:rsidRPr="00F811CB">
        <w:rPr>
          <w:rFonts w:asciiTheme="minorHAnsi" w:hAnsiTheme="minorHAnsi" w:cstheme="minorHAnsi"/>
          <w:sz w:val="22"/>
          <w:szCs w:val="22"/>
          <w:lang w:val="en-IE"/>
        </w:rPr>
        <w:t>.</w:t>
      </w:r>
      <w:r w:rsidRPr="00F811CB">
        <w:rPr>
          <w:rFonts w:asciiTheme="minorHAnsi" w:hAnsiTheme="minorHAnsi" w:cstheme="minorHAnsi"/>
          <w:sz w:val="22"/>
          <w:szCs w:val="22"/>
          <w:lang w:val="en-IE"/>
        </w:rPr>
        <w:t>11</w:t>
      </w:r>
      <w:r w:rsidR="00FF1594" w:rsidRPr="00F811CB">
        <w:rPr>
          <w:rFonts w:asciiTheme="minorHAnsi" w:hAnsiTheme="minorHAnsi" w:cstheme="minorHAnsi"/>
          <w:sz w:val="22"/>
          <w:szCs w:val="22"/>
          <w:lang w:val="en-IE"/>
        </w:rPr>
        <w:t>.</w:t>
      </w:r>
      <w:r w:rsidRPr="00F811CB">
        <w:rPr>
          <w:rFonts w:asciiTheme="minorHAnsi" w:hAnsiTheme="minorHAnsi" w:cstheme="minorHAnsi"/>
          <w:sz w:val="22"/>
          <w:szCs w:val="22"/>
          <w:lang w:val="en-IE"/>
        </w:rPr>
        <w:t>7</w:t>
      </w:r>
      <w:r w:rsidR="00FF1594" w:rsidRPr="00F811CB">
        <w:rPr>
          <w:rFonts w:asciiTheme="minorHAnsi" w:hAnsiTheme="minorHAnsi" w:cstheme="minorHAnsi"/>
          <w:sz w:val="22"/>
          <w:szCs w:val="22"/>
          <w:lang w:val="en-IE"/>
        </w:rPr>
        <w:t>.</w:t>
      </w:r>
      <w:r w:rsidRPr="00F811CB">
        <w:rPr>
          <w:rFonts w:asciiTheme="minorHAnsi" w:hAnsiTheme="minorHAnsi" w:cstheme="minorHAnsi"/>
          <w:sz w:val="22"/>
          <w:szCs w:val="22"/>
          <w:lang w:val="en-IE"/>
        </w:rPr>
        <w:t>2</w:t>
      </w:r>
      <w:r w:rsidR="00FF1594" w:rsidRPr="00F811CB">
        <w:rPr>
          <w:rFonts w:asciiTheme="minorHAnsi" w:hAnsiTheme="minorHAnsi" w:cstheme="minorHAnsi"/>
          <w:sz w:val="22"/>
          <w:szCs w:val="22"/>
          <w:lang w:val="en-IE"/>
        </w:rPr>
        <w:tab/>
        <w:t xml:space="preserve">A Participant may apply to the Regulatory Authorities for a determination for the purposes of paragraph </w:t>
      </w:r>
      <w:r w:rsidRPr="00F811CB">
        <w:rPr>
          <w:rFonts w:asciiTheme="minorHAnsi" w:hAnsiTheme="minorHAnsi" w:cstheme="minorHAnsi"/>
          <w:sz w:val="22"/>
          <w:szCs w:val="22"/>
          <w:lang w:val="en-IE"/>
        </w:rPr>
        <w:t>M</w:t>
      </w:r>
      <w:r w:rsidR="00FF1594" w:rsidRPr="00F811CB">
        <w:rPr>
          <w:rFonts w:asciiTheme="minorHAnsi" w:hAnsiTheme="minorHAnsi" w:cstheme="minorHAnsi"/>
          <w:sz w:val="22"/>
          <w:szCs w:val="22"/>
          <w:lang w:val="en-IE"/>
        </w:rPr>
        <w:t>.</w:t>
      </w:r>
      <w:r w:rsidRPr="00F811CB">
        <w:rPr>
          <w:rFonts w:asciiTheme="minorHAnsi" w:hAnsiTheme="minorHAnsi" w:cstheme="minorHAnsi"/>
          <w:sz w:val="22"/>
          <w:szCs w:val="22"/>
          <w:lang w:val="en-IE"/>
        </w:rPr>
        <w:t>11</w:t>
      </w:r>
      <w:r w:rsidR="00FF1594" w:rsidRPr="00F811CB">
        <w:rPr>
          <w:rFonts w:asciiTheme="minorHAnsi" w:hAnsiTheme="minorHAnsi" w:cstheme="minorHAnsi"/>
          <w:sz w:val="22"/>
          <w:szCs w:val="22"/>
          <w:lang w:val="en-IE"/>
        </w:rPr>
        <w:t>.</w:t>
      </w:r>
      <w:r w:rsidRPr="00F811CB">
        <w:rPr>
          <w:rFonts w:asciiTheme="minorHAnsi" w:hAnsiTheme="minorHAnsi" w:cstheme="minorHAnsi"/>
          <w:sz w:val="22"/>
          <w:szCs w:val="22"/>
          <w:lang w:val="en-IE"/>
        </w:rPr>
        <w:t>7</w:t>
      </w:r>
      <w:r w:rsidR="00FF1594" w:rsidRPr="00F811CB">
        <w:rPr>
          <w:rFonts w:asciiTheme="minorHAnsi" w:hAnsiTheme="minorHAnsi" w:cstheme="minorHAnsi"/>
          <w:sz w:val="22"/>
          <w:szCs w:val="22"/>
          <w:lang w:val="en-IE"/>
        </w:rPr>
        <w:t>.1(e) in relation to a Generator Unit or Interconnector where the Participant considers that any of the following conditions applies:</w:t>
      </w:r>
    </w:p>
    <w:p w14:paraId="2BD8EDD8" w14:textId="77777777" w:rsidR="00FF1594" w:rsidRPr="00F811CB" w:rsidRDefault="00FF1594" w:rsidP="00DB4640">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(a)</w:t>
      </w:r>
      <w:r w:rsidRPr="00F811CB">
        <w:rPr>
          <w:rFonts w:asciiTheme="minorHAnsi" w:hAnsiTheme="minorHAnsi" w:cstheme="minorHAnsi"/>
          <w:sz w:val="22"/>
          <w:szCs w:val="22"/>
          <w:lang w:val="en-IE"/>
        </w:rPr>
        <w:tab/>
        <w:t xml:space="preserve">there has been a material long-term unplanned reduction in the reliability of the plant associated with the Generator Unit or Interconnector since it Qualified; </w:t>
      </w:r>
    </w:p>
    <w:p w14:paraId="3C2938E2" w14:textId="77777777" w:rsidR="00FF1594" w:rsidRPr="00F811CB" w:rsidRDefault="00FF1594" w:rsidP="00DB4640">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(b)</w:t>
      </w:r>
      <w:r w:rsidRPr="00F811CB">
        <w:rPr>
          <w:rFonts w:asciiTheme="minorHAnsi" w:hAnsiTheme="minorHAnsi" w:cstheme="minorHAnsi"/>
          <w:sz w:val="22"/>
          <w:szCs w:val="22"/>
          <w:lang w:val="en-IE"/>
        </w:rPr>
        <w:tab/>
        <w:t>the Generator Unit or Interconnector is no longer economic and the Participant wishes to close the Generator Unit or Interconnector before the end of its existing capacity obligation; or</w:t>
      </w:r>
    </w:p>
    <w:p w14:paraId="1477FF89" w14:textId="77777777" w:rsidR="00FF1594" w:rsidRPr="00F811CB" w:rsidRDefault="00FF1594" w:rsidP="00DB4640">
      <w:pPr>
        <w:widowControl w:val="0"/>
        <w:overflowPunct/>
        <w:adjustRightInd/>
        <w:spacing w:before="119"/>
        <w:ind w:left="1701" w:hanging="567"/>
        <w:rPr>
          <w:rFonts w:asciiTheme="minorHAnsi" w:hAnsiTheme="minorHAnsi" w:cstheme="minorHAnsi"/>
          <w:sz w:val="22"/>
          <w:szCs w:val="22"/>
          <w:lang w:val="en-IE"/>
        </w:rPr>
      </w:pPr>
      <w:r w:rsidRPr="00F811CB">
        <w:rPr>
          <w:rFonts w:asciiTheme="minorHAnsi" w:hAnsiTheme="minorHAnsi" w:cstheme="minorHAnsi"/>
          <w:sz w:val="22"/>
          <w:szCs w:val="22"/>
          <w:lang w:val="en-IE"/>
        </w:rPr>
        <w:t>(c)</w:t>
      </w:r>
      <w:r w:rsidRPr="00F811CB">
        <w:rPr>
          <w:rFonts w:asciiTheme="minorHAnsi" w:hAnsiTheme="minorHAnsi" w:cstheme="minorHAnsi"/>
          <w:sz w:val="22"/>
          <w:szCs w:val="22"/>
          <w:lang w:val="en-IE"/>
        </w:rPr>
        <w:tab/>
        <w:t>an equivalent or similar condition to those set out in sub-paragraph (a) or (b).</w:t>
      </w:r>
    </w:p>
    <w:p w14:paraId="053E5D9B" w14:textId="600879C2" w:rsidR="00D641EC" w:rsidRPr="00F811CB" w:rsidRDefault="00CB4DB0" w:rsidP="00FF1594">
      <w:pPr>
        <w:widowControl w:val="0"/>
        <w:overflowPunct/>
        <w:adjustRightInd/>
        <w:spacing w:before="119"/>
        <w:ind w:left="1134" w:hanging="1134"/>
        <w:rPr>
          <w:rFonts w:asciiTheme="minorHAnsi" w:hAnsiTheme="minorHAnsi" w:cstheme="minorHAnsi"/>
          <w:sz w:val="22"/>
          <w:szCs w:val="22"/>
        </w:rPr>
      </w:pPr>
      <w:r w:rsidRPr="00F811CB">
        <w:rPr>
          <w:rFonts w:asciiTheme="minorHAnsi" w:hAnsiTheme="minorHAnsi" w:cstheme="minorHAnsi"/>
          <w:sz w:val="22"/>
          <w:szCs w:val="22"/>
          <w:lang w:val="en-IE"/>
        </w:rPr>
        <w:t>M</w:t>
      </w:r>
      <w:r w:rsidR="00FF1594" w:rsidRPr="00F811CB">
        <w:rPr>
          <w:rFonts w:asciiTheme="minorHAnsi" w:hAnsiTheme="minorHAnsi" w:cstheme="minorHAnsi"/>
          <w:sz w:val="22"/>
          <w:szCs w:val="22"/>
          <w:lang w:val="en-IE"/>
        </w:rPr>
        <w:t>.</w:t>
      </w:r>
      <w:r w:rsidRPr="00F811CB">
        <w:rPr>
          <w:rFonts w:asciiTheme="minorHAnsi" w:hAnsiTheme="minorHAnsi" w:cstheme="minorHAnsi"/>
          <w:sz w:val="22"/>
          <w:szCs w:val="22"/>
          <w:lang w:val="en-IE"/>
        </w:rPr>
        <w:t>11.</w:t>
      </w:r>
      <w:r w:rsidR="00FF1594" w:rsidRPr="00F811CB">
        <w:rPr>
          <w:rFonts w:asciiTheme="minorHAnsi" w:hAnsiTheme="minorHAnsi" w:cstheme="minorHAnsi"/>
          <w:sz w:val="22"/>
          <w:szCs w:val="22"/>
          <w:lang w:val="en-IE"/>
        </w:rPr>
        <w:t>7.3</w:t>
      </w:r>
      <w:r w:rsidR="00FF1594" w:rsidRPr="00F811CB">
        <w:rPr>
          <w:rFonts w:asciiTheme="minorHAnsi" w:hAnsiTheme="minorHAnsi" w:cstheme="minorHAnsi"/>
          <w:sz w:val="22"/>
          <w:szCs w:val="22"/>
          <w:lang w:val="en-IE"/>
        </w:rPr>
        <w:tab/>
        <w:t xml:space="preserve">A Participant seeking approval of the Regulatory Authorities under paragraph </w:t>
      </w:r>
      <w:r w:rsidRPr="00F811CB">
        <w:rPr>
          <w:rFonts w:asciiTheme="minorHAnsi" w:hAnsiTheme="minorHAnsi" w:cstheme="minorHAnsi"/>
          <w:sz w:val="22"/>
          <w:szCs w:val="22"/>
          <w:lang w:val="en-IE"/>
        </w:rPr>
        <w:t>M</w:t>
      </w:r>
      <w:r w:rsidR="00FF1594" w:rsidRPr="00F811CB">
        <w:rPr>
          <w:rFonts w:asciiTheme="minorHAnsi" w:hAnsiTheme="minorHAnsi" w:cstheme="minorHAnsi"/>
          <w:sz w:val="22"/>
          <w:szCs w:val="22"/>
          <w:lang w:val="en-IE"/>
        </w:rPr>
        <w:t>.</w:t>
      </w:r>
      <w:r w:rsidRPr="00F811CB">
        <w:rPr>
          <w:rFonts w:asciiTheme="minorHAnsi" w:hAnsiTheme="minorHAnsi" w:cstheme="minorHAnsi"/>
          <w:sz w:val="22"/>
          <w:szCs w:val="22"/>
          <w:lang w:val="en-IE"/>
        </w:rPr>
        <w:t>11</w:t>
      </w:r>
      <w:r w:rsidR="00FF1594" w:rsidRPr="00F811CB">
        <w:rPr>
          <w:rFonts w:asciiTheme="minorHAnsi" w:hAnsiTheme="minorHAnsi" w:cstheme="minorHAnsi"/>
          <w:sz w:val="22"/>
          <w:szCs w:val="22"/>
          <w:lang w:val="en-IE"/>
        </w:rPr>
        <w:t>.</w:t>
      </w:r>
      <w:r w:rsidRPr="00F811CB">
        <w:rPr>
          <w:rFonts w:asciiTheme="minorHAnsi" w:hAnsiTheme="minorHAnsi" w:cstheme="minorHAnsi"/>
          <w:sz w:val="22"/>
          <w:szCs w:val="22"/>
          <w:lang w:val="en-IE"/>
        </w:rPr>
        <w:t>7</w:t>
      </w:r>
      <w:r w:rsidR="00FF1594" w:rsidRPr="00F811CB">
        <w:rPr>
          <w:rFonts w:asciiTheme="minorHAnsi" w:hAnsiTheme="minorHAnsi" w:cstheme="minorHAnsi"/>
          <w:sz w:val="22"/>
          <w:szCs w:val="22"/>
          <w:lang w:val="en-IE"/>
        </w:rPr>
        <w:t>.2 shall provide supporting evidence.</w:t>
      </w:r>
    </w:p>
    <w:p w14:paraId="24DE1757" w14:textId="77777777" w:rsidR="006B3E60" w:rsidRDefault="006B3E60" w:rsidP="00CB4DB0">
      <w:pPr>
        <w:overflowPunct/>
        <w:autoSpaceDE/>
        <w:adjustRightInd/>
        <w:spacing w:before="120" w:after="120"/>
        <w:ind w:left="1134" w:hanging="1134"/>
        <w:jc w:val="both"/>
        <w:rPr>
          <w:rFonts w:asciiTheme="minorHAnsi" w:eastAsiaTheme="majorEastAsia" w:hAnsiTheme="minorHAnsi" w:cstheme="minorHAnsi"/>
          <w:i/>
          <w:color w:val="8496B0" w:themeColor="text2" w:themeTint="99"/>
          <w:sz w:val="22"/>
          <w:szCs w:val="22"/>
          <w:lang w:val="en-GB"/>
        </w:rPr>
      </w:pPr>
    </w:p>
    <w:p w14:paraId="678091CA" w14:textId="77777777" w:rsidR="00DA1EC2" w:rsidRPr="00F811CB" w:rsidRDefault="00DA1EC2" w:rsidP="00CB4DB0">
      <w:pPr>
        <w:overflowPunct/>
        <w:autoSpaceDE/>
        <w:adjustRightInd/>
        <w:spacing w:before="120" w:after="120"/>
        <w:ind w:left="1134" w:hanging="1134"/>
        <w:jc w:val="both"/>
        <w:rPr>
          <w:rFonts w:asciiTheme="minorHAnsi" w:eastAsiaTheme="majorEastAsia" w:hAnsiTheme="minorHAnsi" w:cstheme="minorHAnsi"/>
          <w:i/>
          <w:color w:val="8496B0" w:themeColor="text2" w:themeTint="99"/>
          <w:sz w:val="22"/>
          <w:szCs w:val="22"/>
          <w:lang w:val="en-GB"/>
        </w:rPr>
      </w:pPr>
    </w:p>
    <w:p w14:paraId="52702D32" w14:textId="0B5210C4" w:rsidR="00CD7E0F" w:rsidRPr="00F811CB" w:rsidRDefault="00CD7E0F" w:rsidP="002D384E">
      <w:pPr>
        <w:widowControl w:val="0"/>
        <w:tabs>
          <w:tab w:val="left" w:pos="1134"/>
        </w:tabs>
        <w:overflowPunct/>
        <w:adjustRightInd/>
        <w:spacing w:before="79" w:after="240"/>
        <w:ind w:left="1134" w:right="1133" w:hanging="1134"/>
        <w:jc w:val="both"/>
        <w:rPr>
          <w:rFonts w:asciiTheme="minorHAnsi" w:eastAsiaTheme="majorEastAsia" w:hAnsiTheme="minorHAnsi" w:cstheme="minorHAnsi"/>
          <w:b/>
          <w:bCs/>
          <w:iCs/>
          <w:sz w:val="22"/>
          <w:szCs w:val="22"/>
          <w:lang w:val="en-GB"/>
        </w:rPr>
      </w:pPr>
      <w:r w:rsidRPr="00F811CB">
        <w:rPr>
          <w:rFonts w:asciiTheme="minorHAnsi" w:eastAsiaTheme="majorEastAsia" w:hAnsiTheme="minorHAnsi" w:cstheme="minorHAnsi"/>
          <w:iCs/>
          <w:sz w:val="22"/>
          <w:szCs w:val="22"/>
          <w:lang w:val="en-GB"/>
        </w:rPr>
        <w:lastRenderedPageBreak/>
        <w:t>M.1</w:t>
      </w:r>
      <w:r w:rsidR="00464330" w:rsidRPr="00F811CB">
        <w:rPr>
          <w:rFonts w:asciiTheme="minorHAnsi" w:eastAsiaTheme="majorEastAsia" w:hAnsiTheme="minorHAnsi" w:cstheme="minorHAnsi"/>
          <w:iCs/>
          <w:sz w:val="22"/>
          <w:szCs w:val="22"/>
          <w:lang w:val="en-GB"/>
        </w:rPr>
        <w:t>1</w:t>
      </w:r>
      <w:r w:rsidRPr="00F811CB">
        <w:rPr>
          <w:rFonts w:asciiTheme="minorHAnsi" w:eastAsiaTheme="majorEastAsia" w:hAnsiTheme="minorHAnsi" w:cstheme="minorHAnsi"/>
          <w:iCs/>
          <w:sz w:val="22"/>
          <w:szCs w:val="22"/>
          <w:lang w:val="en-GB"/>
        </w:rPr>
        <w:t>.</w:t>
      </w:r>
      <w:r w:rsidR="00BC244A" w:rsidRPr="00F811CB">
        <w:rPr>
          <w:rFonts w:asciiTheme="minorHAnsi" w:eastAsiaTheme="majorEastAsia" w:hAnsiTheme="minorHAnsi" w:cstheme="minorHAnsi"/>
          <w:iCs/>
          <w:sz w:val="22"/>
          <w:szCs w:val="22"/>
          <w:lang w:val="en-GB"/>
        </w:rPr>
        <w:t>8</w:t>
      </w:r>
      <w:r w:rsidRPr="00F811CB">
        <w:rPr>
          <w:rFonts w:asciiTheme="minorHAnsi" w:eastAsiaTheme="majorEastAsia" w:hAnsiTheme="minorHAnsi" w:cstheme="minorHAnsi"/>
          <w:iCs/>
          <w:sz w:val="22"/>
          <w:szCs w:val="22"/>
          <w:lang w:val="en-GB"/>
        </w:rPr>
        <w:t xml:space="preserve">      </w:t>
      </w:r>
      <w:r w:rsidRPr="00F811CB">
        <w:rPr>
          <w:rFonts w:asciiTheme="minorHAnsi" w:eastAsiaTheme="majorEastAsia" w:hAnsiTheme="minorHAnsi" w:cstheme="minorHAnsi"/>
          <w:b/>
          <w:bCs/>
          <w:iCs/>
          <w:sz w:val="22"/>
          <w:szCs w:val="22"/>
          <w:lang w:val="en-GB"/>
        </w:rPr>
        <w:t>Capacity and Trade Register</w:t>
      </w:r>
      <w:bookmarkStart w:id="9" w:name="_bookmark551"/>
      <w:bookmarkEnd w:id="9"/>
    </w:p>
    <w:p w14:paraId="241FFEF1" w14:textId="53A759E2" w:rsidR="00BC244A" w:rsidRPr="00F811CB" w:rsidRDefault="00BC244A" w:rsidP="00402A82">
      <w:pPr>
        <w:widowControl w:val="0"/>
        <w:tabs>
          <w:tab w:val="left" w:pos="7893"/>
        </w:tabs>
        <w:overflowPunct/>
        <w:adjustRightInd/>
        <w:spacing w:before="79"/>
        <w:ind w:left="1134" w:right="1133" w:hanging="1134"/>
        <w:jc w:val="both"/>
        <w:rPr>
          <w:rFonts w:asciiTheme="minorHAnsi" w:hAnsiTheme="minorHAnsi" w:cstheme="minorHAnsi"/>
          <w:sz w:val="22"/>
          <w:szCs w:val="22"/>
        </w:rPr>
      </w:pPr>
      <w:r w:rsidRPr="00F811CB">
        <w:rPr>
          <w:rFonts w:asciiTheme="minorHAnsi" w:hAnsiTheme="minorHAnsi" w:cstheme="minorHAnsi"/>
          <w:sz w:val="22"/>
          <w:szCs w:val="22"/>
        </w:rPr>
        <w:t>M.11.8.1</w:t>
      </w:r>
      <w:r w:rsidRPr="00F811CB">
        <w:rPr>
          <w:rFonts w:asciiTheme="minorHAnsi" w:hAnsiTheme="minorHAnsi" w:cstheme="minorHAnsi"/>
          <w:sz w:val="22"/>
          <w:szCs w:val="22"/>
        </w:rPr>
        <w:tab/>
        <w:t>The Awarded Capacity</w:t>
      </w:r>
      <w:r w:rsidR="007B71E3" w:rsidRPr="00F811CB">
        <w:rPr>
          <w:rFonts w:asciiTheme="minorHAnsi" w:hAnsiTheme="minorHAnsi" w:cstheme="minorHAnsi"/>
          <w:sz w:val="22"/>
          <w:szCs w:val="22"/>
        </w:rPr>
        <w:t xml:space="preserve"> arising from a proposed Secondary trade which is not rejected shall be the MW quantity of such trade, as adjusted pursuant to M.11.2.4.</w:t>
      </w:r>
    </w:p>
    <w:p w14:paraId="3BBD06BA" w14:textId="06E744CF" w:rsidR="007B71E3" w:rsidRPr="00F811CB" w:rsidRDefault="007B71E3" w:rsidP="00402A82">
      <w:pPr>
        <w:widowControl w:val="0"/>
        <w:tabs>
          <w:tab w:val="left" w:pos="7893"/>
        </w:tabs>
        <w:overflowPunct/>
        <w:adjustRightInd/>
        <w:spacing w:before="79"/>
        <w:ind w:left="1134" w:right="1133" w:hanging="1134"/>
        <w:jc w:val="both"/>
        <w:rPr>
          <w:rFonts w:asciiTheme="minorHAnsi" w:hAnsiTheme="minorHAnsi" w:cstheme="minorHAnsi"/>
          <w:sz w:val="22"/>
          <w:szCs w:val="22"/>
        </w:rPr>
      </w:pPr>
      <w:r w:rsidRPr="00F811CB">
        <w:rPr>
          <w:rFonts w:asciiTheme="minorHAnsi" w:hAnsiTheme="minorHAnsi" w:cstheme="minorHAnsi"/>
          <w:sz w:val="22"/>
          <w:szCs w:val="22"/>
        </w:rPr>
        <w:t>M.11.8.2</w:t>
      </w:r>
      <w:r w:rsidRPr="00F811CB">
        <w:rPr>
          <w:rFonts w:asciiTheme="minorHAnsi" w:hAnsiTheme="minorHAnsi" w:cstheme="minorHAnsi"/>
          <w:sz w:val="22"/>
          <w:szCs w:val="22"/>
        </w:rPr>
        <w:tab/>
        <w:t>The price of the Awarded Capacity shall be the price specified in the proposed Secondary Trade.</w:t>
      </w:r>
    </w:p>
    <w:p w14:paraId="3482B9EC" w14:textId="5D01306E" w:rsidR="00CD7E0F" w:rsidRPr="00F811CB" w:rsidRDefault="00CD7E0F" w:rsidP="00402A82">
      <w:pPr>
        <w:widowControl w:val="0"/>
        <w:tabs>
          <w:tab w:val="left" w:pos="7893"/>
        </w:tabs>
        <w:overflowPunct/>
        <w:adjustRightInd/>
        <w:spacing w:before="79"/>
        <w:ind w:left="1134" w:right="1133" w:hanging="1134"/>
        <w:jc w:val="both"/>
        <w:rPr>
          <w:rFonts w:asciiTheme="minorHAnsi" w:eastAsiaTheme="majorEastAsia" w:hAnsiTheme="minorHAnsi" w:cstheme="minorHAnsi"/>
          <w:i/>
          <w:color w:val="8496B0" w:themeColor="text2" w:themeTint="99"/>
          <w:sz w:val="22"/>
          <w:szCs w:val="22"/>
          <w:lang w:val="en-GB"/>
        </w:rPr>
      </w:pPr>
      <w:r w:rsidRPr="00F811CB">
        <w:rPr>
          <w:rFonts w:asciiTheme="minorHAnsi" w:hAnsiTheme="minorHAnsi" w:cstheme="minorHAnsi"/>
          <w:sz w:val="22"/>
          <w:szCs w:val="22"/>
        </w:rPr>
        <w:t>M.1</w:t>
      </w:r>
      <w:r w:rsidR="00464330" w:rsidRPr="00F811CB">
        <w:rPr>
          <w:rFonts w:asciiTheme="minorHAnsi" w:hAnsiTheme="minorHAnsi" w:cstheme="minorHAnsi"/>
          <w:sz w:val="22"/>
          <w:szCs w:val="22"/>
        </w:rPr>
        <w:t>1</w:t>
      </w:r>
      <w:r w:rsidRPr="00F811CB">
        <w:rPr>
          <w:rFonts w:asciiTheme="minorHAnsi" w:hAnsiTheme="minorHAnsi" w:cstheme="minorHAnsi"/>
          <w:sz w:val="22"/>
          <w:szCs w:val="22"/>
        </w:rPr>
        <w:t>.</w:t>
      </w:r>
      <w:r w:rsidR="00464330" w:rsidRPr="00F811CB">
        <w:rPr>
          <w:rFonts w:asciiTheme="minorHAnsi" w:hAnsiTheme="minorHAnsi" w:cstheme="minorHAnsi"/>
          <w:sz w:val="22"/>
          <w:szCs w:val="22"/>
        </w:rPr>
        <w:t>8</w:t>
      </w:r>
      <w:r w:rsidRPr="00F811CB">
        <w:rPr>
          <w:rFonts w:asciiTheme="minorHAnsi" w:hAnsiTheme="minorHAnsi" w:cstheme="minorHAnsi"/>
          <w:sz w:val="22"/>
          <w:szCs w:val="22"/>
        </w:rPr>
        <w:t>.</w:t>
      </w:r>
      <w:r w:rsidR="007B71E3" w:rsidRPr="00F811CB">
        <w:rPr>
          <w:rFonts w:asciiTheme="minorHAnsi" w:hAnsiTheme="minorHAnsi" w:cstheme="minorHAnsi"/>
          <w:sz w:val="22"/>
          <w:szCs w:val="22"/>
        </w:rPr>
        <w:t>3</w:t>
      </w:r>
      <w:r w:rsidRPr="00F811CB">
        <w:rPr>
          <w:rFonts w:asciiTheme="minorHAnsi" w:hAnsiTheme="minorHAnsi" w:cstheme="minorHAnsi"/>
          <w:sz w:val="22"/>
          <w:szCs w:val="22"/>
        </w:rPr>
        <w:t xml:space="preserve">  </w:t>
      </w:r>
      <w:r w:rsidR="00FD41BE" w:rsidRPr="00F811CB">
        <w:rPr>
          <w:rFonts w:asciiTheme="minorHAnsi" w:hAnsiTheme="minorHAnsi" w:cstheme="minorHAnsi"/>
          <w:sz w:val="22"/>
          <w:szCs w:val="22"/>
        </w:rPr>
        <w:tab/>
      </w:r>
      <w:r w:rsidR="002D384E" w:rsidRPr="00F811CB">
        <w:rPr>
          <w:rFonts w:asciiTheme="minorHAnsi" w:hAnsiTheme="minorHAnsi" w:cstheme="minorHAnsi"/>
          <w:sz w:val="22"/>
          <w:szCs w:val="22"/>
        </w:rPr>
        <w:t>T</w:t>
      </w:r>
      <w:r w:rsidRPr="00F811CB">
        <w:rPr>
          <w:rFonts w:asciiTheme="minorHAnsi" w:hAnsiTheme="minorHAnsi" w:cstheme="minorHAnsi"/>
          <w:sz w:val="22"/>
          <w:szCs w:val="22"/>
        </w:rPr>
        <w:t>he System Operators shall record details of all Secondary Trades in the</w:t>
      </w:r>
      <w:r w:rsidR="00FD41BE" w:rsidRPr="00F811CB">
        <w:rPr>
          <w:rFonts w:asciiTheme="minorHAnsi" w:hAnsiTheme="minorHAnsi" w:cstheme="minorHAnsi"/>
          <w:sz w:val="22"/>
          <w:szCs w:val="22"/>
        </w:rPr>
        <w:t xml:space="preserve"> </w:t>
      </w:r>
      <w:r w:rsidRPr="00F811CB">
        <w:rPr>
          <w:rFonts w:asciiTheme="minorHAnsi" w:hAnsiTheme="minorHAnsi" w:cstheme="minorHAnsi"/>
          <w:sz w:val="22"/>
          <w:szCs w:val="22"/>
        </w:rPr>
        <w:t>Capacity and Trade Register,</w:t>
      </w:r>
      <w:r w:rsidRPr="00F811CB">
        <w:rPr>
          <w:rFonts w:asciiTheme="minorHAnsi" w:hAnsiTheme="minorHAnsi" w:cstheme="minorHAnsi"/>
          <w:spacing w:val="-2"/>
          <w:sz w:val="22"/>
          <w:szCs w:val="22"/>
        </w:rPr>
        <w:t xml:space="preserve"> </w:t>
      </w:r>
      <w:r w:rsidRPr="00F811CB">
        <w:rPr>
          <w:rFonts w:asciiTheme="minorHAnsi" w:hAnsiTheme="minorHAnsi" w:cstheme="minorHAnsi"/>
          <w:sz w:val="22"/>
          <w:szCs w:val="22"/>
        </w:rPr>
        <w:t>where:</w:t>
      </w:r>
    </w:p>
    <w:p w14:paraId="162355A6" w14:textId="77777777" w:rsidR="00CD7E0F" w:rsidRPr="00F811CB" w:rsidRDefault="00CD7E0F" w:rsidP="00402A82">
      <w:pPr>
        <w:pStyle w:val="ListParagraph"/>
        <w:widowControl w:val="0"/>
        <w:numPr>
          <w:ilvl w:val="4"/>
          <w:numId w:val="6"/>
        </w:numPr>
        <w:tabs>
          <w:tab w:val="left" w:pos="1701"/>
          <w:tab w:val="left" w:pos="7893"/>
        </w:tabs>
        <w:overflowPunct/>
        <w:adjustRightInd/>
        <w:spacing w:before="120"/>
        <w:ind w:left="1701" w:right="1135" w:hanging="567"/>
        <w:jc w:val="both"/>
        <w:rPr>
          <w:rFonts w:asciiTheme="minorHAnsi" w:hAnsiTheme="minorHAnsi" w:cstheme="minorHAnsi"/>
          <w:sz w:val="22"/>
          <w:szCs w:val="22"/>
        </w:rPr>
      </w:pPr>
      <w:r w:rsidRPr="00F811CB">
        <w:rPr>
          <w:rFonts w:asciiTheme="minorHAnsi" w:hAnsiTheme="minorHAnsi" w:cstheme="minorHAnsi"/>
          <w:sz w:val="22"/>
          <w:szCs w:val="22"/>
        </w:rPr>
        <w:t>Awarded Capacity arising from a Secondary Trade sale shall be entered as negative</w:t>
      </w:r>
      <w:r w:rsidRPr="00F811CB">
        <w:rPr>
          <w:rFonts w:asciiTheme="minorHAnsi" w:hAnsiTheme="minorHAnsi" w:cstheme="minorHAnsi"/>
          <w:spacing w:val="-1"/>
          <w:sz w:val="22"/>
          <w:szCs w:val="22"/>
        </w:rPr>
        <w:t xml:space="preserve"> </w:t>
      </w:r>
      <w:r w:rsidRPr="00F811CB">
        <w:rPr>
          <w:rFonts w:asciiTheme="minorHAnsi" w:hAnsiTheme="minorHAnsi" w:cstheme="minorHAnsi"/>
          <w:sz w:val="22"/>
          <w:szCs w:val="22"/>
        </w:rPr>
        <w:t>value;</w:t>
      </w:r>
    </w:p>
    <w:p w14:paraId="64997CA5" w14:textId="77777777" w:rsidR="00CD7E0F" w:rsidRPr="00F811CB" w:rsidRDefault="00CD7E0F" w:rsidP="00402A82">
      <w:pPr>
        <w:pStyle w:val="ListParagraph"/>
        <w:widowControl w:val="0"/>
        <w:numPr>
          <w:ilvl w:val="4"/>
          <w:numId w:val="6"/>
        </w:numPr>
        <w:tabs>
          <w:tab w:val="left" w:pos="1701"/>
          <w:tab w:val="left" w:pos="7893"/>
        </w:tabs>
        <w:overflowPunct/>
        <w:adjustRightInd/>
        <w:spacing w:before="118"/>
        <w:ind w:left="1701" w:right="1134" w:hanging="567"/>
        <w:jc w:val="both"/>
        <w:rPr>
          <w:rFonts w:asciiTheme="minorHAnsi" w:hAnsiTheme="minorHAnsi" w:cstheme="minorHAnsi"/>
          <w:sz w:val="22"/>
          <w:szCs w:val="22"/>
        </w:rPr>
      </w:pPr>
      <w:r w:rsidRPr="00F811CB">
        <w:rPr>
          <w:rFonts w:asciiTheme="minorHAnsi" w:hAnsiTheme="minorHAnsi" w:cstheme="minorHAnsi"/>
          <w:sz w:val="22"/>
          <w:szCs w:val="22"/>
        </w:rPr>
        <w:t>Awarded Capacity arising from a Secondary Trade purchase shall be entered as a positive value;</w:t>
      </w:r>
      <w:r w:rsidRPr="00F811CB">
        <w:rPr>
          <w:rFonts w:asciiTheme="minorHAnsi" w:hAnsiTheme="minorHAnsi" w:cstheme="minorHAnsi"/>
          <w:spacing w:val="2"/>
          <w:sz w:val="22"/>
          <w:szCs w:val="22"/>
        </w:rPr>
        <w:t xml:space="preserve"> </w:t>
      </w:r>
      <w:r w:rsidRPr="00F811CB">
        <w:rPr>
          <w:rFonts w:asciiTheme="minorHAnsi" w:hAnsiTheme="minorHAnsi" w:cstheme="minorHAnsi"/>
          <w:sz w:val="22"/>
          <w:szCs w:val="22"/>
        </w:rPr>
        <w:t>and</w:t>
      </w:r>
    </w:p>
    <w:p w14:paraId="6F4FC0BF" w14:textId="5392950D" w:rsidR="00CD7E0F" w:rsidRPr="00F811CB" w:rsidRDefault="00CD7E0F" w:rsidP="00402A82">
      <w:pPr>
        <w:pStyle w:val="ListParagraph"/>
        <w:widowControl w:val="0"/>
        <w:numPr>
          <w:ilvl w:val="4"/>
          <w:numId w:val="6"/>
        </w:numPr>
        <w:tabs>
          <w:tab w:val="left" w:pos="1701"/>
          <w:tab w:val="left" w:pos="7893"/>
        </w:tabs>
        <w:overflowPunct/>
        <w:adjustRightInd/>
        <w:spacing w:before="121"/>
        <w:ind w:left="1701" w:right="1135" w:hanging="567"/>
        <w:jc w:val="both"/>
        <w:rPr>
          <w:rFonts w:asciiTheme="minorHAnsi" w:hAnsiTheme="minorHAnsi" w:cstheme="minorHAnsi"/>
          <w:sz w:val="22"/>
          <w:szCs w:val="22"/>
        </w:rPr>
      </w:pPr>
      <w:r w:rsidRPr="00F811CB">
        <w:rPr>
          <w:rFonts w:asciiTheme="minorHAnsi" w:hAnsiTheme="minorHAnsi" w:cstheme="minorHAnsi"/>
          <w:sz w:val="22"/>
          <w:szCs w:val="22"/>
        </w:rPr>
        <w:t>all Contract Register Entries in the Capacity and Trade Register in respect of a Secondary Trade shall be identified by a Secondary Trade Flag.</w:t>
      </w:r>
    </w:p>
    <w:p w14:paraId="762E8887" w14:textId="77777777" w:rsidR="00806057" w:rsidRPr="00F811CB" w:rsidRDefault="006102A5" w:rsidP="006C48C4">
      <w:pPr>
        <w:widowControl w:val="0"/>
        <w:tabs>
          <w:tab w:val="left" w:pos="1134"/>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M.11.8.4</w:t>
      </w:r>
      <w:r w:rsidRPr="00F811CB">
        <w:rPr>
          <w:rFonts w:asciiTheme="minorHAnsi" w:hAnsiTheme="minorHAnsi" w:cstheme="minorHAnsi"/>
          <w:sz w:val="22"/>
          <w:szCs w:val="22"/>
        </w:rPr>
        <w:tab/>
      </w:r>
      <w:r w:rsidR="00806057" w:rsidRPr="00F811CB">
        <w:rPr>
          <w:rFonts w:asciiTheme="minorHAnsi" w:hAnsiTheme="minorHAnsi" w:cstheme="minorHAnsi"/>
          <w:sz w:val="22"/>
          <w:szCs w:val="22"/>
        </w:rPr>
        <w:t>The text of</w:t>
      </w:r>
      <w:r w:rsidR="006C48C4" w:rsidRPr="00F811CB">
        <w:rPr>
          <w:rFonts w:asciiTheme="minorHAnsi" w:hAnsiTheme="minorHAnsi" w:cstheme="minorHAnsi"/>
          <w:sz w:val="22"/>
          <w:szCs w:val="22"/>
        </w:rPr>
        <w:t xml:space="preserve"> paragraph I.1.1.1</w:t>
      </w:r>
      <w:r w:rsidR="00EC2D12" w:rsidRPr="00F811CB">
        <w:rPr>
          <w:rFonts w:asciiTheme="minorHAnsi" w:hAnsiTheme="minorHAnsi" w:cstheme="minorHAnsi"/>
          <w:sz w:val="22"/>
          <w:szCs w:val="22"/>
        </w:rPr>
        <w:t>(b)</w:t>
      </w:r>
      <w:r w:rsidR="006C48C4" w:rsidRPr="00F811CB">
        <w:rPr>
          <w:rFonts w:asciiTheme="minorHAnsi" w:hAnsiTheme="minorHAnsi" w:cstheme="minorHAnsi"/>
          <w:sz w:val="22"/>
          <w:szCs w:val="22"/>
        </w:rPr>
        <w:t xml:space="preserve"> </w:t>
      </w:r>
      <w:r w:rsidR="007A390E" w:rsidRPr="00F811CB">
        <w:rPr>
          <w:rFonts w:asciiTheme="minorHAnsi" w:hAnsiTheme="minorHAnsi" w:cstheme="minorHAnsi"/>
          <w:sz w:val="22"/>
          <w:szCs w:val="22"/>
        </w:rPr>
        <w:t xml:space="preserve">shall be </w:t>
      </w:r>
      <w:r w:rsidR="00806057" w:rsidRPr="00F811CB">
        <w:rPr>
          <w:rFonts w:asciiTheme="minorHAnsi" w:hAnsiTheme="minorHAnsi" w:cstheme="minorHAnsi"/>
          <w:sz w:val="22"/>
          <w:szCs w:val="22"/>
        </w:rPr>
        <w:t>replaced by</w:t>
      </w:r>
    </w:p>
    <w:p w14:paraId="396CFA3A" w14:textId="21B406C6" w:rsidR="00EB469A" w:rsidRPr="00F811CB" w:rsidRDefault="00217FD6" w:rsidP="006C48C4">
      <w:pPr>
        <w:widowControl w:val="0"/>
        <w:tabs>
          <w:tab w:val="left" w:pos="1134"/>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ab/>
      </w:r>
      <w:r w:rsidR="00806057" w:rsidRPr="00F811CB">
        <w:rPr>
          <w:rFonts w:asciiTheme="minorHAnsi" w:hAnsiTheme="minorHAnsi" w:cstheme="minorHAnsi"/>
          <w:sz w:val="22"/>
          <w:szCs w:val="22"/>
        </w:rPr>
        <w:t>“</w:t>
      </w:r>
      <w:r w:rsidR="001948D2" w:rsidRPr="00F811CB">
        <w:rPr>
          <w:rFonts w:asciiTheme="minorHAnsi" w:hAnsiTheme="minorHAnsi" w:cstheme="minorHAnsi"/>
          <w:sz w:val="22"/>
          <w:szCs w:val="22"/>
        </w:rPr>
        <w:t>any Awarde</w:t>
      </w:r>
      <w:r w:rsidRPr="00F811CB">
        <w:rPr>
          <w:rFonts w:asciiTheme="minorHAnsi" w:hAnsiTheme="minorHAnsi" w:cstheme="minorHAnsi"/>
          <w:sz w:val="22"/>
          <w:szCs w:val="22"/>
        </w:rPr>
        <w:t>d</w:t>
      </w:r>
      <w:r w:rsidR="001948D2" w:rsidRPr="00F811CB">
        <w:rPr>
          <w:rFonts w:asciiTheme="minorHAnsi" w:hAnsiTheme="minorHAnsi" w:cstheme="minorHAnsi"/>
          <w:sz w:val="22"/>
          <w:szCs w:val="22"/>
        </w:rPr>
        <w:t xml:space="preserve"> Capacity in respect of the Capacity Market Unit the subject of any Alternative Secondary Trade</w:t>
      </w:r>
      <w:r w:rsidRPr="00F811CB">
        <w:rPr>
          <w:rFonts w:asciiTheme="minorHAnsi" w:hAnsiTheme="minorHAnsi" w:cstheme="minorHAnsi"/>
          <w:sz w:val="22"/>
          <w:szCs w:val="22"/>
        </w:rPr>
        <w:t xml:space="preserve"> that covers that period (as recorded in the Capacity and Trade Register)</w:t>
      </w:r>
      <w:r w:rsidR="006C48C4" w:rsidRPr="00F811CB">
        <w:rPr>
          <w:rFonts w:asciiTheme="minorHAnsi" w:hAnsiTheme="minorHAnsi" w:cstheme="minorHAnsi"/>
          <w:sz w:val="22"/>
          <w:szCs w:val="22"/>
        </w:rPr>
        <w:t>.</w:t>
      </w:r>
      <w:r w:rsidRPr="00F811CB">
        <w:rPr>
          <w:rFonts w:asciiTheme="minorHAnsi" w:hAnsiTheme="minorHAnsi" w:cstheme="minorHAnsi"/>
          <w:sz w:val="22"/>
          <w:szCs w:val="22"/>
        </w:rPr>
        <w:t>”</w:t>
      </w:r>
    </w:p>
    <w:p w14:paraId="61A2546C" w14:textId="7FBD4F4F" w:rsidR="00CD7E0F" w:rsidRPr="00F811CB" w:rsidRDefault="007B71E3" w:rsidP="00402A82">
      <w:pPr>
        <w:widowControl w:val="0"/>
        <w:tabs>
          <w:tab w:val="left" w:pos="2102"/>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M.11.9</w:t>
      </w:r>
      <w:r w:rsidRPr="00F811CB">
        <w:rPr>
          <w:rFonts w:asciiTheme="minorHAnsi" w:hAnsiTheme="minorHAnsi" w:cstheme="minorHAnsi"/>
          <w:sz w:val="22"/>
          <w:szCs w:val="22"/>
        </w:rPr>
        <w:tab/>
      </w:r>
      <w:r w:rsidRPr="00F811CB">
        <w:rPr>
          <w:rFonts w:asciiTheme="minorHAnsi" w:hAnsiTheme="minorHAnsi" w:cstheme="minorHAnsi"/>
          <w:b/>
          <w:bCs/>
          <w:sz w:val="22"/>
          <w:szCs w:val="22"/>
        </w:rPr>
        <w:t>Secondary Trade Results</w:t>
      </w:r>
    </w:p>
    <w:p w14:paraId="1C9895E4" w14:textId="6A555DB3" w:rsidR="007B71E3" w:rsidRPr="00F811CB" w:rsidRDefault="007B71E3" w:rsidP="00402A82">
      <w:pPr>
        <w:widowControl w:val="0"/>
        <w:tabs>
          <w:tab w:val="left" w:pos="2102"/>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M.11.9.1</w:t>
      </w:r>
      <w:r w:rsidRPr="00F811CB">
        <w:rPr>
          <w:rFonts w:asciiTheme="minorHAnsi" w:hAnsiTheme="minorHAnsi" w:cstheme="minorHAnsi"/>
          <w:sz w:val="22"/>
          <w:szCs w:val="22"/>
        </w:rPr>
        <w:tab/>
      </w:r>
      <w:bookmarkStart w:id="10" w:name="_Hlk48563618"/>
      <w:r w:rsidRPr="00F811CB">
        <w:rPr>
          <w:rFonts w:asciiTheme="minorHAnsi" w:hAnsiTheme="minorHAnsi" w:cstheme="minorHAnsi"/>
          <w:sz w:val="22"/>
          <w:szCs w:val="22"/>
        </w:rPr>
        <w:t>The System Operators shall notify Participants submitting a</w:t>
      </w:r>
      <w:r w:rsidR="000648E8" w:rsidRPr="00F811CB">
        <w:rPr>
          <w:rFonts w:asciiTheme="minorHAnsi" w:hAnsiTheme="minorHAnsi" w:cstheme="minorHAnsi"/>
          <w:sz w:val="22"/>
          <w:szCs w:val="22"/>
        </w:rPr>
        <w:t xml:space="preserve">n Alternative Secondary Trade Notification of the </w:t>
      </w:r>
      <w:r w:rsidR="00402A82" w:rsidRPr="00F811CB">
        <w:rPr>
          <w:rFonts w:asciiTheme="minorHAnsi" w:hAnsiTheme="minorHAnsi" w:cstheme="minorHAnsi"/>
          <w:sz w:val="22"/>
          <w:szCs w:val="22"/>
        </w:rPr>
        <w:t>Awarded Capacity and associated price</w:t>
      </w:r>
      <w:r w:rsidRPr="00F811CB">
        <w:rPr>
          <w:rFonts w:asciiTheme="minorHAnsi" w:hAnsiTheme="minorHAnsi" w:cstheme="minorHAnsi"/>
          <w:sz w:val="22"/>
          <w:szCs w:val="22"/>
        </w:rPr>
        <w:t xml:space="preserve"> </w:t>
      </w:r>
      <w:r w:rsidR="00713D76" w:rsidRPr="00F811CB">
        <w:rPr>
          <w:rFonts w:asciiTheme="minorHAnsi" w:hAnsiTheme="minorHAnsi" w:cstheme="minorHAnsi"/>
          <w:sz w:val="22"/>
          <w:szCs w:val="22"/>
        </w:rPr>
        <w:t>as soon as practicable</w:t>
      </w:r>
      <w:bookmarkEnd w:id="10"/>
      <w:r w:rsidR="00713D76" w:rsidRPr="00F811CB">
        <w:rPr>
          <w:rFonts w:asciiTheme="minorHAnsi" w:hAnsiTheme="minorHAnsi" w:cstheme="minorHAnsi"/>
          <w:sz w:val="22"/>
          <w:szCs w:val="22"/>
        </w:rPr>
        <w:t>.</w:t>
      </w:r>
    </w:p>
    <w:p w14:paraId="7F1C3BD5" w14:textId="0BFF50DB" w:rsidR="00B45EB9" w:rsidRPr="00F811CB" w:rsidRDefault="00713D76" w:rsidP="00402A82">
      <w:pPr>
        <w:widowControl w:val="0"/>
        <w:tabs>
          <w:tab w:val="left" w:pos="2102"/>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M.11.9.2</w:t>
      </w:r>
      <w:r w:rsidRPr="00F811CB">
        <w:rPr>
          <w:rFonts w:asciiTheme="minorHAnsi" w:hAnsiTheme="minorHAnsi" w:cstheme="minorHAnsi"/>
          <w:sz w:val="22"/>
          <w:szCs w:val="22"/>
        </w:rPr>
        <w:tab/>
      </w:r>
      <w:bookmarkStart w:id="11" w:name="_Hlk48563633"/>
      <w:r w:rsidR="00402A82" w:rsidRPr="00F811CB">
        <w:rPr>
          <w:rFonts w:asciiTheme="minorHAnsi" w:hAnsiTheme="minorHAnsi" w:cstheme="minorHAnsi"/>
          <w:sz w:val="22"/>
          <w:szCs w:val="22"/>
        </w:rPr>
        <w:t xml:space="preserve">The System Operators shall publish </w:t>
      </w:r>
      <w:r w:rsidR="00B45EB9" w:rsidRPr="00F811CB">
        <w:rPr>
          <w:rFonts w:asciiTheme="minorHAnsi" w:hAnsiTheme="minorHAnsi" w:cstheme="minorHAnsi"/>
          <w:sz w:val="22"/>
          <w:szCs w:val="22"/>
        </w:rPr>
        <w:t>the following information about the Secondary Trade Results</w:t>
      </w:r>
      <w:bookmarkEnd w:id="11"/>
      <w:r w:rsidR="00B45EB9" w:rsidRPr="00F811CB">
        <w:rPr>
          <w:rFonts w:asciiTheme="minorHAnsi" w:hAnsiTheme="minorHAnsi" w:cstheme="minorHAnsi"/>
          <w:sz w:val="22"/>
          <w:szCs w:val="22"/>
        </w:rPr>
        <w:t>:</w:t>
      </w:r>
    </w:p>
    <w:p w14:paraId="5CCDA4EB" w14:textId="3EEC7819" w:rsidR="00996FD8" w:rsidRPr="00F811CB" w:rsidRDefault="00996FD8" w:rsidP="00402A82">
      <w:pPr>
        <w:widowControl w:val="0"/>
        <w:tabs>
          <w:tab w:val="left" w:pos="2102"/>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ab/>
        <w:t>(a)</w:t>
      </w:r>
      <w:r w:rsidRPr="00F811CB">
        <w:rPr>
          <w:rFonts w:asciiTheme="minorHAnsi" w:hAnsiTheme="minorHAnsi" w:cstheme="minorHAnsi"/>
          <w:sz w:val="22"/>
          <w:szCs w:val="22"/>
        </w:rPr>
        <w:tab/>
      </w:r>
      <w:r w:rsidR="00FE563A" w:rsidRPr="00F811CB">
        <w:rPr>
          <w:rFonts w:asciiTheme="minorHAnsi" w:hAnsiTheme="minorHAnsi" w:cstheme="minorHAnsi"/>
          <w:sz w:val="22"/>
          <w:szCs w:val="22"/>
        </w:rPr>
        <w:t>T</w:t>
      </w:r>
      <w:r w:rsidRPr="00F811CB">
        <w:rPr>
          <w:rFonts w:asciiTheme="minorHAnsi" w:hAnsiTheme="minorHAnsi" w:cstheme="minorHAnsi"/>
          <w:sz w:val="22"/>
          <w:szCs w:val="22"/>
        </w:rPr>
        <w:t>he Capacity Market Unit ID of the Buyer;</w:t>
      </w:r>
    </w:p>
    <w:p w14:paraId="1E69564C" w14:textId="77777777" w:rsidR="00FE563A" w:rsidRPr="00F811CB" w:rsidRDefault="00996FD8" w:rsidP="00FE563A">
      <w:pPr>
        <w:widowControl w:val="0"/>
        <w:tabs>
          <w:tab w:val="left" w:pos="2102"/>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ab/>
        <w:t>(b)</w:t>
      </w:r>
      <w:r w:rsidRPr="00F811CB">
        <w:rPr>
          <w:rFonts w:asciiTheme="minorHAnsi" w:hAnsiTheme="minorHAnsi" w:cstheme="minorHAnsi"/>
          <w:sz w:val="22"/>
          <w:szCs w:val="22"/>
        </w:rPr>
        <w:tab/>
        <w:t>The Capacity Market Unit ID of the Seller;</w:t>
      </w:r>
    </w:p>
    <w:p w14:paraId="540754B6" w14:textId="2FB60618" w:rsidR="00FE563A" w:rsidRPr="00F811CB" w:rsidRDefault="00FE563A" w:rsidP="00FE563A">
      <w:pPr>
        <w:widowControl w:val="0"/>
        <w:tabs>
          <w:tab w:val="left" w:pos="2102"/>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ab/>
        <w:t>(c)</w:t>
      </w:r>
      <w:r w:rsidRPr="00F811CB">
        <w:rPr>
          <w:rFonts w:asciiTheme="minorHAnsi" w:hAnsiTheme="minorHAnsi" w:cstheme="minorHAnsi"/>
          <w:sz w:val="22"/>
          <w:szCs w:val="22"/>
        </w:rPr>
        <w:tab/>
      </w:r>
      <w:r w:rsidR="002025A2" w:rsidRPr="00F811CB">
        <w:rPr>
          <w:rFonts w:asciiTheme="minorHAnsi" w:hAnsiTheme="minorHAnsi" w:cstheme="minorHAnsi"/>
          <w:sz w:val="22"/>
          <w:szCs w:val="22"/>
        </w:rPr>
        <w:t>The MW quantity of the trade;</w:t>
      </w:r>
    </w:p>
    <w:p w14:paraId="0137BBF0" w14:textId="16014669" w:rsidR="002025A2" w:rsidRPr="00F811CB" w:rsidRDefault="00FE563A" w:rsidP="00FE563A">
      <w:pPr>
        <w:widowControl w:val="0"/>
        <w:tabs>
          <w:tab w:val="left" w:pos="2102"/>
          <w:tab w:val="left" w:pos="7893"/>
        </w:tabs>
        <w:overflowPunct/>
        <w:adjustRightInd/>
        <w:spacing w:before="121"/>
        <w:ind w:left="1134" w:right="1135" w:hanging="1134"/>
        <w:jc w:val="both"/>
        <w:rPr>
          <w:rFonts w:asciiTheme="minorHAnsi" w:hAnsiTheme="minorHAnsi" w:cstheme="minorHAnsi"/>
          <w:sz w:val="22"/>
          <w:szCs w:val="22"/>
        </w:rPr>
      </w:pPr>
      <w:r w:rsidRPr="00F811CB">
        <w:rPr>
          <w:rFonts w:asciiTheme="minorHAnsi" w:hAnsiTheme="minorHAnsi" w:cstheme="minorHAnsi"/>
          <w:sz w:val="22"/>
          <w:szCs w:val="22"/>
        </w:rPr>
        <w:tab/>
        <w:t>(d)</w:t>
      </w:r>
      <w:r w:rsidRPr="00F811CB">
        <w:rPr>
          <w:rFonts w:asciiTheme="minorHAnsi" w:hAnsiTheme="minorHAnsi" w:cstheme="minorHAnsi"/>
          <w:sz w:val="22"/>
          <w:szCs w:val="22"/>
        </w:rPr>
        <w:tab/>
      </w:r>
      <w:r w:rsidR="002025A2" w:rsidRPr="00F811CB">
        <w:rPr>
          <w:rFonts w:asciiTheme="minorHAnsi" w:hAnsiTheme="minorHAnsi" w:cstheme="minorHAnsi"/>
          <w:sz w:val="22"/>
          <w:szCs w:val="22"/>
        </w:rPr>
        <w:t>The date and time of the start of the trade;</w:t>
      </w:r>
    </w:p>
    <w:p w14:paraId="52318F79" w14:textId="239DD36C" w:rsidR="002025A2" w:rsidRPr="00F811CB" w:rsidRDefault="00FE563A" w:rsidP="00286B92">
      <w:pPr>
        <w:widowControl w:val="0"/>
        <w:overflowPunct/>
        <w:adjustRightInd/>
        <w:spacing w:before="121"/>
        <w:ind w:left="2127" w:hanging="993"/>
        <w:rPr>
          <w:rFonts w:asciiTheme="minorHAnsi" w:hAnsiTheme="minorHAnsi" w:cstheme="minorHAnsi"/>
          <w:sz w:val="22"/>
          <w:szCs w:val="22"/>
        </w:rPr>
      </w:pPr>
      <w:r w:rsidRPr="00F811CB">
        <w:rPr>
          <w:rFonts w:asciiTheme="minorHAnsi" w:hAnsiTheme="minorHAnsi" w:cstheme="minorHAnsi"/>
          <w:sz w:val="22"/>
          <w:szCs w:val="22"/>
        </w:rPr>
        <w:t>(e)</w:t>
      </w:r>
      <w:r w:rsidR="00286B92" w:rsidRPr="00F811CB">
        <w:rPr>
          <w:rFonts w:asciiTheme="minorHAnsi" w:hAnsiTheme="minorHAnsi" w:cstheme="minorHAnsi"/>
          <w:sz w:val="22"/>
          <w:szCs w:val="22"/>
        </w:rPr>
        <w:tab/>
      </w:r>
      <w:r w:rsidR="002025A2" w:rsidRPr="00F811CB">
        <w:rPr>
          <w:rFonts w:asciiTheme="minorHAnsi" w:hAnsiTheme="minorHAnsi" w:cstheme="minorHAnsi"/>
          <w:sz w:val="22"/>
          <w:szCs w:val="22"/>
        </w:rPr>
        <w:t>The date and time of the end of the</w:t>
      </w:r>
      <w:r w:rsidR="00FA27A2" w:rsidRPr="00F811CB">
        <w:rPr>
          <w:rFonts w:asciiTheme="minorHAnsi" w:hAnsiTheme="minorHAnsi" w:cstheme="minorHAnsi"/>
          <w:sz w:val="22"/>
          <w:szCs w:val="22"/>
        </w:rPr>
        <w:t xml:space="preserve"> </w:t>
      </w:r>
      <w:r w:rsidR="002025A2" w:rsidRPr="00F811CB">
        <w:rPr>
          <w:rFonts w:asciiTheme="minorHAnsi" w:hAnsiTheme="minorHAnsi" w:cstheme="minorHAnsi"/>
          <w:sz w:val="22"/>
          <w:szCs w:val="22"/>
        </w:rPr>
        <w:t>trade; and</w:t>
      </w:r>
    </w:p>
    <w:p w14:paraId="521AAF1F" w14:textId="7134F4B0" w:rsidR="00713D76" w:rsidRPr="00F811CB" w:rsidRDefault="00FE563A" w:rsidP="00286B92">
      <w:pPr>
        <w:widowControl w:val="0"/>
        <w:tabs>
          <w:tab w:val="left" w:pos="2102"/>
          <w:tab w:val="left" w:pos="7893"/>
        </w:tabs>
        <w:overflowPunct/>
        <w:adjustRightInd/>
        <w:spacing w:before="121"/>
        <w:ind w:left="2127" w:right="1135" w:hanging="993"/>
        <w:jc w:val="both"/>
        <w:rPr>
          <w:rFonts w:asciiTheme="minorHAnsi" w:hAnsiTheme="minorHAnsi" w:cstheme="minorHAnsi"/>
          <w:sz w:val="22"/>
          <w:szCs w:val="22"/>
        </w:rPr>
      </w:pPr>
      <w:r w:rsidRPr="00F811CB">
        <w:rPr>
          <w:rFonts w:asciiTheme="minorHAnsi" w:hAnsiTheme="minorHAnsi" w:cstheme="minorHAnsi"/>
          <w:sz w:val="22"/>
          <w:szCs w:val="22"/>
        </w:rPr>
        <w:t>(f)</w:t>
      </w:r>
      <w:r w:rsidRPr="00F811CB">
        <w:rPr>
          <w:rFonts w:asciiTheme="minorHAnsi" w:hAnsiTheme="minorHAnsi" w:cstheme="minorHAnsi"/>
          <w:sz w:val="22"/>
          <w:szCs w:val="22"/>
        </w:rPr>
        <w:tab/>
      </w:r>
      <w:r w:rsidR="002025A2" w:rsidRPr="00F811CB">
        <w:rPr>
          <w:rFonts w:asciiTheme="minorHAnsi" w:hAnsiTheme="minorHAnsi" w:cstheme="minorHAnsi"/>
          <w:sz w:val="22"/>
          <w:szCs w:val="22"/>
        </w:rPr>
        <w:t>The price in £/kW per year or €/kW per year that applies to the proposed trade</w:t>
      </w:r>
      <w:r w:rsidRPr="00F811CB">
        <w:rPr>
          <w:rFonts w:asciiTheme="minorHAnsi" w:hAnsiTheme="minorHAnsi" w:cstheme="minorHAnsi"/>
          <w:sz w:val="22"/>
          <w:szCs w:val="22"/>
        </w:rPr>
        <w:t>.</w:t>
      </w:r>
      <w:r w:rsidR="00713D76" w:rsidRPr="00F811CB">
        <w:rPr>
          <w:rFonts w:asciiTheme="minorHAnsi" w:hAnsiTheme="minorHAnsi" w:cstheme="minorHAnsi"/>
          <w:sz w:val="22"/>
          <w:szCs w:val="22"/>
        </w:rPr>
        <w:t xml:space="preserve"> </w:t>
      </w:r>
      <w:r w:rsidR="00385281" w:rsidRPr="00F811CB">
        <w:rPr>
          <w:rFonts w:asciiTheme="minorHAnsi" w:hAnsiTheme="minorHAnsi" w:cstheme="minorHAnsi"/>
          <w:sz w:val="22"/>
          <w:szCs w:val="22"/>
        </w:rPr>
        <w:t xml:space="preserve"> </w:t>
      </w:r>
    </w:p>
    <w:p w14:paraId="60966371" w14:textId="77777777" w:rsidR="000A727B" w:rsidRDefault="000A727B" w:rsidP="00B620DA">
      <w:pPr>
        <w:rPr>
          <w:rFonts w:asciiTheme="minorHAnsi" w:hAnsiTheme="minorHAnsi" w:cstheme="minorHAnsi"/>
          <w:b/>
          <w:bCs/>
          <w:color w:val="FF0000"/>
          <w:sz w:val="22"/>
          <w:szCs w:val="22"/>
        </w:rPr>
      </w:pPr>
    </w:p>
    <w:p w14:paraId="076C576C" w14:textId="77777777" w:rsidR="006B3E60" w:rsidRDefault="006B3E60" w:rsidP="00B620DA">
      <w:pPr>
        <w:rPr>
          <w:rFonts w:asciiTheme="minorHAnsi" w:hAnsiTheme="minorHAnsi" w:cstheme="minorHAnsi"/>
          <w:b/>
          <w:bCs/>
          <w:sz w:val="22"/>
          <w:szCs w:val="22"/>
        </w:rPr>
      </w:pPr>
    </w:p>
    <w:p w14:paraId="62627F35" w14:textId="77777777" w:rsidR="006B3E60" w:rsidRDefault="006B3E60" w:rsidP="00B620DA">
      <w:pPr>
        <w:rPr>
          <w:rFonts w:asciiTheme="minorHAnsi" w:hAnsiTheme="minorHAnsi" w:cstheme="minorHAnsi"/>
          <w:b/>
          <w:bCs/>
          <w:sz w:val="22"/>
          <w:szCs w:val="22"/>
        </w:rPr>
      </w:pPr>
    </w:p>
    <w:p w14:paraId="77B6FE33" w14:textId="77777777" w:rsidR="006B3E60" w:rsidRDefault="006B3E60" w:rsidP="00B620DA">
      <w:pPr>
        <w:rPr>
          <w:rFonts w:asciiTheme="minorHAnsi" w:hAnsiTheme="minorHAnsi" w:cstheme="minorHAnsi"/>
          <w:b/>
          <w:bCs/>
          <w:sz w:val="22"/>
          <w:szCs w:val="22"/>
        </w:rPr>
      </w:pPr>
    </w:p>
    <w:p w14:paraId="4242E496" w14:textId="77777777" w:rsidR="006B3E60" w:rsidRDefault="006B3E60" w:rsidP="00B620DA">
      <w:pPr>
        <w:rPr>
          <w:rFonts w:asciiTheme="minorHAnsi" w:hAnsiTheme="minorHAnsi" w:cstheme="minorHAnsi"/>
          <w:b/>
          <w:bCs/>
          <w:sz w:val="22"/>
          <w:szCs w:val="22"/>
        </w:rPr>
      </w:pPr>
    </w:p>
    <w:p w14:paraId="1B48244A" w14:textId="77777777" w:rsidR="006B3E60" w:rsidRDefault="006B3E60" w:rsidP="00B620DA">
      <w:pPr>
        <w:rPr>
          <w:rFonts w:asciiTheme="minorHAnsi" w:hAnsiTheme="minorHAnsi" w:cstheme="minorHAnsi"/>
          <w:b/>
          <w:bCs/>
          <w:sz w:val="22"/>
          <w:szCs w:val="22"/>
        </w:rPr>
      </w:pPr>
    </w:p>
    <w:p w14:paraId="39A4DD89" w14:textId="77777777" w:rsidR="006B3E60" w:rsidRDefault="006B3E60" w:rsidP="00B620DA">
      <w:pPr>
        <w:rPr>
          <w:rFonts w:asciiTheme="minorHAnsi" w:hAnsiTheme="minorHAnsi" w:cstheme="minorHAnsi"/>
          <w:b/>
          <w:bCs/>
          <w:sz w:val="22"/>
          <w:szCs w:val="22"/>
        </w:rPr>
      </w:pPr>
    </w:p>
    <w:p w14:paraId="04D3A285" w14:textId="77777777" w:rsidR="006B3E60" w:rsidRDefault="006B3E60" w:rsidP="00B620DA">
      <w:pPr>
        <w:rPr>
          <w:rFonts w:asciiTheme="minorHAnsi" w:hAnsiTheme="minorHAnsi" w:cstheme="minorHAnsi"/>
          <w:b/>
          <w:bCs/>
          <w:sz w:val="22"/>
          <w:szCs w:val="22"/>
        </w:rPr>
      </w:pPr>
    </w:p>
    <w:p w14:paraId="460E8250" w14:textId="77777777" w:rsidR="006B3E60" w:rsidRDefault="006B3E60" w:rsidP="00B620DA">
      <w:pPr>
        <w:rPr>
          <w:rFonts w:asciiTheme="minorHAnsi" w:hAnsiTheme="minorHAnsi" w:cstheme="minorHAnsi"/>
          <w:b/>
          <w:bCs/>
          <w:sz w:val="22"/>
          <w:szCs w:val="22"/>
        </w:rPr>
      </w:pPr>
    </w:p>
    <w:p w14:paraId="35AA012B" w14:textId="77777777" w:rsidR="006B3E60" w:rsidRDefault="006B3E60" w:rsidP="00B620DA">
      <w:pPr>
        <w:rPr>
          <w:rFonts w:asciiTheme="minorHAnsi" w:hAnsiTheme="minorHAnsi" w:cstheme="minorHAnsi"/>
          <w:b/>
          <w:bCs/>
          <w:sz w:val="22"/>
          <w:szCs w:val="22"/>
        </w:rPr>
      </w:pPr>
    </w:p>
    <w:p w14:paraId="55FB9ABF" w14:textId="77777777" w:rsidR="006B3E60" w:rsidRDefault="006B3E60" w:rsidP="00B620DA">
      <w:pPr>
        <w:rPr>
          <w:rFonts w:asciiTheme="minorHAnsi" w:hAnsiTheme="minorHAnsi" w:cstheme="minorHAnsi"/>
          <w:b/>
          <w:bCs/>
          <w:sz w:val="22"/>
          <w:szCs w:val="22"/>
        </w:rPr>
      </w:pPr>
    </w:p>
    <w:p w14:paraId="306C8035" w14:textId="77777777" w:rsidR="006B3E60" w:rsidRDefault="006B3E60" w:rsidP="00B620DA">
      <w:pPr>
        <w:rPr>
          <w:rFonts w:asciiTheme="minorHAnsi" w:hAnsiTheme="minorHAnsi" w:cstheme="minorHAnsi"/>
          <w:b/>
          <w:bCs/>
          <w:sz w:val="22"/>
          <w:szCs w:val="22"/>
        </w:rPr>
      </w:pPr>
    </w:p>
    <w:p w14:paraId="62B76584" w14:textId="77777777" w:rsidR="006B3E60" w:rsidRDefault="006B3E60" w:rsidP="00B620DA">
      <w:pPr>
        <w:rPr>
          <w:rFonts w:asciiTheme="minorHAnsi" w:hAnsiTheme="minorHAnsi" w:cstheme="minorHAnsi"/>
          <w:b/>
          <w:bCs/>
          <w:sz w:val="22"/>
          <w:szCs w:val="22"/>
        </w:rPr>
      </w:pPr>
    </w:p>
    <w:p w14:paraId="34553452" w14:textId="64D25CC9" w:rsidR="00A7217D" w:rsidRPr="00F811CB" w:rsidRDefault="00B620DA" w:rsidP="00B620DA">
      <w:pPr>
        <w:rPr>
          <w:rFonts w:asciiTheme="minorHAnsi" w:hAnsiTheme="minorHAnsi" w:cstheme="minorHAnsi"/>
          <w:b/>
          <w:bCs/>
          <w:sz w:val="22"/>
          <w:szCs w:val="22"/>
        </w:rPr>
      </w:pPr>
      <w:r w:rsidRPr="00F811CB">
        <w:rPr>
          <w:rFonts w:asciiTheme="minorHAnsi" w:hAnsiTheme="minorHAnsi" w:cstheme="minorHAnsi"/>
          <w:b/>
          <w:bCs/>
          <w:sz w:val="22"/>
          <w:szCs w:val="22"/>
        </w:rPr>
        <w:lastRenderedPageBreak/>
        <w:t>Glossary</w:t>
      </w:r>
    </w:p>
    <w:p w14:paraId="753E6F32" w14:textId="773CCBBE" w:rsidR="00B620DA" w:rsidRPr="00F811CB" w:rsidRDefault="00B620DA" w:rsidP="00B620DA">
      <w:pPr>
        <w:rPr>
          <w:rFonts w:asciiTheme="minorHAnsi" w:hAnsiTheme="minorHAnsi" w:cstheme="minorHAnsi"/>
          <w:b/>
          <w:bCs/>
          <w:sz w:val="22"/>
          <w:szCs w:val="22"/>
        </w:rPr>
      </w:pPr>
    </w:p>
    <w:p w14:paraId="72613E84" w14:textId="249F4A23" w:rsidR="00B620DA" w:rsidRPr="00F811CB" w:rsidRDefault="00B620DA" w:rsidP="00B620DA">
      <w:pPr>
        <w:rPr>
          <w:rFonts w:asciiTheme="minorHAnsi" w:hAnsiTheme="minorHAnsi" w:cstheme="minorHAnsi"/>
          <w:i/>
          <w:iCs/>
          <w:sz w:val="22"/>
          <w:szCs w:val="22"/>
        </w:rPr>
      </w:pPr>
      <w:r w:rsidRPr="00F811CB">
        <w:rPr>
          <w:rFonts w:asciiTheme="minorHAnsi" w:hAnsiTheme="minorHAnsi" w:cstheme="minorHAnsi"/>
          <w:i/>
          <w:iCs/>
          <w:sz w:val="22"/>
          <w:szCs w:val="22"/>
        </w:rPr>
        <w:t>Modify the definition of Secondary Trade as follows:</w:t>
      </w:r>
    </w:p>
    <w:p w14:paraId="259E35B2" w14:textId="671A6135" w:rsidR="00B620DA" w:rsidRPr="00F811CB" w:rsidRDefault="00B620DA" w:rsidP="00B620DA">
      <w:pPr>
        <w:rPr>
          <w:rFonts w:asciiTheme="minorHAnsi" w:hAnsiTheme="minorHAnsi" w:cstheme="minorHAnsi"/>
          <w:i/>
          <w:iCs/>
          <w:sz w:val="22"/>
          <w:szCs w:val="22"/>
        </w:rPr>
      </w:pPr>
    </w:p>
    <w:p w14:paraId="0D0F2AAB" w14:textId="096D647C" w:rsidR="00445428" w:rsidRPr="00F811CB" w:rsidRDefault="00562384" w:rsidP="001C7786">
      <w:pPr>
        <w:spacing w:after="122"/>
        <w:ind w:left="1440" w:hanging="1440"/>
        <w:rPr>
          <w:rFonts w:asciiTheme="minorHAnsi" w:hAnsiTheme="minorHAnsi" w:cstheme="minorHAnsi"/>
          <w:sz w:val="22"/>
          <w:szCs w:val="22"/>
        </w:rPr>
      </w:pPr>
      <w:r w:rsidRPr="00F811CB">
        <w:rPr>
          <w:rFonts w:asciiTheme="minorHAnsi" w:hAnsiTheme="minorHAnsi" w:cstheme="minorHAnsi"/>
          <w:b/>
          <w:bCs/>
          <w:sz w:val="22"/>
          <w:szCs w:val="22"/>
        </w:rPr>
        <w:t>Outage</w:t>
      </w:r>
      <w:r w:rsidRPr="00F811CB">
        <w:rPr>
          <w:rFonts w:asciiTheme="minorHAnsi" w:hAnsiTheme="minorHAnsi" w:cstheme="minorHAnsi"/>
          <w:b/>
          <w:bCs/>
          <w:sz w:val="22"/>
          <w:szCs w:val="22"/>
        </w:rPr>
        <w:tab/>
      </w:r>
      <w:r w:rsidR="00445428" w:rsidRPr="00F811CB">
        <w:rPr>
          <w:rFonts w:asciiTheme="minorHAnsi" w:hAnsiTheme="minorHAnsi" w:cstheme="minorHAnsi"/>
          <w:sz w:val="22"/>
          <w:szCs w:val="22"/>
        </w:rPr>
        <w:t>In relation to a Generation Unit, other than a Demand Side Unit, a total or partial reduction in Availability such that the Generation Unit is unavailable to achieve its full Registered Capacity.</w:t>
      </w:r>
    </w:p>
    <w:p w14:paraId="7A100CBC" w14:textId="092FFEE5" w:rsidR="00562384" w:rsidRPr="00F811CB" w:rsidRDefault="00445428" w:rsidP="001C7786">
      <w:pPr>
        <w:spacing w:after="122"/>
        <w:ind w:left="1440"/>
        <w:rPr>
          <w:rFonts w:asciiTheme="minorHAnsi" w:hAnsiTheme="minorHAnsi" w:cstheme="minorHAnsi"/>
          <w:sz w:val="22"/>
          <w:szCs w:val="22"/>
        </w:rPr>
      </w:pPr>
      <w:r w:rsidRPr="00F811CB">
        <w:rPr>
          <w:rFonts w:asciiTheme="minorHAnsi" w:hAnsiTheme="minorHAnsi" w:cstheme="minorHAnsi"/>
          <w:sz w:val="22"/>
          <w:szCs w:val="22"/>
        </w:rPr>
        <w:t>In relation to a Demand Side Unit, a total or partial change in Availability such that the Demand Side Unit is unavailable to achieve its full Demand Side Unit MW Capacity</w:t>
      </w:r>
      <w:r w:rsidR="00236F83" w:rsidRPr="00F811CB">
        <w:rPr>
          <w:rFonts w:asciiTheme="minorHAnsi" w:hAnsiTheme="minorHAnsi" w:cstheme="minorHAnsi"/>
          <w:sz w:val="22"/>
          <w:szCs w:val="22"/>
        </w:rPr>
        <w:t>.</w:t>
      </w:r>
    </w:p>
    <w:p w14:paraId="11524EA4" w14:textId="4262C605" w:rsidR="00236F83" w:rsidRPr="00F811CB" w:rsidRDefault="004D7491" w:rsidP="004D7491">
      <w:pPr>
        <w:rPr>
          <w:rFonts w:asciiTheme="minorHAnsi" w:hAnsiTheme="minorHAnsi" w:cstheme="minorHAnsi"/>
          <w:sz w:val="22"/>
          <w:szCs w:val="22"/>
        </w:rPr>
      </w:pPr>
      <w:r w:rsidRPr="00F811CB">
        <w:rPr>
          <w:rFonts w:asciiTheme="minorHAnsi" w:hAnsiTheme="minorHAnsi" w:cstheme="minorHAnsi"/>
          <w:b/>
          <w:bCs/>
          <w:sz w:val="22"/>
          <w:szCs w:val="22"/>
        </w:rPr>
        <w:t>Availability</w:t>
      </w:r>
      <w:r w:rsidRPr="00F811CB">
        <w:rPr>
          <w:rFonts w:asciiTheme="minorHAnsi" w:hAnsiTheme="minorHAnsi" w:cstheme="minorHAnsi"/>
          <w:sz w:val="22"/>
          <w:szCs w:val="22"/>
        </w:rPr>
        <w:t xml:space="preserve"> </w:t>
      </w:r>
      <w:r w:rsidRPr="00F811CB">
        <w:rPr>
          <w:rFonts w:asciiTheme="minorHAnsi" w:hAnsiTheme="minorHAnsi" w:cstheme="minorHAnsi"/>
          <w:sz w:val="22"/>
          <w:szCs w:val="22"/>
        </w:rPr>
        <w:tab/>
        <w:t>as defined in the relevant Grid 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065317" w:rsidRPr="00F811CB" w14:paraId="422D5818" w14:textId="77777777" w:rsidTr="005B6F9F">
        <w:trPr>
          <w:cantSplit/>
        </w:trPr>
        <w:tc>
          <w:tcPr>
            <w:tcW w:w="2178" w:type="dxa"/>
          </w:tcPr>
          <w:p w14:paraId="4537C53F" w14:textId="77777777" w:rsidR="00065317" w:rsidRPr="00F811CB" w:rsidRDefault="00065317" w:rsidP="0056092D">
            <w:pPr>
              <w:ind w:right="-7002" w:hanging="105"/>
              <w:rPr>
                <w:rFonts w:asciiTheme="minorHAnsi" w:hAnsiTheme="minorHAnsi" w:cstheme="minorHAnsi"/>
                <w:b/>
                <w:sz w:val="22"/>
                <w:szCs w:val="22"/>
              </w:rPr>
            </w:pPr>
            <w:r w:rsidRPr="00F811CB">
              <w:rPr>
                <w:rFonts w:asciiTheme="minorHAnsi" w:hAnsiTheme="minorHAnsi" w:cstheme="minorHAnsi"/>
                <w:b/>
                <w:sz w:val="22"/>
                <w:szCs w:val="22"/>
              </w:rPr>
              <w:t>Secondary Trade</w:t>
            </w:r>
          </w:p>
        </w:tc>
        <w:tc>
          <w:tcPr>
            <w:tcW w:w="7065" w:type="dxa"/>
          </w:tcPr>
          <w:p w14:paraId="6BB0A9CA" w14:textId="77777777" w:rsidR="00065317" w:rsidRPr="00F811CB" w:rsidRDefault="00065317" w:rsidP="005B6F9F">
            <w:pPr>
              <w:jc w:val="both"/>
              <w:rPr>
                <w:rFonts w:asciiTheme="minorHAnsi" w:hAnsiTheme="minorHAnsi" w:cstheme="minorHAnsi"/>
                <w:color w:val="FF0000"/>
                <w:sz w:val="22"/>
                <w:szCs w:val="22"/>
              </w:rPr>
            </w:pPr>
            <w:r w:rsidRPr="00F811CB">
              <w:rPr>
                <w:rFonts w:asciiTheme="minorHAnsi" w:hAnsiTheme="minorHAnsi" w:cstheme="minorHAnsi"/>
                <w:sz w:val="22"/>
                <w:szCs w:val="22"/>
              </w:rPr>
              <w:t>in respect of a Capacity Market Unit, means either</w:t>
            </w:r>
            <w:r w:rsidRPr="00F811CB">
              <w:rPr>
                <w:rFonts w:asciiTheme="minorHAnsi" w:hAnsiTheme="minorHAnsi" w:cstheme="minorHAnsi"/>
                <w:color w:val="FF0000"/>
                <w:sz w:val="22"/>
                <w:szCs w:val="22"/>
              </w:rPr>
              <w:t>:</w:t>
            </w:r>
          </w:p>
          <w:p w14:paraId="45D0446E" w14:textId="77777777" w:rsidR="00065317" w:rsidRPr="00F811CB" w:rsidRDefault="00065317" w:rsidP="00405E5C">
            <w:pPr>
              <w:pStyle w:val="CERLEVEL5"/>
              <w:ind w:left="414" w:hanging="414"/>
              <w:rPr>
                <w:rFonts w:asciiTheme="minorHAnsi" w:hAnsiTheme="minorHAnsi" w:cstheme="minorHAnsi"/>
                <w:color w:val="FF0000"/>
              </w:rPr>
            </w:pPr>
            <w:r w:rsidRPr="00F811CB">
              <w:rPr>
                <w:rFonts w:asciiTheme="minorHAnsi" w:hAnsiTheme="minorHAnsi" w:cstheme="minorHAnsi"/>
              </w:rPr>
              <w:t>Awarded Capacity the subject of a Product acquired in a Secondary Trade Auction</w:t>
            </w:r>
            <w:r w:rsidR="00405E5C" w:rsidRPr="00F811CB">
              <w:rPr>
                <w:rFonts w:asciiTheme="minorHAnsi" w:hAnsiTheme="minorHAnsi" w:cstheme="minorHAnsi"/>
                <w:color w:val="FF0000"/>
              </w:rPr>
              <w:t>; or</w:t>
            </w:r>
          </w:p>
          <w:p w14:paraId="0796E073" w14:textId="36D24CD4" w:rsidR="00405E5C" w:rsidRPr="00F811CB" w:rsidRDefault="00405E5C" w:rsidP="00405E5C">
            <w:pPr>
              <w:pStyle w:val="CERLEVEL5"/>
              <w:ind w:left="414" w:hanging="414"/>
              <w:rPr>
                <w:rFonts w:asciiTheme="minorHAnsi" w:hAnsiTheme="minorHAnsi" w:cstheme="minorHAnsi"/>
              </w:rPr>
            </w:pPr>
            <w:r w:rsidRPr="00F811CB">
              <w:rPr>
                <w:rFonts w:asciiTheme="minorHAnsi" w:hAnsiTheme="minorHAnsi" w:cstheme="minorHAnsi"/>
                <w:color w:val="FF0000"/>
              </w:rPr>
              <w:t xml:space="preserve">Awarded Capacity </w:t>
            </w:r>
            <w:r w:rsidR="00464330" w:rsidRPr="00F811CB">
              <w:rPr>
                <w:rFonts w:asciiTheme="minorHAnsi" w:hAnsiTheme="minorHAnsi" w:cstheme="minorHAnsi"/>
                <w:color w:val="FF0000"/>
              </w:rPr>
              <w:t xml:space="preserve">the subject of the Alternative Secondary Trade Arrangements set out in </w:t>
            </w:r>
            <w:r w:rsidRPr="00F811CB">
              <w:rPr>
                <w:rFonts w:asciiTheme="minorHAnsi" w:hAnsiTheme="minorHAnsi" w:cstheme="minorHAnsi"/>
                <w:color w:val="FF0000"/>
              </w:rPr>
              <w:t>section M.11</w:t>
            </w:r>
            <w:r w:rsidR="0056092D" w:rsidRPr="00F811CB">
              <w:rPr>
                <w:rFonts w:asciiTheme="minorHAnsi" w:hAnsiTheme="minorHAnsi" w:cstheme="minorHAnsi"/>
                <w:color w:val="FF0000"/>
              </w:rPr>
              <w:t>.</w:t>
            </w:r>
          </w:p>
        </w:tc>
      </w:tr>
      <w:tr w:rsidR="00065317" w:rsidRPr="00F811CB" w14:paraId="289D0407" w14:textId="77777777" w:rsidTr="005B6F9F">
        <w:trPr>
          <w:cantSplit/>
        </w:trPr>
        <w:tc>
          <w:tcPr>
            <w:tcW w:w="2178" w:type="dxa"/>
          </w:tcPr>
          <w:p w14:paraId="0AD53075" w14:textId="77777777" w:rsidR="00065317" w:rsidRPr="00F811CB" w:rsidRDefault="00065317" w:rsidP="005B6F9F">
            <w:pPr>
              <w:rPr>
                <w:rFonts w:asciiTheme="minorHAnsi" w:hAnsiTheme="minorHAnsi" w:cstheme="minorHAnsi"/>
                <w:b/>
                <w:sz w:val="22"/>
                <w:szCs w:val="22"/>
              </w:rPr>
            </w:pPr>
          </w:p>
        </w:tc>
        <w:tc>
          <w:tcPr>
            <w:tcW w:w="7065" w:type="dxa"/>
          </w:tcPr>
          <w:p w14:paraId="2FB0B1AD" w14:textId="77777777" w:rsidR="00065317" w:rsidRPr="00F811CB" w:rsidRDefault="00065317" w:rsidP="005B6F9F">
            <w:pPr>
              <w:jc w:val="both"/>
              <w:rPr>
                <w:rFonts w:asciiTheme="minorHAnsi" w:hAnsiTheme="minorHAnsi" w:cstheme="minorHAnsi"/>
                <w:sz w:val="22"/>
                <w:szCs w:val="22"/>
              </w:rPr>
            </w:pPr>
          </w:p>
        </w:tc>
      </w:tr>
    </w:tbl>
    <w:p w14:paraId="3576AB88" w14:textId="77777777" w:rsidR="00B620DA" w:rsidRPr="00F811CB" w:rsidRDefault="00B620DA" w:rsidP="00B620DA">
      <w:pPr>
        <w:rPr>
          <w:rFonts w:asciiTheme="minorHAnsi" w:hAnsiTheme="minorHAnsi" w:cstheme="minorHAnsi"/>
          <w:sz w:val="22"/>
          <w:szCs w:val="22"/>
        </w:rPr>
      </w:pPr>
    </w:p>
    <w:sectPr w:rsidR="00B620DA" w:rsidRPr="00F811C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922E7" w14:textId="77777777" w:rsidR="00634810" w:rsidRDefault="00634810" w:rsidP="000A727B">
      <w:r>
        <w:separator/>
      </w:r>
    </w:p>
  </w:endnote>
  <w:endnote w:type="continuationSeparator" w:id="0">
    <w:p w14:paraId="3F551889" w14:textId="77777777" w:rsidR="00634810" w:rsidRDefault="00634810" w:rsidP="000A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16862"/>
      <w:docPartObj>
        <w:docPartGallery w:val="Page Numbers (Bottom of Page)"/>
        <w:docPartUnique/>
      </w:docPartObj>
    </w:sdtPr>
    <w:sdtEndPr>
      <w:rPr>
        <w:noProof/>
      </w:rPr>
    </w:sdtEndPr>
    <w:sdtContent>
      <w:p w14:paraId="03BEAB02" w14:textId="24C13696" w:rsidR="000A727B" w:rsidRDefault="000A727B">
        <w:pPr>
          <w:pStyle w:val="Footer"/>
          <w:jc w:val="right"/>
        </w:pPr>
        <w:r>
          <w:fldChar w:fldCharType="begin"/>
        </w:r>
        <w:r>
          <w:instrText xml:space="preserve"> PAGE   \* MERGEFORMAT </w:instrText>
        </w:r>
        <w:r>
          <w:fldChar w:fldCharType="separate"/>
        </w:r>
        <w:r w:rsidR="00473E9D">
          <w:rPr>
            <w:noProof/>
          </w:rPr>
          <w:t>7</w:t>
        </w:r>
        <w:r>
          <w:rPr>
            <w:noProof/>
          </w:rPr>
          <w:fldChar w:fldCharType="end"/>
        </w:r>
      </w:p>
    </w:sdtContent>
  </w:sdt>
  <w:p w14:paraId="15D4035F" w14:textId="77777777" w:rsidR="000A727B" w:rsidRDefault="000A7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33141" w14:textId="77777777" w:rsidR="00634810" w:rsidRDefault="00634810" w:rsidP="000A727B">
      <w:r>
        <w:separator/>
      </w:r>
    </w:p>
  </w:footnote>
  <w:footnote w:type="continuationSeparator" w:id="0">
    <w:p w14:paraId="2CACFCF3" w14:textId="77777777" w:rsidR="00634810" w:rsidRDefault="00634810" w:rsidP="000A7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D5B"/>
    <w:multiLevelType w:val="multilevel"/>
    <w:tmpl w:val="7B04BB74"/>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bullet"/>
      <w:lvlText w:val=""/>
      <w:lvlJc w:val="left"/>
      <w:pPr>
        <w:ind w:left="2102" w:hanging="711"/>
      </w:pPr>
      <w:rPr>
        <w:rFonts w:ascii="Symbol" w:hAnsi="Symbo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1">
    <w:nsid w:val="060E067E"/>
    <w:multiLevelType w:val="multilevel"/>
    <w:tmpl w:val="CBA61672"/>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upperLetter"/>
      <w:lvlText w:val="(%4)"/>
      <w:lvlJc w:val="left"/>
      <w:pPr>
        <w:ind w:left="1418" w:hanging="992"/>
      </w:pPr>
      <w:rPr>
        <w:rFonts w:ascii="Arial" w:eastAsia="Times New Roman" w:hAnsi="Arial" w:cs="Times New Roman"/>
        <w:spacing w:val="-2"/>
        <w:w w:val="100"/>
        <w:sz w:val="22"/>
        <w:szCs w:val="22"/>
      </w:rPr>
    </w:lvl>
    <w:lvl w:ilvl="4">
      <w:start w:val="1"/>
      <w:numFmt w:val="upperLetter"/>
      <w:lvlText w:val="(%5)"/>
      <w:lvlJc w:val="left"/>
      <w:pPr>
        <w:ind w:left="2102" w:hanging="711"/>
      </w:pPr>
      <w:rPr>
        <w:rFonts w:ascii="Arial" w:eastAsia="Times New Roman" w:hAnsi="Arial" w:cs="Times New Roman"/>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2">
    <w:nsid w:val="06A05996"/>
    <w:multiLevelType w:val="multilevel"/>
    <w:tmpl w:val="49407118"/>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3">
    <w:nsid w:val="0C887FF3"/>
    <w:multiLevelType w:val="multilevel"/>
    <w:tmpl w:val="9AF66860"/>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4">
    <w:nsid w:val="1C406ACB"/>
    <w:multiLevelType w:val="hybridMultilevel"/>
    <w:tmpl w:val="913C32F8"/>
    <w:lvl w:ilvl="0" w:tplc="98C2BF2E">
      <w:start w:val="1"/>
      <w:numFmt w:val="lowerRoman"/>
      <w:lvlText w:val="%1."/>
      <w:lvlJc w:val="left"/>
      <w:pPr>
        <w:ind w:left="3130" w:hanging="720"/>
      </w:pPr>
      <w:rPr>
        <w:rFonts w:hint="default"/>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5">
    <w:nsid w:val="1DD1152E"/>
    <w:multiLevelType w:val="multilevel"/>
    <w:tmpl w:val="9AF66860"/>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6">
    <w:nsid w:val="35B220C8"/>
    <w:multiLevelType w:val="multilevel"/>
    <w:tmpl w:val="8E04D218"/>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7">
    <w:nsid w:val="3DB61E84"/>
    <w:multiLevelType w:val="multilevel"/>
    <w:tmpl w:val="6548FF86"/>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8">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702"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9">
    <w:nsid w:val="44924AAC"/>
    <w:multiLevelType w:val="multilevel"/>
    <w:tmpl w:val="9AF66860"/>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10">
    <w:nsid w:val="44B210A2"/>
    <w:multiLevelType w:val="multilevel"/>
    <w:tmpl w:val="9AF66860"/>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11">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12">
    <w:nsid w:val="55CE7962"/>
    <w:multiLevelType w:val="multilevel"/>
    <w:tmpl w:val="9AF66860"/>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13">
    <w:nsid w:val="571C0637"/>
    <w:multiLevelType w:val="hybridMultilevel"/>
    <w:tmpl w:val="ACD26EDC"/>
    <w:lvl w:ilvl="0" w:tplc="4580A724">
      <w:start w:val="9"/>
      <w:numFmt w:val="lowerLetter"/>
      <w:lvlText w:val="(%1)"/>
      <w:lvlJc w:val="left"/>
      <w:pPr>
        <w:ind w:left="2462" w:hanging="360"/>
      </w:pPr>
      <w:rPr>
        <w:rFonts w:hint="default"/>
      </w:rPr>
    </w:lvl>
    <w:lvl w:ilvl="1" w:tplc="08090019" w:tentative="1">
      <w:start w:val="1"/>
      <w:numFmt w:val="lowerLetter"/>
      <w:lvlText w:val="%2."/>
      <w:lvlJc w:val="left"/>
      <w:pPr>
        <w:ind w:left="3182" w:hanging="360"/>
      </w:pPr>
    </w:lvl>
    <w:lvl w:ilvl="2" w:tplc="0809001B" w:tentative="1">
      <w:start w:val="1"/>
      <w:numFmt w:val="lowerRoman"/>
      <w:lvlText w:val="%3."/>
      <w:lvlJc w:val="right"/>
      <w:pPr>
        <w:ind w:left="3902" w:hanging="180"/>
      </w:pPr>
    </w:lvl>
    <w:lvl w:ilvl="3" w:tplc="0809000F" w:tentative="1">
      <w:start w:val="1"/>
      <w:numFmt w:val="decimal"/>
      <w:lvlText w:val="%4."/>
      <w:lvlJc w:val="left"/>
      <w:pPr>
        <w:ind w:left="4622" w:hanging="360"/>
      </w:pPr>
    </w:lvl>
    <w:lvl w:ilvl="4" w:tplc="08090019" w:tentative="1">
      <w:start w:val="1"/>
      <w:numFmt w:val="lowerLetter"/>
      <w:lvlText w:val="%5."/>
      <w:lvlJc w:val="left"/>
      <w:pPr>
        <w:ind w:left="5342" w:hanging="360"/>
      </w:pPr>
    </w:lvl>
    <w:lvl w:ilvl="5" w:tplc="0809001B" w:tentative="1">
      <w:start w:val="1"/>
      <w:numFmt w:val="lowerRoman"/>
      <w:lvlText w:val="%6."/>
      <w:lvlJc w:val="right"/>
      <w:pPr>
        <w:ind w:left="6062" w:hanging="180"/>
      </w:pPr>
    </w:lvl>
    <w:lvl w:ilvl="6" w:tplc="0809000F" w:tentative="1">
      <w:start w:val="1"/>
      <w:numFmt w:val="decimal"/>
      <w:lvlText w:val="%7."/>
      <w:lvlJc w:val="left"/>
      <w:pPr>
        <w:ind w:left="6782" w:hanging="360"/>
      </w:pPr>
    </w:lvl>
    <w:lvl w:ilvl="7" w:tplc="08090019" w:tentative="1">
      <w:start w:val="1"/>
      <w:numFmt w:val="lowerLetter"/>
      <w:lvlText w:val="%8."/>
      <w:lvlJc w:val="left"/>
      <w:pPr>
        <w:ind w:left="7502" w:hanging="360"/>
      </w:pPr>
    </w:lvl>
    <w:lvl w:ilvl="8" w:tplc="0809001B" w:tentative="1">
      <w:start w:val="1"/>
      <w:numFmt w:val="lowerRoman"/>
      <w:lvlText w:val="%9."/>
      <w:lvlJc w:val="right"/>
      <w:pPr>
        <w:ind w:left="8222" w:hanging="180"/>
      </w:pPr>
    </w:lvl>
  </w:abstractNum>
  <w:abstractNum w:abstractNumId="14">
    <w:nsid w:val="585155F3"/>
    <w:multiLevelType w:val="hybridMultilevel"/>
    <w:tmpl w:val="1CB6B1CC"/>
    <w:lvl w:ilvl="0" w:tplc="05FCDD3E">
      <w:start w:val="1"/>
      <w:numFmt w:val="upperLetter"/>
      <w:lvlText w:val="(%1)"/>
      <w:lvlJc w:val="left"/>
      <w:pPr>
        <w:ind w:left="2462" w:hanging="360"/>
      </w:pPr>
      <w:rPr>
        <w:rFonts w:hint="default"/>
      </w:rPr>
    </w:lvl>
    <w:lvl w:ilvl="1" w:tplc="08090019" w:tentative="1">
      <w:start w:val="1"/>
      <w:numFmt w:val="lowerLetter"/>
      <w:lvlText w:val="%2."/>
      <w:lvlJc w:val="left"/>
      <w:pPr>
        <w:ind w:left="3182" w:hanging="360"/>
      </w:pPr>
    </w:lvl>
    <w:lvl w:ilvl="2" w:tplc="0809001B" w:tentative="1">
      <w:start w:val="1"/>
      <w:numFmt w:val="lowerRoman"/>
      <w:lvlText w:val="%3."/>
      <w:lvlJc w:val="right"/>
      <w:pPr>
        <w:ind w:left="3902" w:hanging="180"/>
      </w:pPr>
    </w:lvl>
    <w:lvl w:ilvl="3" w:tplc="0809000F" w:tentative="1">
      <w:start w:val="1"/>
      <w:numFmt w:val="decimal"/>
      <w:lvlText w:val="%4."/>
      <w:lvlJc w:val="left"/>
      <w:pPr>
        <w:ind w:left="4622" w:hanging="360"/>
      </w:pPr>
    </w:lvl>
    <w:lvl w:ilvl="4" w:tplc="08090019" w:tentative="1">
      <w:start w:val="1"/>
      <w:numFmt w:val="lowerLetter"/>
      <w:lvlText w:val="%5."/>
      <w:lvlJc w:val="left"/>
      <w:pPr>
        <w:ind w:left="5342" w:hanging="360"/>
      </w:pPr>
    </w:lvl>
    <w:lvl w:ilvl="5" w:tplc="0809001B" w:tentative="1">
      <w:start w:val="1"/>
      <w:numFmt w:val="lowerRoman"/>
      <w:lvlText w:val="%6."/>
      <w:lvlJc w:val="right"/>
      <w:pPr>
        <w:ind w:left="6062" w:hanging="180"/>
      </w:pPr>
    </w:lvl>
    <w:lvl w:ilvl="6" w:tplc="0809000F" w:tentative="1">
      <w:start w:val="1"/>
      <w:numFmt w:val="decimal"/>
      <w:lvlText w:val="%7."/>
      <w:lvlJc w:val="left"/>
      <w:pPr>
        <w:ind w:left="6782" w:hanging="360"/>
      </w:pPr>
    </w:lvl>
    <w:lvl w:ilvl="7" w:tplc="08090019" w:tentative="1">
      <w:start w:val="1"/>
      <w:numFmt w:val="lowerLetter"/>
      <w:lvlText w:val="%8."/>
      <w:lvlJc w:val="left"/>
      <w:pPr>
        <w:ind w:left="7502" w:hanging="360"/>
      </w:pPr>
    </w:lvl>
    <w:lvl w:ilvl="8" w:tplc="0809001B" w:tentative="1">
      <w:start w:val="1"/>
      <w:numFmt w:val="lowerRoman"/>
      <w:lvlText w:val="%9."/>
      <w:lvlJc w:val="right"/>
      <w:pPr>
        <w:ind w:left="8222" w:hanging="180"/>
      </w:pPr>
    </w:lvl>
  </w:abstractNum>
  <w:abstractNum w:abstractNumId="15">
    <w:nsid w:val="788B454E"/>
    <w:multiLevelType w:val="multilevel"/>
    <w:tmpl w:val="EF6231D4"/>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1"/>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abstractNum w:abstractNumId="16">
    <w:nsid w:val="7D9343EE"/>
    <w:multiLevelType w:val="multilevel"/>
    <w:tmpl w:val="DE9A3DFA"/>
    <w:lvl w:ilvl="0">
      <w:start w:val="8"/>
      <w:numFmt w:val="upperLetter"/>
      <w:lvlText w:val="%1"/>
      <w:lvlJc w:val="left"/>
      <w:pPr>
        <w:ind w:left="1391" w:hanging="992"/>
      </w:pPr>
    </w:lvl>
    <w:lvl w:ilvl="1">
      <w:start w:val="1"/>
      <w:numFmt w:val="decimal"/>
      <w:lvlText w:val="%1.%2"/>
      <w:lvlJc w:val="left"/>
      <w:pPr>
        <w:ind w:left="1391" w:hanging="992"/>
      </w:pPr>
      <w:rPr>
        <w:rFonts w:ascii="Arial" w:eastAsia="Arial" w:hAnsi="Arial" w:cs="Arial" w:hint="default"/>
        <w:b/>
        <w:bCs/>
        <w:w w:val="99"/>
        <w:sz w:val="24"/>
        <w:szCs w:val="24"/>
      </w:rPr>
    </w:lvl>
    <w:lvl w:ilvl="2">
      <w:start w:val="1"/>
      <w:numFmt w:val="decimal"/>
      <w:lvlText w:val="%1.%2.%3"/>
      <w:lvlJc w:val="left"/>
      <w:pPr>
        <w:ind w:left="1391" w:hanging="992"/>
      </w:pPr>
      <w:rPr>
        <w:rFonts w:ascii="Arial" w:eastAsia="Arial" w:hAnsi="Arial" w:cs="Arial" w:hint="default"/>
        <w:spacing w:val="-2"/>
        <w:w w:val="100"/>
        <w:sz w:val="22"/>
        <w:szCs w:val="22"/>
      </w:rPr>
    </w:lvl>
    <w:lvl w:ilvl="3">
      <w:start w:val="1"/>
      <w:numFmt w:val="decimal"/>
      <w:lvlText w:val="%1.%2.%3.%4"/>
      <w:lvlJc w:val="left"/>
      <w:pPr>
        <w:ind w:left="1418" w:hanging="992"/>
      </w:pPr>
      <w:rPr>
        <w:rFonts w:ascii="Arial" w:eastAsia="Arial" w:hAnsi="Arial" w:cs="Arial" w:hint="default"/>
        <w:spacing w:val="-2"/>
        <w:w w:val="100"/>
        <w:sz w:val="22"/>
        <w:szCs w:val="22"/>
      </w:rPr>
    </w:lvl>
    <w:lvl w:ilvl="4">
      <w:start w:val="4"/>
      <w:numFmt w:val="lowerLetter"/>
      <w:lvlText w:val="(%5)"/>
      <w:lvlJc w:val="left"/>
      <w:pPr>
        <w:ind w:left="2102" w:hanging="711"/>
      </w:pPr>
      <w:rPr>
        <w:rFonts w:ascii="Arial" w:eastAsia="Arial" w:hAnsi="Arial" w:cs="Arial" w:hint="default"/>
        <w:w w:val="100"/>
        <w:sz w:val="22"/>
        <w:szCs w:val="22"/>
      </w:rPr>
    </w:lvl>
    <w:lvl w:ilvl="5">
      <w:numFmt w:val="bullet"/>
      <w:lvlText w:val="•"/>
      <w:lvlJc w:val="left"/>
      <w:pPr>
        <w:ind w:left="5862" w:hanging="711"/>
      </w:pPr>
    </w:lvl>
    <w:lvl w:ilvl="6">
      <w:numFmt w:val="bullet"/>
      <w:lvlText w:val="•"/>
      <w:lvlJc w:val="left"/>
      <w:pPr>
        <w:ind w:left="6803" w:hanging="711"/>
      </w:pPr>
    </w:lvl>
    <w:lvl w:ilvl="7">
      <w:numFmt w:val="bullet"/>
      <w:lvlText w:val="•"/>
      <w:lvlJc w:val="left"/>
      <w:pPr>
        <w:ind w:left="7744" w:hanging="711"/>
      </w:pPr>
    </w:lvl>
    <w:lvl w:ilvl="8">
      <w:numFmt w:val="bullet"/>
      <w:lvlText w:val="•"/>
      <w:lvlJc w:val="left"/>
      <w:pPr>
        <w:ind w:left="8684" w:hanging="711"/>
      </w:pPr>
    </w:lvl>
  </w:abstractNum>
  <w:num w:numId="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16"/>
    <w:lvlOverride w:ilvl="0">
      <w:startOverride w:val="8"/>
    </w:lvlOverride>
    <w:lvlOverride w:ilvl="1">
      <w:startOverride w:val="1"/>
    </w:lvlOverride>
    <w:lvlOverride w:ilvl="2">
      <w:startOverride w:val="1"/>
    </w:lvlOverride>
    <w:lvlOverride w:ilvl="3">
      <w:startOverride w:val="1"/>
    </w:lvlOverride>
    <w:lvlOverride w:ilvl="4">
      <w:startOverride w:val="4"/>
    </w:lvlOverride>
    <w:lvlOverride w:ilvl="5"/>
    <w:lvlOverride w:ilvl="6"/>
    <w:lvlOverride w:ilvl="7"/>
    <w:lvlOverride w:ilvl="8"/>
  </w:num>
  <w:num w:numId="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abstractNumId w:val="0"/>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1"/>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8"/>
  </w:num>
  <w:num w:numId="13">
    <w:abstractNumId w:val="14"/>
  </w:num>
  <w:num w:numId="14">
    <w:abstractNumId w:val="4"/>
  </w:num>
  <w:num w:numId="15">
    <w:abstractNumId w:val="13"/>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0F"/>
    <w:rsid w:val="000041EB"/>
    <w:rsid w:val="000356E1"/>
    <w:rsid w:val="0004198B"/>
    <w:rsid w:val="00043F1B"/>
    <w:rsid w:val="00060E55"/>
    <w:rsid w:val="000648E8"/>
    <w:rsid w:val="00065317"/>
    <w:rsid w:val="000671DA"/>
    <w:rsid w:val="000A727B"/>
    <w:rsid w:val="000B0869"/>
    <w:rsid w:val="000B3E6B"/>
    <w:rsid w:val="000B6CA4"/>
    <w:rsid w:val="000C4F97"/>
    <w:rsid w:val="000C6290"/>
    <w:rsid w:val="000E1348"/>
    <w:rsid w:val="000F68E3"/>
    <w:rsid w:val="001176EF"/>
    <w:rsid w:val="00151FA6"/>
    <w:rsid w:val="00161BF9"/>
    <w:rsid w:val="00164E8F"/>
    <w:rsid w:val="00167467"/>
    <w:rsid w:val="00167A89"/>
    <w:rsid w:val="00172FC8"/>
    <w:rsid w:val="00193693"/>
    <w:rsid w:val="001948D2"/>
    <w:rsid w:val="001A5D8D"/>
    <w:rsid w:val="001B65F1"/>
    <w:rsid w:val="001C7786"/>
    <w:rsid w:val="001E2503"/>
    <w:rsid w:val="001E7301"/>
    <w:rsid w:val="002023B8"/>
    <w:rsid w:val="002025A2"/>
    <w:rsid w:val="00217FD6"/>
    <w:rsid w:val="00224479"/>
    <w:rsid w:val="00236F83"/>
    <w:rsid w:val="00242ADF"/>
    <w:rsid w:val="0025742E"/>
    <w:rsid w:val="00286B92"/>
    <w:rsid w:val="0029004C"/>
    <w:rsid w:val="00291A2D"/>
    <w:rsid w:val="002B379F"/>
    <w:rsid w:val="002D384E"/>
    <w:rsid w:val="00314499"/>
    <w:rsid w:val="00320D45"/>
    <w:rsid w:val="00325A58"/>
    <w:rsid w:val="00335724"/>
    <w:rsid w:val="003805B9"/>
    <w:rsid w:val="003828CC"/>
    <w:rsid w:val="00385281"/>
    <w:rsid w:val="003D3FF4"/>
    <w:rsid w:val="003E45E7"/>
    <w:rsid w:val="003F253C"/>
    <w:rsid w:val="00402A82"/>
    <w:rsid w:val="00405E5C"/>
    <w:rsid w:val="00410079"/>
    <w:rsid w:val="00422108"/>
    <w:rsid w:val="00427A9F"/>
    <w:rsid w:val="0044231E"/>
    <w:rsid w:val="00445428"/>
    <w:rsid w:val="00464330"/>
    <w:rsid w:val="00472079"/>
    <w:rsid w:val="00473E9D"/>
    <w:rsid w:val="004872FA"/>
    <w:rsid w:val="004B37CC"/>
    <w:rsid w:val="004B76D6"/>
    <w:rsid w:val="004C5C27"/>
    <w:rsid w:val="004D7491"/>
    <w:rsid w:val="004E0EB5"/>
    <w:rsid w:val="004F4F7A"/>
    <w:rsid w:val="0050197B"/>
    <w:rsid w:val="00516A6A"/>
    <w:rsid w:val="00516F17"/>
    <w:rsid w:val="0056092D"/>
    <w:rsid w:val="00560BA8"/>
    <w:rsid w:val="00562384"/>
    <w:rsid w:val="00574373"/>
    <w:rsid w:val="00595645"/>
    <w:rsid w:val="005B7FC2"/>
    <w:rsid w:val="005C195F"/>
    <w:rsid w:val="005D6899"/>
    <w:rsid w:val="005E008D"/>
    <w:rsid w:val="0060522B"/>
    <w:rsid w:val="006102A5"/>
    <w:rsid w:val="00634810"/>
    <w:rsid w:val="00645055"/>
    <w:rsid w:val="006544ED"/>
    <w:rsid w:val="0065774C"/>
    <w:rsid w:val="00661E5D"/>
    <w:rsid w:val="00664A0A"/>
    <w:rsid w:val="006758A7"/>
    <w:rsid w:val="00683CF0"/>
    <w:rsid w:val="00690F58"/>
    <w:rsid w:val="006B3E60"/>
    <w:rsid w:val="006C439C"/>
    <w:rsid w:val="006C48C4"/>
    <w:rsid w:val="00713D76"/>
    <w:rsid w:val="00736A86"/>
    <w:rsid w:val="00751DC3"/>
    <w:rsid w:val="00760E56"/>
    <w:rsid w:val="0076182D"/>
    <w:rsid w:val="0077092C"/>
    <w:rsid w:val="0078342F"/>
    <w:rsid w:val="007A390E"/>
    <w:rsid w:val="007B71E3"/>
    <w:rsid w:val="007C3268"/>
    <w:rsid w:val="007D041A"/>
    <w:rsid w:val="007D164F"/>
    <w:rsid w:val="007F62D0"/>
    <w:rsid w:val="007F76D7"/>
    <w:rsid w:val="008003B4"/>
    <w:rsid w:val="00806057"/>
    <w:rsid w:val="0081197B"/>
    <w:rsid w:val="00821429"/>
    <w:rsid w:val="00834A21"/>
    <w:rsid w:val="008426CD"/>
    <w:rsid w:val="008824B4"/>
    <w:rsid w:val="0088597E"/>
    <w:rsid w:val="008870E0"/>
    <w:rsid w:val="008910D3"/>
    <w:rsid w:val="008A3B2C"/>
    <w:rsid w:val="008F2419"/>
    <w:rsid w:val="00902F86"/>
    <w:rsid w:val="00932733"/>
    <w:rsid w:val="0096064A"/>
    <w:rsid w:val="009703BE"/>
    <w:rsid w:val="00970AA0"/>
    <w:rsid w:val="00976724"/>
    <w:rsid w:val="0098780B"/>
    <w:rsid w:val="00996FD8"/>
    <w:rsid w:val="009A006E"/>
    <w:rsid w:val="009A0BB7"/>
    <w:rsid w:val="009A6C23"/>
    <w:rsid w:val="009B17A3"/>
    <w:rsid w:val="009B5DFC"/>
    <w:rsid w:val="009C773E"/>
    <w:rsid w:val="00A12D8F"/>
    <w:rsid w:val="00A23E0C"/>
    <w:rsid w:val="00A7749C"/>
    <w:rsid w:val="00A87600"/>
    <w:rsid w:val="00AC2E66"/>
    <w:rsid w:val="00AC5663"/>
    <w:rsid w:val="00AF3B8D"/>
    <w:rsid w:val="00B179A1"/>
    <w:rsid w:val="00B21B07"/>
    <w:rsid w:val="00B35342"/>
    <w:rsid w:val="00B45EB9"/>
    <w:rsid w:val="00B620DA"/>
    <w:rsid w:val="00B70D0A"/>
    <w:rsid w:val="00BA2F43"/>
    <w:rsid w:val="00BC244A"/>
    <w:rsid w:val="00BC7D7A"/>
    <w:rsid w:val="00C06353"/>
    <w:rsid w:val="00C252DF"/>
    <w:rsid w:val="00C31781"/>
    <w:rsid w:val="00C36720"/>
    <w:rsid w:val="00C6697A"/>
    <w:rsid w:val="00C823D8"/>
    <w:rsid w:val="00C856CF"/>
    <w:rsid w:val="00C9665B"/>
    <w:rsid w:val="00CA40B7"/>
    <w:rsid w:val="00CB4DB0"/>
    <w:rsid w:val="00CD7E0F"/>
    <w:rsid w:val="00CE1046"/>
    <w:rsid w:val="00CE201B"/>
    <w:rsid w:val="00D058E6"/>
    <w:rsid w:val="00D115CC"/>
    <w:rsid w:val="00D3260C"/>
    <w:rsid w:val="00D51BA2"/>
    <w:rsid w:val="00D55207"/>
    <w:rsid w:val="00D641EC"/>
    <w:rsid w:val="00D66EA6"/>
    <w:rsid w:val="00D77F51"/>
    <w:rsid w:val="00D819E9"/>
    <w:rsid w:val="00D86EC4"/>
    <w:rsid w:val="00DA1EC2"/>
    <w:rsid w:val="00DB4640"/>
    <w:rsid w:val="00E31FC5"/>
    <w:rsid w:val="00E412E5"/>
    <w:rsid w:val="00E44ED6"/>
    <w:rsid w:val="00E66DB8"/>
    <w:rsid w:val="00E8525A"/>
    <w:rsid w:val="00E94DA1"/>
    <w:rsid w:val="00EB469A"/>
    <w:rsid w:val="00EC2D12"/>
    <w:rsid w:val="00EC3374"/>
    <w:rsid w:val="00EE7BA1"/>
    <w:rsid w:val="00F6414D"/>
    <w:rsid w:val="00F74A15"/>
    <w:rsid w:val="00F811CB"/>
    <w:rsid w:val="00F81C2F"/>
    <w:rsid w:val="00FA27A2"/>
    <w:rsid w:val="00FA6D84"/>
    <w:rsid w:val="00FD41BE"/>
    <w:rsid w:val="00FD7E99"/>
    <w:rsid w:val="00FE4D6D"/>
    <w:rsid w:val="00FE563A"/>
    <w:rsid w:val="00FF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0F"/>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paragraph" w:styleId="Heading6">
    <w:name w:val="heading 6"/>
    <w:basedOn w:val="Normal"/>
    <w:link w:val="Heading6Char"/>
    <w:uiPriority w:val="9"/>
    <w:semiHidden/>
    <w:unhideWhenUsed/>
    <w:qFormat/>
    <w:rsid w:val="00CD7E0F"/>
    <w:pPr>
      <w:widowControl w:val="0"/>
      <w:overflowPunct/>
      <w:adjustRightInd/>
      <w:ind w:left="400"/>
      <w:outlineLvl w:val="5"/>
    </w:pPr>
    <w:rPr>
      <w:rFonts w:ascii="Arial" w:eastAsia="Arial" w:hAnsi="Arial" w:cs="Arial"/>
      <w:b/>
      <w:bCs/>
      <w:sz w:val="24"/>
      <w:szCs w:val="24"/>
      <w:lang w:val="en-US" w:eastAsia="en-US"/>
    </w:rPr>
  </w:style>
  <w:style w:type="paragraph" w:styleId="Heading7">
    <w:name w:val="heading 7"/>
    <w:basedOn w:val="Normal"/>
    <w:next w:val="Normal"/>
    <w:link w:val="Heading7Char"/>
    <w:uiPriority w:val="9"/>
    <w:semiHidden/>
    <w:unhideWhenUsed/>
    <w:qFormat/>
    <w:rsid w:val="00CD7E0F"/>
    <w:pPr>
      <w:keepNext/>
      <w:keepLines/>
      <w:overflowPunct/>
      <w:autoSpaceDE/>
      <w:autoSpaceDN/>
      <w:adjustRightInd/>
      <w:spacing w:before="40"/>
      <w:jc w:val="both"/>
      <w:outlineLvl w:val="6"/>
    </w:pPr>
    <w:rPr>
      <w:rFonts w:asciiTheme="majorHAnsi" w:eastAsiaTheme="majorEastAsia" w:hAnsiTheme="majorHAnsi" w:cstheme="majorBidi"/>
      <w:i/>
      <w:iCs/>
      <w:color w:val="1F3763" w:themeColor="accent1" w:themeShade="7F"/>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D7E0F"/>
    <w:rPr>
      <w:rFonts w:ascii="Arial" w:eastAsia="Arial" w:hAnsi="Arial" w:cs="Arial"/>
      <w:b/>
      <w:bCs/>
      <w:sz w:val="24"/>
      <w:szCs w:val="24"/>
      <w:lang w:val="en-US"/>
    </w:rPr>
  </w:style>
  <w:style w:type="character" w:customStyle="1" w:styleId="Heading7Char">
    <w:name w:val="Heading 7 Char"/>
    <w:basedOn w:val="DefaultParagraphFont"/>
    <w:link w:val="Heading7"/>
    <w:uiPriority w:val="9"/>
    <w:semiHidden/>
    <w:rsid w:val="00CD7E0F"/>
    <w:rPr>
      <w:rFonts w:asciiTheme="majorHAnsi" w:eastAsiaTheme="majorEastAsia" w:hAnsiTheme="majorHAnsi" w:cstheme="majorBidi"/>
      <w:i/>
      <w:iCs/>
      <w:color w:val="1F3763" w:themeColor="accent1" w:themeShade="7F"/>
      <w:szCs w:val="20"/>
    </w:rPr>
  </w:style>
  <w:style w:type="character" w:styleId="Hyperlink">
    <w:name w:val="Hyperlink"/>
    <w:basedOn w:val="DefaultParagraphFont"/>
    <w:uiPriority w:val="99"/>
    <w:semiHidden/>
    <w:unhideWhenUsed/>
    <w:rsid w:val="00CD7E0F"/>
    <w:rPr>
      <w:color w:val="0563C1" w:themeColor="hyperlink"/>
      <w:u w:val="single"/>
    </w:rPr>
  </w:style>
  <w:style w:type="paragraph" w:styleId="CommentText">
    <w:name w:val="annotation text"/>
    <w:basedOn w:val="Normal"/>
    <w:link w:val="CommentTextChar"/>
    <w:uiPriority w:val="99"/>
    <w:semiHidden/>
    <w:unhideWhenUsed/>
    <w:rsid w:val="00CD7E0F"/>
  </w:style>
  <w:style w:type="character" w:customStyle="1" w:styleId="CommentTextChar">
    <w:name w:val="Comment Text Char"/>
    <w:basedOn w:val="DefaultParagraphFont"/>
    <w:link w:val="CommentText"/>
    <w:uiPriority w:val="99"/>
    <w:semiHidden/>
    <w:rsid w:val="00CD7E0F"/>
    <w:rPr>
      <w:rFonts w:ascii="Times New Roman" w:eastAsia="Times New Roman" w:hAnsi="Times New Roman" w:cs="Times New Roman"/>
      <w:sz w:val="20"/>
      <w:szCs w:val="20"/>
      <w:lang w:val="en-AU" w:eastAsia="en-GB"/>
    </w:rPr>
  </w:style>
  <w:style w:type="paragraph" w:styleId="BodyText">
    <w:name w:val="Body Text"/>
    <w:basedOn w:val="Normal"/>
    <w:link w:val="BodyTextChar"/>
    <w:uiPriority w:val="1"/>
    <w:unhideWhenUsed/>
    <w:qFormat/>
    <w:rsid w:val="00CD7E0F"/>
    <w:pPr>
      <w:widowControl w:val="0"/>
      <w:overflowPunct/>
      <w:adjustRightInd/>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CD7E0F"/>
    <w:rPr>
      <w:rFonts w:ascii="Arial" w:eastAsia="Arial" w:hAnsi="Arial" w:cs="Arial"/>
      <w:lang w:val="en-US"/>
    </w:rPr>
  </w:style>
  <w:style w:type="paragraph" w:styleId="ListParagraph">
    <w:name w:val="List Paragraph"/>
    <w:basedOn w:val="Normal"/>
    <w:uiPriority w:val="1"/>
    <w:qFormat/>
    <w:rsid w:val="00CD7E0F"/>
    <w:pPr>
      <w:ind w:left="720"/>
      <w:contextualSpacing/>
    </w:pPr>
  </w:style>
  <w:style w:type="paragraph" w:customStyle="1" w:styleId="Default">
    <w:name w:val="Default"/>
    <w:rsid w:val="00CD7E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D7E0F"/>
    <w:rPr>
      <w:sz w:val="16"/>
      <w:szCs w:val="16"/>
    </w:rPr>
  </w:style>
  <w:style w:type="paragraph" w:styleId="BalloonText">
    <w:name w:val="Balloon Text"/>
    <w:basedOn w:val="Normal"/>
    <w:link w:val="BalloonTextChar"/>
    <w:uiPriority w:val="99"/>
    <w:semiHidden/>
    <w:unhideWhenUsed/>
    <w:rsid w:val="00CD7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E0F"/>
    <w:rPr>
      <w:rFonts w:ascii="Segoe UI" w:eastAsia="Times New Roman" w:hAnsi="Segoe UI" w:cs="Segoe UI"/>
      <w:sz w:val="18"/>
      <w:szCs w:val="18"/>
      <w:lang w:val="en-AU" w:eastAsia="en-GB"/>
    </w:rPr>
  </w:style>
  <w:style w:type="paragraph" w:customStyle="1" w:styleId="CERLEVEL1">
    <w:name w:val="CER LEVEL 1"/>
    <w:basedOn w:val="Normal"/>
    <w:next w:val="CERLEVEL2"/>
    <w:qFormat/>
    <w:rsid w:val="00CD7E0F"/>
    <w:pPr>
      <w:keepNext/>
      <w:numPr>
        <w:numId w:val="12"/>
      </w:numPr>
      <w:pBdr>
        <w:top w:val="single" w:sz="4" w:space="1" w:color="auto"/>
        <w:bottom w:val="single" w:sz="4" w:space="1" w:color="auto"/>
      </w:pBdr>
      <w:overflowPunct/>
      <w:autoSpaceDE/>
      <w:autoSpaceDN/>
      <w:adjustRightInd/>
      <w:spacing w:before="240" w:after="120"/>
      <w:jc w:val="center"/>
      <w:outlineLvl w:val="0"/>
    </w:pPr>
    <w:rPr>
      <w:rFonts w:ascii="Arial" w:hAnsi="Arial"/>
      <w:b/>
      <w:caps/>
      <w:sz w:val="28"/>
      <w:szCs w:val="22"/>
      <w:lang w:val="en-US" w:eastAsia="en-US"/>
    </w:rPr>
  </w:style>
  <w:style w:type="paragraph" w:customStyle="1" w:styleId="CERLEVEL2">
    <w:name w:val="CER LEVEL 2"/>
    <w:basedOn w:val="Normal"/>
    <w:qFormat/>
    <w:rsid w:val="00CD7E0F"/>
    <w:pPr>
      <w:keepNext/>
      <w:numPr>
        <w:ilvl w:val="1"/>
        <w:numId w:val="12"/>
      </w:numPr>
      <w:overflowPunct/>
      <w:autoSpaceDE/>
      <w:autoSpaceDN/>
      <w:adjustRightInd/>
      <w:spacing w:before="240" w:after="120"/>
      <w:jc w:val="both"/>
      <w:outlineLvl w:val="1"/>
    </w:pPr>
    <w:rPr>
      <w:rFonts w:ascii="Arial" w:hAnsi="Arial"/>
      <w:b/>
      <w:caps/>
      <w:sz w:val="24"/>
      <w:szCs w:val="22"/>
      <w:lang w:val="en-US" w:eastAsia="en-US"/>
    </w:rPr>
  </w:style>
  <w:style w:type="paragraph" w:customStyle="1" w:styleId="CERLEVEL3">
    <w:name w:val="CER LEVEL 3"/>
    <w:basedOn w:val="Normal"/>
    <w:qFormat/>
    <w:rsid w:val="00CD7E0F"/>
    <w:pPr>
      <w:keepNext/>
      <w:numPr>
        <w:ilvl w:val="2"/>
        <w:numId w:val="12"/>
      </w:numPr>
      <w:overflowPunct/>
      <w:autoSpaceDE/>
      <w:autoSpaceDN/>
      <w:adjustRightInd/>
      <w:spacing w:before="240" w:after="120"/>
      <w:jc w:val="both"/>
      <w:outlineLvl w:val="2"/>
    </w:pPr>
    <w:rPr>
      <w:rFonts w:ascii="Arial" w:hAnsi="Arial"/>
      <w:b/>
      <w:sz w:val="22"/>
      <w:szCs w:val="22"/>
      <w:lang w:val="en-US" w:eastAsia="en-US"/>
    </w:rPr>
  </w:style>
  <w:style w:type="paragraph" w:customStyle="1" w:styleId="CERLEVEL4">
    <w:name w:val="CER LEVEL 4"/>
    <w:basedOn w:val="Normal"/>
    <w:next w:val="CERLEVEL5"/>
    <w:qFormat/>
    <w:rsid w:val="00CD7E0F"/>
    <w:pPr>
      <w:numPr>
        <w:ilvl w:val="3"/>
        <w:numId w:val="12"/>
      </w:numPr>
      <w:overflowPunct/>
      <w:autoSpaceDE/>
      <w:autoSpaceDN/>
      <w:adjustRightInd/>
      <w:spacing w:before="120" w:after="120"/>
      <w:jc w:val="both"/>
    </w:pPr>
    <w:rPr>
      <w:rFonts w:ascii="Arial" w:hAnsi="Arial"/>
      <w:sz w:val="22"/>
      <w:szCs w:val="22"/>
      <w:lang w:val="en-US" w:eastAsia="en-US"/>
    </w:rPr>
  </w:style>
  <w:style w:type="paragraph" w:customStyle="1" w:styleId="CERLEVEL5">
    <w:name w:val="CER LEVEL 5"/>
    <w:basedOn w:val="Normal"/>
    <w:rsid w:val="00CD7E0F"/>
    <w:pPr>
      <w:numPr>
        <w:ilvl w:val="4"/>
        <w:numId w:val="12"/>
      </w:numPr>
      <w:overflowPunct/>
      <w:autoSpaceDE/>
      <w:autoSpaceDN/>
      <w:adjustRightInd/>
      <w:spacing w:before="120" w:after="120"/>
      <w:jc w:val="both"/>
    </w:pPr>
    <w:rPr>
      <w:rFonts w:ascii="Arial" w:hAnsi="Arial"/>
      <w:sz w:val="22"/>
      <w:szCs w:val="22"/>
      <w:lang w:val="en-US" w:eastAsia="en-US"/>
    </w:rPr>
  </w:style>
  <w:style w:type="paragraph" w:customStyle="1" w:styleId="CERLEVEL6">
    <w:name w:val="CER LEVEL 6"/>
    <w:basedOn w:val="Normal"/>
    <w:qFormat/>
    <w:rsid w:val="00CD7E0F"/>
    <w:pPr>
      <w:numPr>
        <w:ilvl w:val="5"/>
        <w:numId w:val="12"/>
      </w:numPr>
      <w:overflowPunct/>
      <w:autoSpaceDE/>
      <w:autoSpaceDN/>
      <w:adjustRightInd/>
      <w:spacing w:before="120" w:after="120"/>
      <w:jc w:val="both"/>
    </w:pPr>
    <w:rPr>
      <w:rFonts w:ascii="Arial" w:hAnsi="Arial"/>
      <w:sz w:val="22"/>
      <w:szCs w:val="22"/>
      <w:lang w:val="en-US" w:eastAsia="en-US"/>
    </w:rPr>
  </w:style>
  <w:style w:type="paragraph" w:customStyle="1" w:styleId="CERLEVEL7">
    <w:name w:val="CER LEVEL 7"/>
    <w:basedOn w:val="Normal"/>
    <w:qFormat/>
    <w:rsid w:val="00CD7E0F"/>
    <w:pPr>
      <w:numPr>
        <w:ilvl w:val="6"/>
        <w:numId w:val="12"/>
      </w:numPr>
      <w:overflowPunct/>
      <w:autoSpaceDE/>
      <w:autoSpaceDN/>
      <w:adjustRightInd/>
      <w:spacing w:before="120" w:after="120"/>
      <w:jc w:val="both"/>
    </w:pPr>
    <w:rPr>
      <w:rFonts w:ascii="Arial" w:hAnsi="Arial"/>
      <w:sz w:val="22"/>
      <w:szCs w:val="22"/>
      <w:lang w:val="en-US" w:eastAsia="en-US"/>
    </w:rPr>
  </w:style>
  <w:style w:type="paragraph" w:customStyle="1" w:styleId="CERLevel50">
    <w:name w:val="CER Level 5"/>
    <w:basedOn w:val="CERLEVEL5"/>
    <w:link w:val="CERLevel5Char"/>
    <w:qFormat/>
    <w:rsid w:val="00CD7E0F"/>
    <w:rPr>
      <w:lang w:val="en-IE"/>
    </w:rPr>
  </w:style>
  <w:style w:type="paragraph" w:customStyle="1" w:styleId="CERLevel8">
    <w:name w:val="CER Level 8"/>
    <w:basedOn w:val="CERLEVEL7"/>
    <w:qFormat/>
    <w:rsid w:val="00CD7E0F"/>
    <w:pPr>
      <w:numPr>
        <w:ilvl w:val="8"/>
      </w:numPr>
    </w:pPr>
  </w:style>
  <w:style w:type="character" w:customStyle="1" w:styleId="CERLevel5Char">
    <w:name w:val="CER Level 5 Char"/>
    <w:basedOn w:val="DefaultParagraphFont"/>
    <w:link w:val="CERLevel50"/>
    <w:rsid w:val="00CD7E0F"/>
    <w:rPr>
      <w:rFonts w:ascii="Arial" w:eastAsia="Times New Roman" w:hAnsi="Arial" w:cs="Times New Roman"/>
      <w:lang w:val="en-IE"/>
    </w:rPr>
  </w:style>
  <w:style w:type="table" w:styleId="TableGrid">
    <w:name w:val="Table Grid"/>
    <w:basedOn w:val="TableNormal"/>
    <w:uiPriority w:val="59"/>
    <w:rsid w:val="00065317"/>
    <w:pPr>
      <w:spacing w:before="200" w:after="0" w:line="240" w:lineRule="auto"/>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065317"/>
    <w:pPr>
      <w:numPr>
        <w:numId w:val="16"/>
      </w:numPr>
    </w:pPr>
  </w:style>
  <w:style w:type="paragraph" w:styleId="CommentSubject">
    <w:name w:val="annotation subject"/>
    <w:basedOn w:val="CommentText"/>
    <w:next w:val="CommentText"/>
    <w:link w:val="CommentSubjectChar"/>
    <w:uiPriority w:val="99"/>
    <w:semiHidden/>
    <w:unhideWhenUsed/>
    <w:rsid w:val="00167467"/>
    <w:rPr>
      <w:b/>
      <w:bCs/>
    </w:rPr>
  </w:style>
  <w:style w:type="character" w:customStyle="1" w:styleId="CommentSubjectChar">
    <w:name w:val="Comment Subject Char"/>
    <w:basedOn w:val="CommentTextChar"/>
    <w:link w:val="CommentSubject"/>
    <w:uiPriority w:val="99"/>
    <w:semiHidden/>
    <w:rsid w:val="00167467"/>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0A727B"/>
    <w:pPr>
      <w:tabs>
        <w:tab w:val="center" w:pos="4513"/>
        <w:tab w:val="right" w:pos="9026"/>
      </w:tabs>
    </w:pPr>
  </w:style>
  <w:style w:type="character" w:customStyle="1" w:styleId="HeaderChar">
    <w:name w:val="Header Char"/>
    <w:basedOn w:val="DefaultParagraphFont"/>
    <w:link w:val="Header"/>
    <w:uiPriority w:val="99"/>
    <w:rsid w:val="000A727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0A727B"/>
    <w:pPr>
      <w:tabs>
        <w:tab w:val="center" w:pos="4513"/>
        <w:tab w:val="right" w:pos="9026"/>
      </w:tabs>
    </w:pPr>
  </w:style>
  <w:style w:type="character" w:customStyle="1" w:styleId="FooterChar">
    <w:name w:val="Footer Char"/>
    <w:basedOn w:val="DefaultParagraphFont"/>
    <w:link w:val="Footer"/>
    <w:uiPriority w:val="99"/>
    <w:rsid w:val="000A727B"/>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0F"/>
    <w:pPr>
      <w:overflowPunct w:val="0"/>
      <w:autoSpaceDE w:val="0"/>
      <w:autoSpaceDN w:val="0"/>
      <w:adjustRightInd w:val="0"/>
      <w:spacing w:after="0" w:line="240" w:lineRule="auto"/>
    </w:pPr>
    <w:rPr>
      <w:rFonts w:ascii="Times New Roman" w:eastAsia="Times New Roman" w:hAnsi="Times New Roman" w:cs="Times New Roman"/>
      <w:sz w:val="20"/>
      <w:szCs w:val="20"/>
      <w:lang w:val="en-AU" w:eastAsia="en-GB"/>
    </w:rPr>
  </w:style>
  <w:style w:type="paragraph" w:styleId="Heading6">
    <w:name w:val="heading 6"/>
    <w:basedOn w:val="Normal"/>
    <w:link w:val="Heading6Char"/>
    <w:uiPriority w:val="9"/>
    <w:semiHidden/>
    <w:unhideWhenUsed/>
    <w:qFormat/>
    <w:rsid w:val="00CD7E0F"/>
    <w:pPr>
      <w:widowControl w:val="0"/>
      <w:overflowPunct/>
      <w:adjustRightInd/>
      <w:ind w:left="400"/>
      <w:outlineLvl w:val="5"/>
    </w:pPr>
    <w:rPr>
      <w:rFonts w:ascii="Arial" w:eastAsia="Arial" w:hAnsi="Arial" w:cs="Arial"/>
      <w:b/>
      <w:bCs/>
      <w:sz w:val="24"/>
      <w:szCs w:val="24"/>
      <w:lang w:val="en-US" w:eastAsia="en-US"/>
    </w:rPr>
  </w:style>
  <w:style w:type="paragraph" w:styleId="Heading7">
    <w:name w:val="heading 7"/>
    <w:basedOn w:val="Normal"/>
    <w:next w:val="Normal"/>
    <w:link w:val="Heading7Char"/>
    <w:uiPriority w:val="9"/>
    <w:semiHidden/>
    <w:unhideWhenUsed/>
    <w:qFormat/>
    <w:rsid w:val="00CD7E0F"/>
    <w:pPr>
      <w:keepNext/>
      <w:keepLines/>
      <w:overflowPunct/>
      <w:autoSpaceDE/>
      <w:autoSpaceDN/>
      <w:adjustRightInd/>
      <w:spacing w:before="40"/>
      <w:jc w:val="both"/>
      <w:outlineLvl w:val="6"/>
    </w:pPr>
    <w:rPr>
      <w:rFonts w:asciiTheme="majorHAnsi" w:eastAsiaTheme="majorEastAsia" w:hAnsiTheme="majorHAnsi" w:cstheme="majorBidi"/>
      <w:i/>
      <w:iCs/>
      <w:color w:val="1F3763" w:themeColor="accent1" w:themeShade="7F"/>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D7E0F"/>
    <w:rPr>
      <w:rFonts w:ascii="Arial" w:eastAsia="Arial" w:hAnsi="Arial" w:cs="Arial"/>
      <w:b/>
      <w:bCs/>
      <w:sz w:val="24"/>
      <w:szCs w:val="24"/>
      <w:lang w:val="en-US"/>
    </w:rPr>
  </w:style>
  <w:style w:type="character" w:customStyle="1" w:styleId="Heading7Char">
    <w:name w:val="Heading 7 Char"/>
    <w:basedOn w:val="DefaultParagraphFont"/>
    <w:link w:val="Heading7"/>
    <w:uiPriority w:val="9"/>
    <w:semiHidden/>
    <w:rsid w:val="00CD7E0F"/>
    <w:rPr>
      <w:rFonts w:asciiTheme="majorHAnsi" w:eastAsiaTheme="majorEastAsia" w:hAnsiTheme="majorHAnsi" w:cstheme="majorBidi"/>
      <w:i/>
      <w:iCs/>
      <w:color w:val="1F3763" w:themeColor="accent1" w:themeShade="7F"/>
      <w:szCs w:val="20"/>
    </w:rPr>
  </w:style>
  <w:style w:type="character" w:styleId="Hyperlink">
    <w:name w:val="Hyperlink"/>
    <w:basedOn w:val="DefaultParagraphFont"/>
    <w:uiPriority w:val="99"/>
    <w:semiHidden/>
    <w:unhideWhenUsed/>
    <w:rsid w:val="00CD7E0F"/>
    <w:rPr>
      <w:color w:val="0563C1" w:themeColor="hyperlink"/>
      <w:u w:val="single"/>
    </w:rPr>
  </w:style>
  <w:style w:type="paragraph" w:styleId="CommentText">
    <w:name w:val="annotation text"/>
    <w:basedOn w:val="Normal"/>
    <w:link w:val="CommentTextChar"/>
    <w:uiPriority w:val="99"/>
    <w:semiHidden/>
    <w:unhideWhenUsed/>
    <w:rsid w:val="00CD7E0F"/>
  </w:style>
  <w:style w:type="character" w:customStyle="1" w:styleId="CommentTextChar">
    <w:name w:val="Comment Text Char"/>
    <w:basedOn w:val="DefaultParagraphFont"/>
    <w:link w:val="CommentText"/>
    <w:uiPriority w:val="99"/>
    <w:semiHidden/>
    <w:rsid w:val="00CD7E0F"/>
    <w:rPr>
      <w:rFonts w:ascii="Times New Roman" w:eastAsia="Times New Roman" w:hAnsi="Times New Roman" w:cs="Times New Roman"/>
      <w:sz w:val="20"/>
      <w:szCs w:val="20"/>
      <w:lang w:val="en-AU" w:eastAsia="en-GB"/>
    </w:rPr>
  </w:style>
  <w:style w:type="paragraph" w:styleId="BodyText">
    <w:name w:val="Body Text"/>
    <w:basedOn w:val="Normal"/>
    <w:link w:val="BodyTextChar"/>
    <w:uiPriority w:val="1"/>
    <w:unhideWhenUsed/>
    <w:qFormat/>
    <w:rsid w:val="00CD7E0F"/>
    <w:pPr>
      <w:widowControl w:val="0"/>
      <w:overflowPunct/>
      <w:adjustRightInd/>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CD7E0F"/>
    <w:rPr>
      <w:rFonts w:ascii="Arial" w:eastAsia="Arial" w:hAnsi="Arial" w:cs="Arial"/>
      <w:lang w:val="en-US"/>
    </w:rPr>
  </w:style>
  <w:style w:type="paragraph" w:styleId="ListParagraph">
    <w:name w:val="List Paragraph"/>
    <w:basedOn w:val="Normal"/>
    <w:uiPriority w:val="1"/>
    <w:qFormat/>
    <w:rsid w:val="00CD7E0F"/>
    <w:pPr>
      <w:ind w:left="720"/>
      <w:contextualSpacing/>
    </w:pPr>
  </w:style>
  <w:style w:type="paragraph" w:customStyle="1" w:styleId="Default">
    <w:name w:val="Default"/>
    <w:rsid w:val="00CD7E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D7E0F"/>
    <w:rPr>
      <w:sz w:val="16"/>
      <w:szCs w:val="16"/>
    </w:rPr>
  </w:style>
  <w:style w:type="paragraph" w:styleId="BalloonText">
    <w:name w:val="Balloon Text"/>
    <w:basedOn w:val="Normal"/>
    <w:link w:val="BalloonTextChar"/>
    <w:uiPriority w:val="99"/>
    <w:semiHidden/>
    <w:unhideWhenUsed/>
    <w:rsid w:val="00CD7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E0F"/>
    <w:rPr>
      <w:rFonts w:ascii="Segoe UI" w:eastAsia="Times New Roman" w:hAnsi="Segoe UI" w:cs="Segoe UI"/>
      <w:sz w:val="18"/>
      <w:szCs w:val="18"/>
      <w:lang w:val="en-AU" w:eastAsia="en-GB"/>
    </w:rPr>
  </w:style>
  <w:style w:type="paragraph" w:customStyle="1" w:styleId="CERLEVEL1">
    <w:name w:val="CER LEVEL 1"/>
    <w:basedOn w:val="Normal"/>
    <w:next w:val="CERLEVEL2"/>
    <w:qFormat/>
    <w:rsid w:val="00CD7E0F"/>
    <w:pPr>
      <w:keepNext/>
      <w:numPr>
        <w:numId w:val="12"/>
      </w:numPr>
      <w:pBdr>
        <w:top w:val="single" w:sz="4" w:space="1" w:color="auto"/>
        <w:bottom w:val="single" w:sz="4" w:space="1" w:color="auto"/>
      </w:pBdr>
      <w:overflowPunct/>
      <w:autoSpaceDE/>
      <w:autoSpaceDN/>
      <w:adjustRightInd/>
      <w:spacing w:before="240" w:after="120"/>
      <w:jc w:val="center"/>
      <w:outlineLvl w:val="0"/>
    </w:pPr>
    <w:rPr>
      <w:rFonts w:ascii="Arial" w:hAnsi="Arial"/>
      <w:b/>
      <w:caps/>
      <w:sz w:val="28"/>
      <w:szCs w:val="22"/>
      <w:lang w:val="en-US" w:eastAsia="en-US"/>
    </w:rPr>
  </w:style>
  <w:style w:type="paragraph" w:customStyle="1" w:styleId="CERLEVEL2">
    <w:name w:val="CER LEVEL 2"/>
    <w:basedOn w:val="Normal"/>
    <w:qFormat/>
    <w:rsid w:val="00CD7E0F"/>
    <w:pPr>
      <w:keepNext/>
      <w:numPr>
        <w:ilvl w:val="1"/>
        <w:numId w:val="12"/>
      </w:numPr>
      <w:overflowPunct/>
      <w:autoSpaceDE/>
      <w:autoSpaceDN/>
      <w:adjustRightInd/>
      <w:spacing w:before="240" w:after="120"/>
      <w:jc w:val="both"/>
      <w:outlineLvl w:val="1"/>
    </w:pPr>
    <w:rPr>
      <w:rFonts w:ascii="Arial" w:hAnsi="Arial"/>
      <w:b/>
      <w:caps/>
      <w:sz w:val="24"/>
      <w:szCs w:val="22"/>
      <w:lang w:val="en-US" w:eastAsia="en-US"/>
    </w:rPr>
  </w:style>
  <w:style w:type="paragraph" w:customStyle="1" w:styleId="CERLEVEL3">
    <w:name w:val="CER LEVEL 3"/>
    <w:basedOn w:val="Normal"/>
    <w:qFormat/>
    <w:rsid w:val="00CD7E0F"/>
    <w:pPr>
      <w:keepNext/>
      <w:numPr>
        <w:ilvl w:val="2"/>
        <w:numId w:val="12"/>
      </w:numPr>
      <w:overflowPunct/>
      <w:autoSpaceDE/>
      <w:autoSpaceDN/>
      <w:adjustRightInd/>
      <w:spacing w:before="240" w:after="120"/>
      <w:jc w:val="both"/>
      <w:outlineLvl w:val="2"/>
    </w:pPr>
    <w:rPr>
      <w:rFonts w:ascii="Arial" w:hAnsi="Arial"/>
      <w:b/>
      <w:sz w:val="22"/>
      <w:szCs w:val="22"/>
      <w:lang w:val="en-US" w:eastAsia="en-US"/>
    </w:rPr>
  </w:style>
  <w:style w:type="paragraph" w:customStyle="1" w:styleId="CERLEVEL4">
    <w:name w:val="CER LEVEL 4"/>
    <w:basedOn w:val="Normal"/>
    <w:next w:val="CERLEVEL5"/>
    <w:qFormat/>
    <w:rsid w:val="00CD7E0F"/>
    <w:pPr>
      <w:numPr>
        <w:ilvl w:val="3"/>
        <w:numId w:val="12"/>
      </w:numPr>
      <w:overflowPunct/>
      <w:autoSpaceDE/>
      <w:autoSpaceDN/>
      <w:adjustRightInd/>
      <w:spacing w:before="120" w:after="120"/>
      <w:jc w:val="both"/>
    </w:pPr>
    <w:rPr>
      <w:rFonts w:ascii="Arial" w:hAnsi="Arial"/>
      <w:sz w:val="22"/>
      <w:szCs w:val="22"/>
      <w:lang w:val="en-US" w:eastAsia="en-US"/>
    </w:rPr>
  </w:style>
  <w:style w:type="paragraph" w:customStyle="1" w:styleId="CERLEVEL5">
    <w:name w:val="CER LEVEL 5"/>
    <w:basedOn w:val="Normal"/>
    <w:rsid w:val="00CD7E0F"/>
    <w:pPr>
      <w:numPr>
        <w:ilvl w:val="4"/>
        <w:numId w:val="12"/>
      </w:numPr>
      <w:overflowPunct/>
      <w:autoSpaceDE/>
      <w:autoSpaceDN/>
      <w:adjustRightInd/>
      <w:spacing w:before="120" w:after="120"/>
      <w:jc w:val="both"/>
    </w:pPr>
    <w:rPr>
      <w:rFonts w:ascii="Arial" w:hAnsi="Arial"/>
      <w:sz w:val="22"/>
      <w:szCs w:val="22"/>
      <w:lang w:val="en-US" w:eastAsia="en-US"/>
    </w:rPr>
  </w:style>
  <w:style w:type="paragraph" w:customStyle="1" w:styleId="CERLEVEL6">
    <w:name w:val="CER LEVEL 6"/>
    <w:basedOn w:val="Normal"/>
    <w:qFormat/>
    <w:rsid w:val="00CD7E0F"/>
    <w:pPr>
      <w:numPr>
        <w:ilvl w:val="5"/>
        <w:numId w:val="12"/>
      </w:numPr>
      <w:overflowPunct/>
      <w:autoSpaceDE/>
      <w:autoSpaceDN/>
      <w:adjustRightInd/>
      <w:spacing w:before="120" w:after="120"/>
      <w:jc w:val="both"/>
    </w:pPr>
    <w:rPr>
      <w:rFonts w:ascii="Arial" w:hAnsi="Arial"/>
      <w:sz w:val="22"/>
      <w:szCs w:val="22"/>
      <w:lang w:val="en-US" w:eastAsia="en-US"/>
    </w:rPr>
  </w:style>
  <w:style w:type="paragraph" w:customStyle="1" w:styleId="CERLEVEL7">
    <w:name w:val="CER LEVEL 7"/>
    <w:basedOn w:val="Normal"/>
    <w:qFormat/>
    <w:rsid w:val="00CD7E0F"/>
    <w:pPr>
      <w:numPr>
        <w:ilvl w:val="6"/>
        <w:numId w:val="12"/>
      </w:numPr>
      <w:overflowPunct/>
      <w:autoSpaceDE/>
      <w:autoSpaceDN/>
      <w:adjustRightInd/>
      <w:spacing w:before="120" w:after="120"/>
      <w:jc w:val="both"/>
    </w:pPr>
    <w:rPr>
      <w:rFonts w:ascii="Arial" w:hAnsi="Arial"/>
      <w:sz w:val="22"/>
      <w:szCs w:val="22"/>
      <w:lang w:val="en-US" w:eastAsia="en-US"/>
    </w:rPr>
  </w:style>
  <w:style w:type="paragraph" w:customStyle="1" w:styleId="CERLevel50">
    <w:name w:val="CER Level 5"/>
    <w:basedOn w:val="CERLEVEL5"/>
    <w:link w:val="CERLevel5Char"/>
    <w:qFormat/>
    <w:rsid w:val="00CD7E0F"/>
    <w:rPr>
      <w:lang w:val="en-IE"/>
    </w:rPr>
  </w:style>
  <w:style w:type="paragraph" w:customStyle="1" w:styleId="CERLevel8">
    <w:name w:val="CER Level 8"/>
    <w:basedOn w:val="CERLEVEL7"/>
    <w:qFormat/>
    <w:rsid w:val="00CD7E0F"/>
    <w:pPr>
      <w:numPr>
        <w:ilvl w:val="8"/>
      </w:numPr>
    </w:pPr>
  </w:style>
  <w:style w:type="character" w:customStyle="1" w:styleId="CERLevel5Char">
    <w:name w:val="CER Level 5 Char"/>
    <w:basedOn w:val="DefaultParagraphFont"/>
    <w:link w:val="CERLevel50"/>
    <w:rsid w:val="00CD7E0F"/>
    <w:rPr>
      <w:rFonts w:ascii="Arial" w:eastAsia="Times New Roman" w:hAnsi="Arial" w:cs="Times New Roman"/>
      <w:lang w:val="en-IE"/>
    </w:rPr>
  </w:style>
  <w:style w:type="table" w:styleId="TableGrid">
    <w:name w:val="Table Grid"/>
    <w:basedOn w:val="TableNormal"/>
    <w:uiPriority w:val="59"/>
    <w:rsid w:val="00065317"/>
    <w:pPr>
      <w:spacing w:before="200" w:after="0" w:line="240" w:lineRule="auto"/>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065317"/>
    <w:pPr>
      <w:numPr>
        <w:numId w:val="16"/>
      </w:numPr>
    </w:pPr>
  </w:style>
  <w:style w:type="paragraph" w:styleId="CommentSubject">
    <w:name w:val="annotation subject"/>
    <w:basedOn w:val="CommentText"/>
    <w:next w:val="CommentText"/>
    <w:link w:val="CommentSubjectChar"/>
    <w:uiPriority w:val="99"/>
    <w:semiHidden/>
    <w:unhideWhenUsed/>
    <w:rsid w:val="00167467"/>
    <w:rPr>
      <w:b/>
      <w:bCs/>
    </w:rPr>
  </w:style>
  <w:style w:type="character" w:customStyle="1" w:styleId="CommentSubjectChar">
    <w:name w:val="Comment Subject Char"/>
    <w:basedOn w:val="CommentTextChar"/>
    <w:link w:val="CommentSubject"/>
    <w:uiPriority w:val="99"/>
    <w:semiHidden/>
    <w:rsid w:val="00167467"/>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0A727B"/>
    <w:pPr>
      <w:tabs>
        <w:tab w:val="center" w:pos="4513"/>
        <w:tab w:val="right" w:pos="9026"/>
      </w:tabs>
    </w:pPr>
  </w:style>
  <w:style w:type="character" w:customStyle="1" w:styleId="HeaderChar">
    <w:name w:val="Header Char"/>
    <w:basedOn w:val="DefaultParagraphFont"/>
    <w:link w:val="Header"/>
    <w:uiPriority w:val="99"/>
    <w:rsid w:val="000A727B"/>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0A727B"/>
    <w:pPr>
      <w:tabs>
        <w:tab w:val="center" w:pos="4513"/>
        <w:tab w:val="right" w:pos="9026"/>
      </w:tabs>
    </w:pPr>
  </w:style>
  <w:style w:type="character" w:customStyle="1" w:styleId="FooterChar">
    <w:name w:val="Footer Char"/>
    <w:basedOn w:val="DefaultParagraphFont"/>
    <w:link w:val="Footer"/>
    <w:uiPriority w:val="99"/>
    <w:rsid w:val="000A727B"/>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3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stuar\AppData\Local\Temp\CMC_09_19-SupplementaryInterimSecondarytradingv2.docx" TargetMode="External"/><Relationship Id="rId4" Type="http://schemas.openxmlformats.org/officeDocument/2006/relationships/settings" Target="settings.xml"/><Relationship Id="rId9" Type="http://schemas.openxmlformats.org/officeDocument/2006/relationships/hyperlink" Target="file:///C:\Users\stuar\AppData\Local\Temp\CMC_09_19-SupplementaryInterimSecondarytradingv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Ffoulkes</dc:creator>
  <cp:lastModifiedBy>Linnane, Sandra</cp:lastModifiedBy>
  <cp:revision>2</cp:revision>
  <dcterms:created xsi:type="dcterms:W3CDTF">2021-01-18T16:26:00Z</dcterms:created>
  <dcterms:modified xsi:type="dcterms:W3CDTF">2021-01-18T16:26:00Z</dcterms:modified>
</cp:coreProperties>
</file>