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DB25D7" w:rsidRDefault="00DB25D7" w:rsidP="00693AA7">
            <w:pPr>
              <w:jc w:val="center"/>
              <w:rPr>
                <w:rFonts w:ascii="Calibri" w:hAnsi="Calibri" w:cs="Arial"/>
                <w:b/>
                <w:lang w:val="en-IE"/>
              </w:rPr>
            </w:pPr>
          </w:p>
          <w:p w:rsidR="004C53E7" w:rsidRPr="004C53E7" w:rsidRDefault="001F76A8" w:rsidP="00693AA7">
            <w:pPr>
              <w:jc w:val="center"/>
              <w:rPr>
                <w:rFonts w:ascii="Calibri" w:hAnsi="Calibri" w:cs="Arial"/>
                <w:b/>
                <w:lang w:val="en-IE"/>
              </w:rPr>
            </w:pPr>
            <w:r w:rsidRPr="001F76A8">
              <w:rPr>
                <w:rFonts w:ascii="Calibri" w:hAnsi="Calibri" w:cs="Arial"/>
                <w:b/>
                <w:lang w:val="en-IE"/>
              </w:rPr>
              <w:t>Aughinish Alumina Ltd</w:t>
            </w:r>
          </w:p>
        </w:tc>
        <w:tc>
          <w:tcPr>
            <w:tcW w:w="2533" w:type="dxa"/>
            <w:gridSpan w:val="2"/>
            <w:vAlign w:val="center"/>
          </w:tcPr>
          <w:p w:rsidR="004C53E7" w:rsidRPr="004C53E7" w:rsidRDefault="00476201" w:rsidP="00693AA7">
            <w:pPr>
              <w:jc w:val="center"/>
              <w:rPr>
                <w:rFonts w:ascii="Calibri" w:hAnsi="Calibri" w:cs="Arial"/>
                <w:b/>
                <w:lang w:val="en-IE"/>
              </w:rPr>
            </w:pPr>
            <w:r>
              <w:rPr>
                <w:rFonts w:ascii="Calibri" w:hAnsi="Calibri" w:cs="Arial"/>
                <w:b/>
                <w:lang w:val="en-IE"/>
              </w:rPr>
              <w:t>26 May 2017</w:t>
            </w:r>
          </w:p>
        </w:tc>
        <w:tc>
          <w:tcPr>
            <w:tcW w:w="2311" w:type="dxa"/>
            <w:gridSpan w:val="2"/>
            <w:vAlign w:val="center"/>
          </w:tcPr>
          <w:p w:rsidR="00DB25D7" w:rsidRDefault="00DB25D7" w:rsidP="00693AA7">
            <w:pPr>
              <w:jc w:val="center"/>
              <w:rPr>
                <w:rFonts w:ascii="Calibri" w:hAnsi="Calibri" w:cs="Arial"/>
                <w:b/>
                <w:lang w:val="en-IE"/>
              </w:rPr>
            </w:pPr>
          </w:p>
          <w:p w:rsidR="004C53E7" w:rsidRPr="004C53E7" w:rsidRDefault="004C53E7" w:rsidP="001A46E0">
            <w:pPr>
              <w:jc w:val="center"/>
              <w:rPr>
                <w:rFonts w:ascii="Calibri" w:hAnsi="Calibri" w:cs="Arial"/>
                <w:b/>
                <w:lang w:val="en-IE"/>
              </w:rPr>
            </w:pPr>
            <w:r w:rsidRPr="004C53E7">
              <w:rPr>
                <w:rFonts w:ascii="Calibri" w:hAnsi="Calibri" w:cs="Arial"/>
                <w:b/>
                <w:lang w:val="en-IE"/>
              </w:rPr>
              <w:t>Urgent</w:t>
            </w:r>
          </w:p>
        </w:tc>
        <w:tc>
          <w:tcPr>
            <w:tcW w:w="2311" w:type="dxa"/>
            <w:vAlign w:val="center"/>
          </w:tcPr>
          <w:p w:rsidR="004C53E7" w:rsidRPr="004C53E7" w:rsidRDefault="00476201" w:rsidP="00693AA7">
            <w:pPr>
              <w:jc w:val="center"/>
              <w:rPr>
                <w:rFonts w:ascii="Calibri" w:hAnsi="Calibri" w:cs="Arial"/>
                <w:b/>
                <w:lang w:val="en-IE"/>
              </w:rPr>
            </w:pPr>
            <w:r>
              <w:rPr>
                <w:rFonts w:ascii="Calibri" w:hAnsi="Calibri" w:cs="Arial"/>
                <w:b/>
                <w:lang w:val="en-IE"/>
              </w:rPr>
              <w:t>Mod_03_17</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CB47AC" w:rsidRPr="004C53E7" w:rsidTr="00693AA7">
        <w:tc>
          <w:tcPr>
            <w:tcW w:w="2943" w:type="dxa"/>
            <w:gridSpan w:val="2"/>
            <w:vAlign w:val="center"/>
          </w:tcPr>
          <w:p w:rsidR="00DB25D7" w:rsidRDefault="00DB25D7" w:rsidP="00CB47AC">
            <w:pPr>
              <w:rPr>
                <w:rFonts w:ascii="Calibri" w:hAnsi="Calibri" w:cs="Arial"/>
                <w:b/>
                <w:lang w:val="en-IE"/>
              </w:rPr>
            </w:pPr>
          </w:p>
          <w:p w:rsidR="00CB47AC" w:rsidRPr="004C53E7" w:rsidRDefault="00CB47AC" w:rsidP="00CB47AC">
            <w:pPr>
              <w:rPr>
                <w:rFonts w:ascii="Calibri" w:hAnsi="Calibri" w:cs="Arial"/>
                <w:b/>
                <w:lang w:val="en-IE"/>
              </w:rPr>
            </w:pPr>
            <w:r>
              <w:rPr>
                <w:rFonts w:ascii="Calibri" w:hAnsi="Calibri" w:cs="Arial"/>
                <w:b/>
                <w:lang w:val="en-IE"/>
              </w:rPr>
              <w:t>Thomas O’Sullivan</w:t>
            </w:r>
          </w:p>
        </w:tc>
        <w:tc>
          <w:tcPr>
            <w:tcW w:w="2925" w:type="dxa"/>
            <w:gridSpan w:val="2"/>
            <w:vAlign w:val="center"/>
          </w:tcPr>
          <w:p w:rsidR="00DB25D7" w:rsidRDefault="00DB25D7" w:rsidP="00CB47AC">
            <w:pPr>
              <w:rPr>
                <w:rFonts w:ascii="Calibri" w:hAnsi="Calibri" w:cs="Arial"/>
                <w:b/>
                <w:lang w:val="en-IE"/>
              </w:rPr>
            </w:pPr>
          </w:p>
          <w:p w:rsidR="00CB47AC" w:rsidRPr="004C53E7" w:rsidRDefault="00CB47AC" w:rsidP="00CB47AC">
            <w:pPr>
              <w:rPr>
                <w:rFonts w:ascii="Calibri" w:hAnsi="Calibri" w:cs="Arial"/>
                <w:b/>
                <w:lang w:val="en-IE"/>
              </w:rPr>
            </w:pPr>
            <w:r>
              <w:rPr>
                <w:rFonts w:ascii="Calibri" w:hAnsi="Calibri" w:cs="Arial"/>
                <w:b/>
                <w:lang w:val="en-IE"/>
              </w:rPr>
              <w:t>+353 61 604473</w:t>
            </w:r>
          </w:p>
        </w:tc>
        <w:tc>
          <w:tcPr>
            <w:tcW w:w="3375" w:type="dxa"/>
            <w:gridSpan w:val="2"/>
            <w:vAlign w:val="center"/>
          </w:tcPr>
          <w:p w:rsidR="00DB25D7" w:rsidRDefault="00DB25D7" w:rsidP="00CB47AC"/>
          <w:p w:rsidR="00CB47AC" w:rsidRPr="004C53E7" w:rsidRDefault="007E7904" w:rsidP="00CB47AC">
            <w:pPr>
              <w:rPr>
                <w:rFonts w:ascii="Calibri" w:hAnsi="Calibri" w:cs="Arial"/>
                <w:b/>
                <w:lang w:val="en-IE"/>
              </w:rPr>
            </w:pPr>
            <w:hyperlink r:id="rId9" w:history="1">
              <w:r w:rsidR="00CB47AC" w:rsidRPr="00DA68DE">
                <w:rPr>
                  <w:rStyle w:val="Hyperlink"/>
                  <w:rFonts w:ascii="Calibri" w:hAnsi="Calibri" w:cs="Arial"/>
                  <w:b/>
                  <w:lang w:val="en-IE"/>
                </w:rPr>
                <w:t>Thomas.osullivan@augh.com</w:t>
              </w:r>
            </w:hyperlink>
          </w:p>
        </w:tc>
      </w:tr>
      <w:tr w:rsidR="00CB47AC" w:rsidRPr="004C53E7" w:rsidTr="00D74B02">
        <w:trPr>
          <w:trHeight w:val="327"/>
        </w:trPr>
        <w:tc>
          <w:tcPr>
            <w:tcW w:w="9243" w:type="dxa"/>
            <w:gridSpan w:val="6"/>
            <w:shd w:val="clear" w:color="auto" w:fill="C6D9F1"/>
            <w:vAlign w:val="center"/>
          </w:tcPr>
          <w:p w:rsidR="00CB47AC" w:rsidRPr="004C53E7" w:rsidRDefault="00CB47AC" w:rsidP="00CB47AC">
            <w:pPr>
              <w:jc w:val="center"/>
              <w:rPr>
                <w:rFonts w:ascii="Calibri" w:hAnsi="Calibri" w:cs="Arial"/>
                <w:b/>
                <w:bCs/>
                <w:lang w:val="en-IE"/>
              </w:rPr>
            </w:pPr>
            <w:r w:rsidRPr="004C53E7">
              <w:rPr>
                <w:rFonts w:ascii="Calibri" w:hAnsi="Calibri" w:cs="Arial"/>
                <w:b/>
                <w:bCs/>
                <w:lang w:val="en-IE"/>
              </w:rPr>
              <w:t>Modification Proposal Title</w:t>
            </w:r>
          </w:p>
        </w:tc>
      </w:tr>
      <w:tr w:rsidR="00CB47AC" w:rsidRPr="004C53E7" w:rsidTr="00693AA7">
        <w:trPr>
          <w:trHeight w:val="323"/>
        </w:trPr>
        <w:tc>
          <w:tcPr>
            <w:tcW w:w="9243" w:type="dxa"/>
            <w:gridSpan w:val="6"/>
            <w:vAlign w:val="center"/>
          </w:tcPr>
          <w:p w:rsidR="00DB25D7" w:rsidRPr="001A46E0" w:rsidRDefault="00DB25D7" w:rsidP="001A46E0">
            <w:pPr>
              <w:pStyle w:val="NoSpacing"/>
              <w:rPr>
                <w:b/>
                <w:lang w:val="en-IE"/>
              </w:rPr>
            </w:pPr>
          </w:p>
          <w:p w:rsidR="00CB47AC" w:rsidRPr="004C53E7" w:rsidRDefault="00A82970" w:rsidP="001A46E0">
            <w:pPr>
              <w:pStyle w:val="NoSpacing"/>
              <w:rPr>
                <w:lang w:val="en-IE"/>
              </w:rPr>
            </w:pPr>
            <w:r w:rsidRPr="001A46E0">
              <w:rPr>
                <w:b/>
                <w:lang w:val="en-IE"/>
              </w:rPr>
              <w:t xml:space="preserve">Treatment of </w:t>
            </w:r>
            <w:r w:rsidR="00CB47AC" w:rsidRPr="001A46E0">
              <w:rPr>
                <w:b/>
                <w:lang w:val="en-IE"/>
              </w:rPr>
              <w:t xml:space="preserve"> Transmission Losses for </w:t>
            </w:r>
            <w:r w:rsidRPr="001A46E0">
              <w:rPr>
                <w:b/>
                <w:lang w:val="en-IE"/>
              </w:rPr>
              <w:t xml:space="preserve">Trading Sites with </w:t>
            </w:r>
            <w:r w:rsidR="00CB47AC" w:rsidRPr="001A46E0">
              <w:rPr>
                <w:b/>
                <w:lang w:val="en-IE"/>
              </w:rPr>
              <w:t xml:space="preserve">Contiguous </w:t>
            </w:r>
            <w:r w:rsidR="00CB47AC" w:rsidRPr="001A46E0">
              <w:rPr>
                <w:b/>
                <w:noProof/>
                <w:lang w:val="en-IE"/>
              </w:rPr>
              <w:t>Autoproducers</w:t>
            </w:r>
            <w:r w:rsidRPr="001A46E0">
              <w:rPr>
                <w:b/>
                <w:noProof/>
                <w:lang w:val="en-IE"/>
              </w:rPr>
              <w:t xml:space="preserve"> in I-SEM</w:t>
            </w:r>
          </w:p>
        </w:tc>
      </w:tr>
      <w:tr w:rsidR="00CB47AC" w:rsidRPr="004C53E7" w:rsidTr="00D74B02">
        <w:tc>
          <w:tcPr>
            <w:tcW w:w="2943" w:type="dxa"/>
            <w:gridSpan w:val="2"/>
            <w:shd w:val="clear" w:color="auto" w:fill="C6D9F1"/>
            <w:vAlign w:val="center"/>
          </w:tcPr>
          <w:p w:rsidR="00CB47AC" w:rsidRPr="004C53E7" w:rsidRDefault="00CB47AC" w:rsidP="00CB47AC">
            <w:pPr>
              <w:jc w:val="center"/>
              <w:rPr>
                <w:rFonts w:ascii="Calibri" w:hAnsi="Calibri" w:cs="Arial"/>
                <w:b/>
                <w:bCs/>
                <w:lang w:val="en-IE"/>
              </w:rPr>
            </w:pPr>
            <w:r w:rsidRPr="004C53E7">
              <w:rPr>
                <w:rFonts w:ascii="Calibri" w:hAnsi="Calibri" w:cs="Arial"/>
                <w:b/>
                <w:bCs/>
                <w:lang w:val="en-IE"/>
              </w:rPr>
              <w:t>Documents affected</w:t>
            </w:r>
          </w:p>
          <w:p w:rsidR="00CB47AC" w:rsidRPr="004C53E7" w:rsidRDefault="00CB47AC" w:rsidP="00CB47A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CB47AC" w:rsidRPr="004C53E7" w:rsidRDefault="00CB47AC" w:rsidP="00CB47A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CB47AC" w:rsidRPr="004C53E7" w:rsidRDefault="00CB47AC" w:rsidP="00CB47AC">
            <w:pPr>
              <w:jc w:val="center"/>
              <w:rPr>
                <w:rStyle w:val="IntenseEmphasis"/>
                <w:lang w:val="en-IE"/>
              </w:rPr>
            </w:pPr>
            <w:r w:rsidRPr="004C53E7">
              <w:rPr>
                <w:rFonts w:ascii="Calibri" w:hAnsi="Calibri" w:cs="Arial"/>
                <w:b/>
                <w:lang w:val="en-IE"/>
              </w:rPr>
              <w:t>Version number of T&amp;SC or AP used in Drafting</w:t>
            </w:r>
          </w:p>
        </w:tc>
      </w:tr>
      <w:tr w:rsidR="00CB47AC" w:rsidRPr="004C53E7" w:rsidTr="00693AA7">
        <w:tc>
          <w:tcPr>
            <w:tcW w:w="2943" w:type="dxa"/>
            <w:gridSpan w:val="2"/>
            <w:shd w:val="clear" w:color="auto" w:fill="FFFFFF"/>
            <w:vAlign w:val="center"/>
          </w:tcPr>
          <w:p w:rsidR="00860F43" w:rsidRDefault="00860F43" w:rsidP="00860F43">
            <w:pPr>
              <w:jc w:val="center"/>
              <w:rPr>
                <w:rFonts w:ascii="Calibri" w:hAnsi="Calibri" w:cs="Arial"/>
                <w:b/>
                <w:lang w:val="en-IE"/>
              </w:rPr>
            </w:pPr>
          </w:p>
          <w:p w:rsidR="00CB47AC" w:rsidRPr="004C53E7" w:rsidDel="00476388" w:rsidRDefault="00CB47AC" w:rsidP="00860F43">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vAlign w:val="center"/>
          </w:tcPr>
          <w:p w:rsidR="00860F43" w:rsidRDefault="00860F43" w:rsidP="00CB47AC">
            <w:pPr>
              <w:jc w:val="center"/>
              <w:rPr>
                <w:rFonts w:ascii="Calibri" w:hAnsi="Calibri" w:cs="Arial"/>
                <w:b/>
                <w:lang w:val="en-IE"/>
              </w:rPr>
            </w:pPr>
          </w:p>
          <w:p w:rsidR="00CB47AC" w:rsidRPr="004C53E7" w:rsidRDefault="00CB47AC" w:rsidP="00CB47AC">
            <w:pPr>
              <w:jc w:val="center"/>
              <w:rPr>
                <w:rFonts w:ascii="Calibri" w:hAnsi="Calibri" w:cs="Arial"/>
                <w:b/>
                <w:lang w:val="en-IE"/>
              </w:rPr>
            </w:pPr>
            <w:r w:rsidRPr="00CB47AC">
              <w:rPr>
                <w:rFonts w:ascii="Calibri" w:hAnsi="Calibri" w:cs="Arial"/>
                <w:b/>
                <w:lang w:val="en-IE"/>
              </w:rPr>
              <w:t>ISEM TSC F.4,</w:t>
            </w:r>
          </w:p>
        </w:tc>
        <w:tc>
          <w:tcPr>
            <w:tcW w:w="3375" w:type="dxa"/>
            <w:gridSpan w:val="2"/>
            <w:vAlign w:val="center"/>
          </w:tcPr>
          <w:p w:rsidR="00860F43" w:rsidRDefault="00860F43" w:rsidP="00CB47AC">
            <w:pPr>
              <w:jc w:val="center"/>
              <w:rPr>
                <w:rFonts w:ascii="Calibri" w:hAnsi="Calibri" w:cs="Arial"/>
                <w:b/>
                <w:lang w:val="en-IE"/>
              </w:rPr>
            </w:pPr>
          </w:p>
          <w:p w:rsidR="00CB47AC" w:rsidRPr="004C53E7" w:rsidRDefault="00CB47AC" w:rsidP="00CB47AC">
            <w:pPr>
              <w:jc w:val="center"/>
              <w:rPr>
                <w:rFonts w:ascii="Calibri" w:hAnsi="Calibri" w:cs="Arial"/>
                <w:b/>
                <w:lang w:val="en-IE"/>
              </w:rPr>
            </w:pPr>
            <w:r w:rsidRPr="002165B8">
              <w:rPr>
                <w:rFonts w:ascii="Calibri" w:hAnsi="Calibri" w:cs="Arial"/>
                <w:b/>
                <w:lang w:val="en-IE"/>
              </w:rPr>
              <w:t>SEM-17-024</w:t>
            </w:r>
            <w:r>
              <w:rPr>
                <w:rFonts w:ascii="Calibri" w:hAnsi="Calibri" w:cs="Arial"/>
                <w:b/>
                <w:lang w:val="en-IE"/>
              </w:rPr>
              <w:t xml:space="preserve"> April 12</w:t>
            </w:r>
            <w:r w:rsidRPr="002165B8">
              <w:rPr>
                <w:rFonts w:ascii="Calibri" w:hAnsi="Calibri" w:cs="Arial"/>
                <w:b/>
                <w:vertAlign w:val="superscript"/>
                <w:lang w:val="en-IE"/>
              </w:rPr>
              <w:t>th</w:t>
            </w:r>
            <w:r>
              <w:rPr>
                <w:rFonts w:ascii="Calibri" w:hAnsi="Calibri" w:cs="Arial"/>
                <w:b/>
                <w:lang w:val="en-IE"/>
              </w:rPr>
              <w:t xml:space="preserve"> 2017</w:t>
            </w:r>
          </w:p>
        </w:tc>
      </w:tr>
      <w:tr w:rsidR="00CB47AC" w:rsidRPr="004C53E7" w:rsidTr="00D74B02">
        <w:trPr>
          <w:trHeight w:val="375"/>
        </w:trPr>
        <w:tc>
          <w:tcPr>
            <w:tcW w:w="9243" w:type="dxa"/>
            <w:gridSpan w:val="6"/>
            <w:shd w:val="clear" w:color="auto" w:fill="C6D9F1"/>
            <w:vAlign w:val="center"/>
          </w:tcPr>
          <w:p w:rsidR="00CB47AC" w:rsidRPr="004C53E7" w:rsidRDefault="00CB47AC" w:rsidP="00CB47AC">
            <w:pPr>
              <w:jc w:val="center"/>
              <w:rPr>
                <w:rFonts w:ascii="Calibri" w:hAnsi="Calibri" w:cs="Arial"/>
                <w:b/>
                <w:bCs/>
                <w:lang w:val="en-IE"/>
              </w:rPr>
            </w:pPr>
            <w:r w:rsidRPr="004C53E7">
              <w:rPr>
                <w:rFonts w:ascii="Calibri" w:hAnsi="Calibri" w:cs="Arial"/>
                <w:b/>
                <w:bCs/>
                <w:lang w:val="en-IE"/>
              </w:rPr>
              <w:t>Explanation of Proposed Change</w:t>
            </w:r>
          </w:p>
          <w:p w:rsidR="00CB47AC" w:rsidRPr="004C53E7" w:rsidRDefault="00CB47AC" w:rsidP="00CB47AC">
            <w:pPr>
              <w:jc w:val="center"/>
              <w:rPr>
                <w:rFonts w:ascii="Calibri" w:hAnsi="Calibri" w:cs="Arial"/>
                <w:lang w:val="en-IE"/>
              </w:rPr>
            </w:pPr>
            <w:r w:rsidRPr="004C53E7">
              <w:rPr>
                <w:rFonts w:ascii="Calibri" w:hAnsi="Calibri"/>
                <w:i/>
                <w:spacing w:val="-3"/>
                <w:lang w:val="en-IE"/>
              </w:rPr>
              <w:t>(mandatory by originator)</w:t>
            </w:r>
          </w:p>
        </w:tc>
      </w:tr>
      <w:tr w:rsidR="00CB47AC" w:rsidRPr="004C53E7" w:rsidTr="00693AA7">
        <w:trPr>
          <w:trHeight w:val="467"/>
        </w:trPr>
        <w:tc>
          <w:tcPr>
            <w:tcW w:w="9243" w:type="dxa"/>
            <w:gridSpan w:val="6"/>
            <w:vAlign w:val="center"/>
          </w:tcPr>
          <w:p w:rsidR="00CB47AC" w:rsidRDefault="00CB47AC" w:rsidP="00CB47AC">
            <w:pPr>
              <w:rPr>
                <w:rFonts w:ascii="Calibri" w:hAnsi="Calibri" w:cs="Arial"/>
                <w:lang w:val="en-IE"/>
              </w:rPr>
            </w:pPr>
          </w:p>
          <w:p w:rsidR="00CB47AC" w:rsidRPr="0049532B" w:rsidRDefault="00CB47AC" w:rsidP="00CB47AC">
            <w:pPr>
              <w:rPr>
                <w:rFonts w:ascii="Calibri" w:hAnsi="Calibri" w:cs="Arial"/>
                <w:b/>
                <w:u w:val="single"/>
                <w:lang w:val="en-IE"/>
              </w:rPr>
            </w:pPr>
            <w:r w:rsidRPr="0049532B">
              <w:rPr>
                <w:rFonts w:ascii="Calibri" w:hAnsi="Calibri" w:cs="Arial"/>
                <w:b/>
                <w:u w:val="single"/>
                <w:lang w:val="en-IE"/>
              </w:rPr>
              <w:t xml:space="preserve">Existing </w:t>
            </w:r>
            <w:r w:rsidR="00A82970" w:rsidRPr="0049532B">
              <w:rPr>
                <w:rFonts w:ascii="Calibri" w:hAnsi="Calibri" w:cs="Arial"/>
                <w:b/>
                <w:u w:val="single"/>
                <w:lang w:val="en-IE"/>
              </w:rPr>
              <w:t>Treatment of Losses in the SEM</w:t>
            </w:r>
            <w:r w:rsidRPr="0049532B">
              <w:rPr>
                <w:rFonts w:ascii="Calibri" w:hAnsi="Calibri" w:cs="Arial"/>
                <w:b/>
                <w:u w:val="single"/>
                <w:lang w:val="en-IE"/>
              </w:rPr>
              <w:t>:</w:t>
            </w:r>
          </w:p>
          <w:p w:rsidR="00CB47AC" w:rsidRDefault="00CB47AC" w:rsidP="00CB47AC">
            <w:pPr>
              <w:rPr>
                <w:rFonts w:ascii="Calibri" w:hAnsi="Calibri" w:cs="Arial"/>
                <w:lang w:val="en-IE"/>
              </w:rPr>
            </w:pPr>
            <w:r w:rsidRPr="00DD400E">
              <w:rPr>
                <w:rFonts w:ascii="Calibri" w:hAnsi="Calibri" w:cs="Arial"/>
                <w:lang w:val="en-IE"/>
              </w:rPr>
              <w:t>In the SEM a Netting Generator Unit (NGU) is used as part of the settlement</w:t>
            </w:r>
            <w:r w:rsidR="00A82970">
              <w:rPr>
                <w:rFonts w:ascii="Calibri" w:hAnsi="Calibri" w:cs="Arial"/>
                <w:lang w:val="en-IE"/>
              </w:rPr>
              <w:t xml:space="preserve"> calculation</w:t>
            </w:r>
            <w:r w:rsidRPr="00DD400E">
              <w:rPr>
                <w:rFonts w:ascii="Calibri" w:hAnsi="Calibri" w:cs="Arial"/>
                <w:lang w:val="en-IE"/>
              </w:rPr>
              <w:t xml:space="preserve"> of the Aughinish </w:t>
            </w:r>
            <w:r w:rsidR="00A82970">
              <w:rPr>
                <w:rFonts w:ascii="Calibri" w:hAnsi="Calibri" w:cs="Arial"/>
                <w:lang w:val="en-IE"/>
              </w:rPr>
              <w:t>Trading S</w:t>
            </w:r>
            <w:r w:rsidR="00A82970" w:rsidRPr="00DD400E">
              <w:rPr>
                <w:rFonts w:ascii="Calibri" w:hAnsi="Calibri" w:cs="Arial"/>
                <w:lang w:val="en-IE"/>
              </w:rPr>
              <w:t xml:space="preserve">ite </w:t>
            </w:r>
            <w:r w:rsidRPr="00DD400E">
              <w:rPr>
                <w:rFonts w:ascii="Calibri" w:hAnsi="Calibri" w:cs="Arial"/>
                <w:lang w:val="en-IE"/>
              </w:rPr>
              <w:t xml:space="preserve">as a contiguous Autoproducer. The Aughinish transmission losses </w:t>
            </w:r>
            <w:proofErr w:type="gramStart"/>
            <w:r w:rsidRPr="00DD400E">
              <w:rPr>
                <w:rFonts w:ascii="Calibri" w:hAnsi="Calibri" w:cs="Arial"/>
                <w:lang w:val="en-IE"/>
              </w:rPr>
              <w:t>are applied</w:t>
            </w:r>
            <w:proofErr w:type="gramEnd"/>
            <w:r w:rsidRPr="00DD400E">
              <w:rPr>
                <w:rFonts w:ascii="Calibri" w:hAnsi="Calibri" w:cs="Arial"/>
                <w:lang w:val="en-IE"/>
              </w:rPr>
              <w:t xml:space="preserve"> to the</w:t>
            </w:r>
            <w:r w:rsidR="00A82970">
              <w:rPr>
                <w:rFonts w:ascii="Calibri" w:hAnsi="Calibri" w:cs="Arial"/>
                <w:lang w:val="en-IE"/>
              </w:rPr>
              <w:t xml:space="preserve"> net</w:t>
            </w:r>
            <w:r w:rsidRPr="00DD400E">
              <w:rPr>
                <w:rFonts w:ascii="Calibri" w:hAnsi="Calibri" w:cs="Arial"/>
                <w:lang w:val="en-IE"/>
              </w:rPr>
              <w:t xml:space="preserve"> power exported from </w:t>
            </w:r>
            <w:r w:rsidR="00A82970">
              <w:rPr>
                <w:rFonts w:ascii="Calibri" w:hAnsi="Calibri" w:cs="Arial"/>
                <w:lang w:val="en-IE"/>
              </w:rPr>
              <w:t xml:space="preserve">the </w:t>
            </w:r>
            <w:r w:rsidRPr="00DD400E">
              <w:rPr>
                <w:rFonts w:ascii="Calibri" w:hAnsi="Calibri" w:cs="Arial"/>
                <w:lang w:val="en-IE"/>
              </w:rPr>
              <w:t>site to give a comparable situation to</w:t>
            </w:r>
            <w:r w:rsidR="00DB25D7">
              <w:rPr>
                <w:rFonts w:ascii="Calibri" w:hAnsi="Calibri" w:cs="Arial"/>
                <w:lang w:val="en-IE"/>
              </w:rPr>
              <w:t xml:space="preserve"> a</w:t>
            </w:r>
            <w:r w:rsidRPr="00DD400E">
              <w:rPr>
                <w:rFonts w:ascii="Calibri" w:hAnsi="Calibri" w:cs="Arial"/>
                <w:lang w:val="en-IE"/>
              </w:rPr>
              <w:t xml:space="preserve"> </w:t>
            </w:r>
            <w:r w:rsidRPr="00DB25D7">
              <w:rPr>
                <w:rFonts w:ascii="Calibri" w:hAnsi="Calibri" w:cs="Arial"/>
                <w:noProof/>
                <w:lang w:val="en-IE"/>
              </w:rPr>
              <w:t>generat</w:t>
            </w:r>
            <w:r w:rsidR="00DB25D7">
              <w:rPr>
                <w:rFonts w:ascii="Calibri" w:hAnsi="Calibri" w:cs="Arial"/>
                <w:noProof/>
                <w:lang w:val="en-IE"/>
              </w:rPr>
              <w:t>or</w:t>
            </w:r>
            <w:r w:rsidRPr="00DD400E">
              <w:rPr>
                <w:rFonts w:ascii="Calibri" w:hAnsi="Calibri" w:cs="Arial"/>
                <w:lang w:val="en-IE"/>
              </w:rPr>
              <w:t xml:space="preserve"> that is all located behind the one meter. Losses </w:t>
            </w:r>
            <w:proofErr w:type="gramStart"/>
            <w:r w:rsidRPr="00DD400E">
              <w:rPr>
                <w:rFonts w:ascii="Calibri" w:hAnsi="Calibri" w:cs="Arial"/>
                <w:lang w:val="en-IE"/>
              </w:rPr>
              <w:t xml:space="preserve">are </w:t>
            </w:r>
            <w:r w:rsidRPr="0024000F">
              <w:rPr>
                <w:rFonts w:ascii="Calibri" w:hAnsi="Calibri" w:cs="Arial"/>
                <w:u w:val="single"/>
                <w:lang w:val="en-IE"/>
              </w:rPr>
              <w:t>not</w:t>
            </w:r>
            <w:r w:rsidRPr="00DD400E">
              <w:rPr>
                <w:rFonts w:ascii="Calibri" w:hAnsi="Calibri" w:cs="Arial"/>
                <w:lang w:val="en-IE"/>
              </w:rPr>
              <w:t xml:space="preserve"> applied</w:t>
            </w:r>
            <w:proofErr w:type="gramEnd"/>
            <w:r w:rsidRPr="00DD400E">
              <w:rPr>
                <w:rFonts w:ascii="Calibri" w:hAnsi="Calibri" w:cs="Arial"/>
                <w:lang w:val="en-IE"/>
              </w:rPr>
              <w:t xml:space="preserve"> to the volume of power self-supplied on site.</w:t>
            </w:r>
            <w:r w:rsidR="00A82970">
              <w:rPr>
                <w:rFonts w:ascii="Calibri" w:hAnsi="Calibri" w:cs="Arial"/>
                <w:lang w:val="en-IE"/>
              </w:rPr>
              <w:t xml:space="preserve"> </w:t>
            </w:r>
            <w:r w:rsidR="005604CD">
              <w:rPr>
                <w:rFonts w:ascii="Calibri" w:hAnsi="Calibri" w:cs="Arial"/>
                <w:lang w:val="en-IE"/>
              </w:rPr>
              <w:t xml:space="preserve">During our annual plant </w:t>
            </w:r>
            <w:r w:rsidR="005604CD" w:rsidRPr="00DB25D7">
              <w:rPr>
                <w:rFonts w:ascii="Calibri" w:hAnsi="Calibri" w:cs="Arial"/>
                <w:noProof/>
                <w:lang w:val="en-IE"/>
              </w:rPr>
              <w:t>shutdown</w:t>
            </w:r>
            <w:r w:rsidR="00DB25D7">
              <w:rPr>
                <w:rFonts w:ascii="Calibri" w:hAnsi="Calibri" w:cs="Arial"/>
                <w:noProof/>
                <w:lang w:val="en-IE"/>
              </w:rPr>
              <w:t>,</w:t>
            </w:r>
            <w:r w:rsidR="005604CD">
              <w:rPr>
                <w:rFonts w:ascii="Calibri" w:hAnsi="Calibri" w:cs="Arial"/>
                <w:lang w:val="en-IE"/>
              </w:rPr>
              <w:t xml:space="preserve"> </w:t>
            </w:r>
            <w:r w:rsidR="00A82970">
              <w:rPr>
                <w:rFonts w:ascii="Calibri" w:hAnsi="Calibri" w:cs="Arial"/>
                <w:lang w:val="en-IE"/>
              </w:rPr>
              <w:t>the Trading Site is importing</w:t>
            </w:r>
            <w:r w:rsidR="005604CD">
              <w:rPr>
                <w:rFonts w:ascii="Calibri" w:hAnsi="Calibri" w:cs="Arial"/>
                <w:lang w:val="en-IE"/>
              </w:rPr>
              <w:t xml:space="preserve"> power. This power is assigned to</w:t>
            </w:r>
            <w:r w:rsidR="00A82970">
              <w:rPr>
                <w:rFonts w:ascii="Calibri" w:hAnsi="Calibri" w:cs="Arial"/>
                <w:lang w:val="en-IE"/>
              </w:rPr>
              <w:t xml:space="preserve"> the Tradin</w:t>
            </w:r>
            <w:r w:rsidR="00F34A1D">
              <w:rPr>
                <w:rFonts w:ascii="Calibri" w:hAnsi="Calibri" w:cs="Arial"/>
                <w:lang w:val="en-IE"/>
              </w:rPr>
              <w:t>g</w:t>
            </w:r>
            <w:r w:rsidR="00A82970">
              <w:rPr>
                <w:rFonts w:ascii="Calibri" w:hAnsi="Calibri" w:cs="Arial"/>
                <w:lang w:val="en-IE"/>
              </w:rPr>
              <w:t xml:space="preserve"> Site Supplier Unit (TSSU) </w:t>
            </w:r>
            <w:r w:rsidR="005604CD">
              <w:rPr>
                <w:rFonts w:ascii="Calibri" w:hAnsi="Calibri" w:cs="Arial"/>
                <w:lang w:val="en-IE"/>
              </w:rPr>
              <w:t xml:space="preserve">when </w:t>
            </w:r>
            <w:r w:rsidR="00F34A1D">
              <w:rPr>
                <w:rFonts w:ascii="Calibri" w:hAnsi="Calibri" w:cs="Arial"/>
                <w:lang w:val="en-IE"/>
              </w:rPr>
              <w:t xml:space="preserve">consumption is greater than the MSQ </w:t>
            </w:r>
            <w:r w:rsidR="005604CD">
              <w:rPr>
                <w:rFonts w:ascii="Calibri" w:hAnsi="Calibri" w:cs="Arial"/>
                <w:lang w:val="en-IE"/>
              </w:rPr>
              <w:t xml:space="preserve">of </w:t>
            </w:r>
            <w:r w:rsidR="00F34A1D">
              <w:rPr>
                <w:rFonts w:ascii="Calibri" w:hAnsi="Calibri" w:cs="Arial"/>
                <w:lang w:val="en-IE"/>
              </w:rPr>
              <w:t>the on the site</w:t>
            </w:r>
            <w:r w:rsidR="005604CD">
              <w:rPr>
                <w:rFonts w:ascii="Calibri" w:hAnsi="Calibri" w:cs="Arial"/>
                <w:lang w:val="en-IE"/>
              </w:rPr>
              <w:t xml:space="preserve"> generation.</w:t>
            </w:r>
            <w:r w:rsidR="00A82970">
              <w:rPr>
                <w:rFonts w:ascii="Calibri" w:hAnsi="Calibri" w:cs="Arial"/>
                <w:lang w:val="en-IE"/>
              </w:rPr>
              <w:t xml:space="preserve">  </w:t>
            </w:r>
          </w:p>
          <w:p w:rsidR="00CB47AC" w:rsidRDefault="00CB47AC" w:rsidP="00CB47AC">
            <w:pPr>
              <w:rPr>
                <w:rFonts w:ascii="Calibri" w:hAnsi="Calibri" w:cs="Arial"/>
                <w:lang w:val="en-IE"/>
              </w:rPr>
            </w:pPr>
            <w:r>
              <w:rPr>
                <w:rFonts w:ascii="Calibri" w:hAnsi="Calibri" w:cs="Arial"/>
                <w:lang w:val="en-IE"/>
              </w:rPr>
              <w:t>See example</w:t>
            </w:r>
            <w:r w:rsidR="00F34A1D">
              <w:rPr>
                <w:rFonts w:ascii="Calibri" w:hAnsi="Calibri" w:cs="Arial"/>
                <w:lang w:val="en-IE"/>
              </w:rPr>
              <w:t>s</w:t>
            </w:r>
            <w:r>
              <w:rPr>
                <w:rFonts w:ascii="Calibri" w:hAnsi="Calibri" w:cs="Arial"/>
                <w:lang w:val="en-IE"/>
              </w:rPr>
              <w:t xml:space="preserve"> for a typical 1hour settlement:</w:t>
            </w:r>
          </w:p>
          <w:p w:rsidR="00CB47AC" w:rsidRDefault="00CB47AC" w:rsidP="00CB47AC">
            <w:pPr>
              <w:rPr>
                <w:rFonts w:ascii="Calibri" w:hAnsi="Calibri" w:cs="Arial"/>
                <w:lang w:val="en-IE"/>
              </w:rPr>
            </w:pPr>
          </w:p>
          <w:p w:rsidR="00F34A1D" w:rsidRPr="005604CD" w:rsidRDefault="00F34A1D" w:rsidP="002246E2">
            <w:pPr>
              <w:pStyle w:val="ListParagraph"/>
              <w:numPr>
                <w:ilvl w:val="0"/>
                <w:numId w:val="7"/>
              </w:numPr>
              <w:ind w:left="426" w:hanging="426"/>
              <w:rPr>
                <w:rFonts w:ascii="Calibri" w:hAnsi="Calibri" w:cs="Arial"/>
                <w:lang w:val="en-IE"/>
              </w:rPr>
            </w:pPr>
            <w:r>
              <w:rPr>
                <w:rFonts w:ascii="Calibri" w:hAnsi="Calibri" w:cs="Arial"/>
                <w:lang w:val="en-IE"/>
              </w:rPr>
              <w:t>Exporting (Normal operation)</w:t>
            </w:r>
          </w:p>
          <w:p w:rsidR="00CB47AC" w:rsidRDefault="00CB47AC" w:rsidP="00CB47AC">
            <w:pPr>
              <w:rPr>
                <w:rFonts w:ascii="Calibri" w:hAnsi="Calibri" w:cs="Arial"/>
                <w:lang w:val="en-IE"/>
              </w:rPr>
            </w:pPr>
            <w:r>
              <w:rPr>
                <w:rFonts w:ascii="Calibri" w:hAnsi="Calibri" w:cs="Arial"/>
                <w:lang w:val="en-IE"/>
              </w:rPr>
              <w:t>Energy payment = (MSQ</w:t>
            </w:r>
            <w:r w:rsidRPr="0024000F">
              <w:rPr>
                <w:rFonts w:ascii="Calibri" w:hAnsi="Calibri" w:cs="Arial"/>
                <w:vertAlign w:val="subscript"/>
                <w:lang w:val="en-IE"/>
              </w:rPr>
              <w:t>SK3</w:t>
            </w:r>
            <w:r>
              <w:rPr>
                <w:rFonts w:ascii="Calibri" w:hAnsi="Calibri" w:cs="Arial"/>
                <w:lang w:val="en-IE"/>
              </w:rPr>
              <w:t xml:space="preserve"> + MSQ</w:t>
            </w:r>
            <w:r w:rsidRPr="0024000F">
              <w:rPr>
                <w:rFonts w:ascii="Calibri" w:hAnsi="Calibri" w:cs="Arial"/>
                <w:vertAlign w:val="subscript"/>
                <w:lang w:val="en-IE"/>
              </w:rPr>
              <w:t>SK4</w:t>
            </w:r>
            <w:r>
              <w:rPr>
                <w:rFonts w:ascii="Calibri" w:hAnsi="Calibri" w:cs="Arial"/>
                <w:lang w:val="en-IE"/>
              </w:rPr>
              <w:t xml:space="preserve"> – NGU</w:t>
            </w:r>
            <w:r w:rsidRPr="0024000F">
              <w:rPr>
                <w:rFonts w:ascii="Calibri" w:hAnsi="Calibri" w:cs="Arial"/>
                <w:vertAlign w:val="subscript"/>
                <w:lang w:val="en-IE"/>
              </w:rPr>
              <w:t>Aughinish</w:t>
            </w:r>
            <w:r>
              <w:rPr>
                <w:rFonts w:ascii="Calibri" w:hAnsi="Calibri" w:cs="Arial"/>
                <w:lang w:val="en-IE"/>
              </w:rPr>
              <w:t>)*lossAdjustment*SMP</w:t>
            </w:r>
          </w:p>
          <w:p w:rsidR="00CB47AC" w:rsidRDefault="00CB47AC" w:rsidP="00CB47AC">
            <w:pPr>
              <w:rPr>
                <w:rFonts w:ascii="Calibri" w:hAnsi="Calibri" w:cs="Arial"/>
                <w:lang w:val="en-IE"/>
              </w:rPr>
            </w:pPr>
            <w:r>
              <w:rPr>
                <w:rFonts w:ascii="Calibri" w:hAnsi="Calibri" w:cs="Arial"/>
                <w:lang w:val="en-IE"/>
              </w:rPr>
              <w:t xml:space="preserve">                               =(80+80-45)*0.973*SMP</w:t>
            </w:r>
          </w:p>
          <w:p w:rsidR="00CB47AC" w:rsidRDefault="00CB47AC" w:rsidP="00CB47AC">
            <w:pPr>
              <w:rPr>
                <w:rFonts w:ascii="Calibri" w:hAnsi="Calibri" w:cs="Arial"/>
                <w:lang w:val="en-IE"/>
              </w:rPr>
            </w:pPr>
            <w:r>
              <w:rPr>
                <w:rFonts w:ascii="Calibri" w:hAnsi="Calibri" w:cs="Arial"/>
                <w:lang w:val="en-IE"/>
              </w:rPr>
              <w:t xml:space="preserve">                               = (115MWh)*0.973*SMP</w:t>
            </w:r>
          </w:p>
          <w:p w:rsidR="00CB47AC" w:rsidRPr="00DD400E" w:rsidRDefault="00CB47AC" w:rsidP="00CB47AC">
            <w:pPr>
              <w:rPr>
                <w:rFonts w:ascii="Calibri" w:hAnsi="Calibri" w:cs="Arial"/>
                <w:lang w:val="en-IE"/>
              </w:rPr>
            </w:pPr>
            <w:r>
              <w:rPr>
                <w:rFonts w:ascii="Calibri" w:hAnsi="Calibri" w:cs="Arial"/>
                <w:lang w:val="en-IE"/>
              </w:rPr>
              <w:t xml:space="preserve">                               = 111.895MWh*SMP</w:t>
            </w:r>
          </w:p>
          <w:p w:rsidR="00CB47AC" w:rsidRDefault="00F34A1D" w:rsidP="005604CD">
            <w:pPr>
              <w:pStyle w:val="ListParagraph"/>
              <w:numPr>
                <w:ilvl w:val="0"/>
                <w:numId w:val="7"/>
              </w:numPr>
              <w:ind w:left="426" w:hanging="426"/>
              <w:rPr>
                <w:rFonts w:ascii="Calibri" w:hAnsi="Calibri" w:cs="Arial"/>
                <w:lang w:val="en-IE"/>
              </w:rPr>
            </w:pPr>
            <w:r>
              <w:rPr>
                <w:rFonts w:ascii="Calibri" w:hAnsi="Calibri" w:cs="Arial"/>
                <w:lang w:val="en-IE"/>
              </w:rPr>
              <w:t>Importing (Both gas turbines off)</w:t>
            </w:r>
          </w:p>
          <w:p w:rsidR="00F34A1D" w:rsidRDefault="00F34A1D" w:rsidP="00F34A1D">
            <w:pPr>
              <w:rPr>
                <w:rFonts w:ascii="Calibri" w:hAnsi="Calibri" w:cs="Arial"/>
                <w:lang w:val="en-IE"/>
              </w:rPr>
            </w:pPr>
            <w:r>
              <w:rPr>
                <w:rFonts w:ascii="Calibri" w:hAnsi="Calibri" w:cs="Arial"/>
                <w:lang w:val="en-IE"/>
              </w:rPr>
              <w:t>Energy payment = (MSQ</w:t>
            </w:r>
            <w:r w:rsidRPr="0024000F">
              <w:rPr>
                <w:rFonts w:ascii="Calibri" w:hAnsi="Calibri" w:cs="Arial"/>
                <w:vertAlign w:val="subscript"/>
                <w:lang w:val="en-IE"/>
              </w:rPr>
              <w:t>SK3</w:t>
            </w:r>
            <w:r>
              <w:rPr>
                <w:rFonts w:ascii="Calibri" w:hAnsi="Calibri" w:cs="Arial"/>
                <w:lang w:val="en-IE"/>
              </w:rPr>
              <w:t xml:space="preserve"> + MSQ</w:t>
            </w:r>
            <w:r w:rsidRPr="0024000F">
              <w:rPr>
                <w:rFonts w:ascii="Calibri" w:hAnsi="Calibri" w:cs="Arial"/>
                <w:vertAlign w:val="subscript"/>
                <w:lang w:val="en-IE"/>
              </w:rPr>
              <w:t>SK4</w:t>
            </w:r>
            <w:r>
              <w:rPr>
                <w:rFonts w:ascii="Calibri" w:hAnsi="Calibri" w:cs="Arial"/>
                <w:lang w:val="en-IE"/>
              </w:rPr>
              <w:t xml:space="preserve"> – TSSU</w:t>
            </w:r>
            <w:r w:rsidRPr="0024000F">
              <w:rPr>
                <w:rFonts w:ascii="Calibri" w:hAnsi="Calibri" w:cs="Arial"/>
                <w:vertAlign w:val="subscript"/>
                <w:lang w:val="en-IE"/>
              </w:rPr>
              <w:t>Aughinish</w:t>
            </w:r>
            <w:r>
              <w:rPr>
                <w:rFonts w:ascii="Calibri" w:hAnsi="Calibri" w:cs="Arial"/>
                <w:lang w:val="en-IE"/>
              </w:rPr>
              <w:t>)*lossAdjustment*SMP</w:t>
            </w:r>
          </w:p>
          <w:p w:rsidR="00F34A1D" w:rsidRDefault="00F34A1D" w:rsidP="00F34A1D">
            <w:pPr>
              <w:rPr>
                <w:rFonts w:ascii="Calibri" w:hAnsi="Calibri" w:cs="Arial"/>
                <w:lang w:val="en-IE"/>
              </w:rPr>
            </w:pPr>
            <w:r>
              <w:rPr>
                <w:rFonts w:ascii="Calibri" w:hAnsi="Calibri" w:cs="Arial"/>
                <w:lang w:val="en-IE"/>
              </w:rPr>
              <w:t xml:space="preserve">                               =(0+0-45)*1*SMP</w:t>
            </w:r>
          </w:p>
          <w:p w:rsidR="00F34A1D" w:rsidRDefault="00F34A1D" w:rsidP="00F34A1D">
            <w:pPr>
              <w:rPr>
                <w:rFonts w:ascii="Calibri" w:hAnsi="Calibri" w:cs="Arial"/>
                <w:lang w:val="en-IE"/>
              </w:rPr>
            </w:pPr>
            <w:r>
              <w:rPr>
                <w:rFonts w:ascii="Calibri" w:hAnsi="Calibri" w:cs="Arial"/>
                <w:lang w:val="en-IE"/>
              </w:rPr>
              <w:t xml:space="preserve">                               = (45MWh)*1*SMP</w:t>
            </w:r>
          </w:p>
          <w:p w:rsidR="00F34A1D" w:rsidRDefault="00F34A1D" w:rsidP="00F34A1D">
            <w:pPr>
              <w:rPr>
                <w:rFonts w:ascii="Calibri" w:hAnsi="Calibri" w:cs="Arial"/>
                <w:lang w:val="en-IE"/>
              </w:rPr>
            </w:pPr>
            <w:r>
              <w:rPr>
                <w:rFonts w:ascii="Calibri" w:hAnsi="Calibri" w:cs="Arial"/>
                <w:lang w:val="en-IE"/>
              </w:rPr>
              <w:t xml:space="preserve">                               = </w:t>
            </w:r>
            <w:r w:rsidR="005604CD">
              <w:rPr>
                <w:rFonts w:ascii="Calibri" w:hAnsi="Calibri" w:cs="Arial"/>
                <w:lang w:val="en-IE"/>
              </w:rPr>
              <w:t>-</w:t>
            </w:r>
            <w:r>
              <w:rPr>
                <w:rFonts w:ascii="Calibri" w:hAnsi="Calibri" w:cs="Arial"/>
                <w:lang w:val="en-IE"/>
              </w:rPr>
              <w:t>45MWh*SMP</w:t>
            </w:r>
          </w:p>
          <w:p w:rsidR="00F34A1D" w:rsidRPr="00DD400E" w:rsidRDefault="00F34A1D" w:rsidP="00F34A1D">
            <w:pPr>
              <w:rPr>
                <w:rFonts w:ascii="Calibri" w:hAnsi="Calibri" w:cs="Arial"/>
                <w:lang w:val="en-IE"/>
              </w:rPr>
            </w:pPr>
            <w:r>
              <w:rPr>
                <w:rFonts w:ascii="Calibri" w:hAnsi="Calibri" w:cs="Arial"/>
                <w:lang w:val="en-IE"/>
              </w:rPr>
              <w:t>In this situation other variable Supplier charges apply</w:t>
            </w:r>
          </w:p>
          <w:p w:rsidR="00F34A1D" w:rsidRPr="005604CD" w:rsidRDefault="00F34A1D" w:rsidP="00F34A1D">
            <w:pPr>
              <w:rPr>
                <w:rFonts w:ascii="Calibri" w:hAnsi="Calibri" w:cs="Arial"/>
                <w:lang w:val="en-IE"/>
              </w:rPr>
            </w:pPr>
          </w:p>
          <w:p w:rsidR="00F34A1D" w:rsidRPr="00DD400E" w:rsidRDefault="00F34A1D" w:rsidP="00CB47AC">
            <w:pPr>
              <w:rPr>
                <w:rFonts w:ascii="Calibri" w:hAnsi="Calibri" w:cs="Arial"/>
                <w:lang w:val="en-IE"/>
              </w:rPr>
            </w:pPr>
          </w:p>
          <w:p w:rsidR="00CB47AC" w:rsidRPr="00DD400E" w:rsidRDefault="00CB47AC" w:rsidP="00CB47AC">
            <w:pPr>
              <w:rPr>
                <w:rFonts w:ascii="Calibri" w:hAnsi="Calibri" w:cs="Arial"/>
                <w:lang w:val="en-IE"/>
              </w:rPr>
            </w:pPr>
            <w:r w:rsidRPr="00DD400E">
              <w:rPr>
                <w:rFonts w:ascii="Calibri" w:hAnsi="Calibri" w:cs="Arial"/>
                <w:lang w:val="en-IE"/>
              </w:rPr>
              <w:t xml:space="preserve">Whilst the continuation of this fair treatment for </w:t>
            </w:r>
            <w:r w:rsidRPr="00860F43">
              <w:rPr>
                <w:rFonts w:ascii="Calibri" w:hAnsi="Calibri" w:cs="Arial"/>
                <w:noProof/>
                <w:lang w:val="en-IE"/>
              </w:rPr>
              <w:t>autoproducers</w:t>
            </w:r>
            <w:r w:rsidRPr="00DD400E">
              <w:rPr>
                <w:rFonts w:ascii="Calibri" w:hAnsi="Calibri" w:cs="Arial"/>
                <w:lang w:val="en-IE"/>
              </w:rPr>
              <w:t xml:space="preserve"> </w:t>
            </w:r>
            <w:proofErr w:type="gramStart"/>
            <w:r w:rsidRPr="00DD400E">
              <w:rPr>
                <w:rFonts w:ascii="Calibri" w:hAnsi="Calibri" w:cs="Arial"/>
                <w:lang w:val="en-IE"/>
              </w:rPr>
              <w:t>had been discussed and supported during the ISEM consultation process,</w:t>
            </w:r>
            <w:proofErr w:type="gramEnd"/>
            <w:r w:rsidRPr="00DD400E">
              <w:rPr>
                <w:rFonts w:ascii="Calibri" w:hAnsi="Calibri" w:cs="Arial"/>
                <w:lang w:val="en-IE"/>
              </w:rPr>
              <w:t xml:space="preserve"> it has come to our attention </w:t>
            </w:r>
            <w:r w:rsidR="00F34A1D">
              <w:rPr>
                <w:rFonts w:ascii="Calibri" w:hAnsi="Calibri" w:cs="Arial"/>
                <w:lang w:val="en-IE"/>
              </w:rPr>
              <w:t xml:space="preserve">in the published TSC </w:t>
            </w:r>
            <w:r w:rsidRPr="00DD400E">
              <w:rPr>
                <w:rFonts w:ascii="Calibri" w:hAnsi="Calibri" w:cs="Arial"/>
                <w:lang w:val="en-IE"/>
              </w:rPr>
              <w:t>that the application of TLAFs in the settlement of the ISEM Balancing Market (BM) is not consistent with this methodology.</w:t>
            </w:r>
            <w:r>
              <w:rPr>
                <w:rFonts w:ascii="Calibri" w:hAnsi="Calibri" w:cs="Arial"/>
                <w:lang w:val="en-IE"/>
              </w:rPr>
              <w:t xml:space="preserve"> B</w:t>
            </w:r>
            <w:r w:rsidR="00A82970">
              <w:rPr>
                <w:rFonts w:ascii="Calibri" w:hAnsi="Calibri" w:cs="Arial"/>
                <w:lang w:val="en-IE"/>
              </w:rPr>
              <w:t>e</w:t>
            </w:r>
            <w:r>
              <w:rPr>
                <w:rFonts w:ascii="Calibri" w:hAnsi="Calibri" w:cs="Arial"/>
                <w:lang w:val="en-IE"/>
              </w:rPr>
              <w:t xml:space="preserve">low are two examples of how the Aughinish manufacturing facility will be unfairly </w:t>
            </w:r>
            <w:r w:rsidRPr="00860F43">
              <w:rPr>
                <w:rFonts w:ascii="Calibri" w:hAnsi="Calibri" w:cs="Arial"/>
                <w:noProof/>
                <w:lang w:val="en-IE"/>
              </w:rPr>
              <w:t>treated</w:t>
            </w:r>
            <w:r>
              <w:rPr>
                <w:rFonts w:ascii="Calibri" w:hAnsi="Calibri" w:cs="Arial"/>
                <w:lang w:val="en-IE"/>
              </w:rPr>
              <w:t>:</w:t>
            </w:r>
          </w:p>
          <w:p w:rsidR="00CB47AC" w:rsidRDefault="00CB47AC" w:rsidP="00CB47AC">
            <w:pPr>
              <w:rPr>
                <w:rFonts w:ascii="Calibri" w:hAnsi="Calibri" w:cs="Arial"/>
                <w:lang w:val="en-IE"/>
              </w:rPr>
            </w:pPr>
          </w:p>
          <w:p w:rsidR="00EC475A" w:rsidRPr="005604CD" w:rsidRDefault="00EC475A" w:rsidP="00CB47AC">
            <w:pPr>
              <w:rPr>
                <w:rFonts w:ascii="Calibri" w:hAnsi="Calibri" w:cs="Arial"/>
                <w:u w:val="single"/>
                <w:lang w:val="en-IE"/>
              </w:rPr>
            </w:pPr>
            <w:r w:rsidRPr="005604CD">
              <w:rPr>
                <w:rFonts w:ascii="Calibri" w:hAnsi="Calibri" w:cs="Arial"/>
                <w:u w:val="single"/>
                <w:lang w:val="en-IE"/>
              </w:rPr>
              <w:t>Treatment of Losses in the I-SEM</w:t>
            </w:r>
          </w:p>
          <w:p w:rsidR="00CB47AC" w:rsidRPr="000C277C" w:rsidRDefault="00CB47AC" w:rsidP="00CB47AC">
            <w:pPr>
              <w:pStyle w:val="ListParagraph"/>
              <w:numPr>
                <w:ilvl w:val="0"/>
                <w:numId w:val="3"/>
              </w:numPr>
              <w:rPr>
                <w:rFonts w:ascii="Calibri" w:hAnsi="Calibri" w:cs="Arial"/>
                <w:b/>
                <w:lang w:val="en-IE"/>
              </w:rPr>
            </w:pPr>
            <w:r w:rsidRPr="000C277C">
              <w:rPr>
                <w:rFonts w:ascii="Calibri" w:hAnsi="Calibri" w:cs="Arial"/>
                <w:b/>
                <w:lang w:val="en-IE"/>
              </w:rPr>
              <w:t>Energy Settlement</w:t>
            </w:r>
          </w:p>
          <w:p w:rsidR="00CB47AC" w:rsidRDefault="00CB47AC" w:rsidP="00CB47AC">
            <w:pPr>
              <w:rPr>
                <w:rFonts w:ascii="Calibri" w:hAnsi="Calibri" w:cs="Arial"/>
                <w:lang w:val="en-IE"/>
              </w:rPr>
            </w:pPr>
            <w:r w:rsidRPr="00DD400E">
              <w:rPr>
                <w:rFonts w:ascii="Calibri" w:hAnsi="Calibri" w:cs="Arial"/>
                <w:lang w:val="en-IE"/>
              </w:rPr>
              <w:t xml:space="preserve">The NGU no longer exists in the current version of the ISEM TSC, </w:t>
            </w:r>
            <w:r w:rsidR="00A82970">
              <w:rPr>
                <w:rFonts w:ascii="Calibri" w:hAnsi="Calibri" w:cs="Arial"/>
                <w:lang w:val="en-IE"/>
              </w:rPr>
              <w:t xml:space="preserve">hence </w:t>
            </w:r>
            <w:r w:rsidRPr="00DD400E">
              <w:rPr>
                <w:rFonts w:ascii="Calibri" w:hAnsi="Calibri" w:cs="Arial"/>
                <w:lang w:val="en-IE"/>
              </w:rPr>
              <w:t xml:space="preserve">an </w:t>
            </w:r>
            <w:r w:rsidRPr="00860F43">
              <w:rPr>
                <w:rFonts w:ascii="Calibri" w:hAnsi="Calibri" w:cs="Arial"/>
                <w:noProof/>
                <w:lang w:val="en-IE"/>
              </w:rPr>
              <w:t>Autoproducers</w:t>
            </w:r>
            <w:r w:rsidRPr="00DD400E">
              <w:rPr>
                <w:rFonts w:ascii="Calibri" w:hAnsi="Calibri" w:cs="Arial"/>
                <w:lang w:val="en-IE"/>
              </w:rPr>
              <w:t xml:space="preserve"> in-house consumption will be allocated to its register</w:t>
            </w:r>
            <w:r>
              <w:rPr>
                <w:rFonts w:ascii="Calibri" w:hAnsi="Calibri" w:cs="Arial"/>
                <w:lang w:val="en-IE"/>
              </w:rPr>
              <w:t>ed</w:t>
            </w:r>
            <w:r w:rsidRPr="00DD400E">
              <w:rPr>
                <w:rFonts w:ascii="Calibri" w:hAnsi="Calibri" w:cs="Arial"/>
                <w:lang w:val="en-IE"/>
              </w:rPr>
              <w:t xml:space="preserve"> TSSU</w:t>
            </w:r>
            <w:r w:rsidR="005604CD">
              <w:rPr>
                <w:rFonts w:ascii="Calibri" w:hAnsi="Calibri" w:cs="Arial"/>
                <w:lang w:val="en-IE"/>
              </w:rPr>
              <w:t xml:space="preserve"> at all times whether importing or exporting power</w:t>
            </w:r>
            <w:r w:rsidRPr="00DD400E">
              <w:rPr>
                <w:rFonts w:ascii="Calibri" w:hAnsi="Calibri" w:cs="Arial"/>
                <w:lang w:val="en-IE"/>
              </w:rPr>
              <w:t xml:space="preserve">.  Due to individual unit settlement in the ISEM Balancing Market, the generation units and the TSSU </w:t>
            </w:r>
            <w:proofErr w:type="gramStart"/>
            <w:r w:rsidRPr="00DD400E">
              <w:rPr>
                <w:rFonts w:ascii="Calibri" w:hAnsi="Calibri" w:cs="Arial"/>
                <w:lang w:val="en-IE"/>
              </w:rPr>
              <w:t>will be settled</w:t>
            </w:r>
            <w:proofErr w:type="gramEnd"/>
            <w:r w:rsidRPr="00DD400E">
              <w:rPr>
                <w:rFonts w:ascii="Calibri" w:hAnsi="Calibri" w:cs="Arial"/>
                <w:lang w:val="en-IE"/>
              </w:rPr>
              <w:t xml:space="preserve"> </w:t>
            </w:r>
            <w:r w:rsidRPr="00DD400E">
              <w:rPr>
                <w:rFonts w:ascii="Calibri" w:hAnsi="Calibri" w:cs="Arial"/>
                <w:lang w:val="en-IE"/>
              </w:rPr>
              <w:lastRenderedPageBreak/>
              <w:t xml:space="preserve">using different TLAFs, as currently drafted in the TSC. This results in transmission losses </w:t>
            </w:r>
            <w:proofErr w:type="gramStart"/>
            <w:r w:rsidRPr="00DD400E">
              <w:rPr>
                <w:rFonts w:ascii="Calibri" w:hAnsi="Calibri" w:cs="Arial"/>
                <w:lang w:val="en-IE"/>
              </w:rPr>
              <w:t>being over recovered</w:t>
            </w:r>
            <w:proofErr w:type="gramEnd"/>
            <w:r w:rsidRPr="00DD400E">
              <w:rPr>
                <w:rFonts w:ascii="Calibri" w:hAnsi="Calibri" w:cs="Arial"/>
                <w:lang w:val="en-IE"/>
              </w:rPr>
              <w:t xml:space="preserve"> by the market on power not entering the transmission system.</w:t>
            </w:r>
          </w:p>
          <w:p w:rsidR="00CB47AC" w:rsidRDefault="00CB47AC" w:rsidP="00CB47AC">
            <w:pPr>
              <w:rPr>
                <w:rFonts w:ascii="Calibri" w:hAnsi="Calibri" w:cs="Arial"/>
                <w:lang w:val="en-IE"/>
              </w:rPr>
            </w:pPr>
          </w:p>
          <w:p w:rsidR="00CB47AC" w:rsidRDefault="00CB47AC" w:rsidP="00CB47AC">
            <w:pPr>
              <w:rPr>
                <w:rFonts w:ascii="Calibri" w:hAnsi="Calibri" w:cs="Arial"/>
                <w:lang w:val="en-IE"/>
              </w:rPr>
            </w:pPr>
            <w:r>
              <w:rPr>
                <w:rFonts w:ascii="Calibri" w:hAnsi="Calibri" w:cs="Arial"/>
                <w:lang w:val="en-IE"/>
              </w:rPr>
              <w:t>Below is an example for a typical 1hour settlement of the Aughinish Autoproducer site in the ISEM</w:t>
            </w:r>
          </w:p>
          <w:p w:rsidR="00CB47AC" w:rsidRDefault="00CB47AC" w:rsidP="00CB47AC">
            <w:pPr>
              <w:rPr>
                <w:rFonts w:ascii="Calibri" w:hAnsi="Calibri" w:cs="Arial"/>
                <w:lang w:val="en-IE"/>
              </w:rPr>
            </w:pPr>
          </w:p>
          <w:p w:rsidR="00CB47AC" w:rsidRPr="00DD400E" w:rsidRDefault="00CB47AC" w:rsidP="00CB47AC">
            <w:pPr>
              <w:rPr>
                <w:rFonts w:ascii="Calibri" w:hAnsi="Calibri" w:cs="Arial"/>
                <w:lang w:val="en-IE"/>
              </w:rPr>
            </w:pPr>
            <w:r>
              <w:rPr>
                <w:rFonts w:ascii="Calibri" w:hAnsi="Calibri" w:cs="Arial"/>
                <w:noProof/>
                <w:lang w:val="en-IE" w:eastAsia="en-IE"/>
              </w:rPr>
              <w:drawing>
                <wp:inline distT="0" distB="0" distL="0" distR="0">
                  <wp:extent cx="4924425" cy="2545969"/>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2204" cy="2555161"/>
                          </a:xfrm>
                          <a:prstGeom prst="rect">
                            <a:avLst/>
                          </a:prstGeom>
                          <a:noFill/>
                        </pic:spPr>
                      </pic:pic>
                    </a:graphicData>
                  </a:graphic>
                </wp:inline>
              </w:drawing>
            </w:r>
          </w:p>
          <w:p w:rsidR="00CB47AC" w:rsidRPr="00DD400E" w:rsidRDefault="00CB47AC" w:rsidP="00CB47AC">
            <w:pPr>
              <w:rPr>
                <w:rFonts w:ascii="Calibri" w:hAnsi="Calibri" w:cs="Arial"/>
                <w:lang w:val="en-IE"/>
              </w:rPr>
            </w:pPr>
          </w:p>
          <w:p w:rsidR="00CB47AC" w:rsidRDefault="00CB47AC" w:rsidP="00CB47AC">
            <w:pPr>
              <w:rPr>
                <w:rFonts w:ascii="Calibri" w:hAnsi="Calibri" w:cs="Arial"/>
                <w:lang w:val="en-IE"/>
              </w:rPr>
            </w:pPr>
          </w:p>
          <w:p w:rsidR="00CB47AC" w:rsidRDefault="00CB47AC" w:rsidP="00CB47AC">
            <w:pPr>
              <w:rPr>
                <w:rFonts w:ascii="Calibri" w:hAnsi="Calibri" w:cs="Arial"/>
                <w:lang w:val="en-IE"/>
              </w:rPr>
            </w:pPr>
            <w:r w:rsidRPr="00DD400E">
              <w:rPr>
                <w:rFonts w:ascii="Calibri" w:hAnsi="Calibri" w:cs="Arial"/>
                <w:lang w:val="en-IE"/>
              </w:rPr>
              <w:t xml:space="preserve">Aughinish </w:t>
            </w:r>
            <w:r w:rsidRPr="00DB25D7">
              <w:rPr>
                <w:rFonts w:ascii="Calibri" w:hAnsi="Calibri" w:cs="Arial"/>
                <w:noProof/>
                <w:lang w:val="en-IE"/>
              </w:rPr>
              <w:t>believe</w:t>
            </w:r>
            <w:r w:rsidR="00DB25D7">
              <w:rPr>
                <w:rFonts w:ascii="Calibri" w:hAnsi="Calibri" w:cs="Arial"/>
                <w:noProof/>
                <w:lang w:val="en-IE"/>
              </w:rPr>
              <w:t>s</w:t>
            </w:r>
            <w:r w:rsidRPr="00DD400E">
              <w:rPr>
                <w:rFonts w:ascii="Calibri" w:hAnsi="Calibri" w:cs="Arial"/>
                <w:lang w:val="en-IE"/>
              </w:rPr>
              <w:t xml:space="preserve"> that the annual cost</w:t>
            </w:r>
            <w:r>
              <w:rPr>
                <w:rFonts w:ascii="Calibri" w:hAnsi="Calibri" w:cs="Arial"/>
                <w:lang w:val="en-IE"/>
              </w:rPr>
              <w:t xml:space="preserve"> of these Imbalance charges to our manufacturing facility, despite </w:t>
            </w:r>
            <w:r w:rsidRPr="00DB25D7">
              <w:rPr>
                <w:rFonts w:ascii="Calibri" w:hAnsi="Calibri" w:cs="Arial"/>
                <w:noProof/>
                <w:lang w:val="en-IE"/>
              </w:rPr>
              <w:t>being fully balance</w:t>
            </w:r>
            <w:r>
              <w:rPr>
                <w:rFonts w:ascii="Calibri" w:hAnsi="Calibri" w:cs="Arial"/>
                <w:lang w:val="en-IE"/>
              </w:rPr>
              <w:t xml:space="preserve"> responsible, </w:t>
            </w:r>
            <w:r w:rsidR="00EC475A">
              <w:rPr>
                <w:rFonts w:ascii="Calibri" w:hAnsi="Calibri" w:cs="Arial"/>
                <w:lang w:val="en-IE"/>
              </w:rPr>
              <w:t xml:space="preserve">would be significant and probably if not corrected </w:t>
            </w:r>
            <w:r>
              <w:rPr>
                <w:rFonts w:ascii="Calibri" w:hAnsi="Calibri" w:cs="Arial"/>
                <w:lang w:val="en-IE"/>
              </w:rPr>
              <w:t>would</w:t>
            </w:r>
            <w:r w:rsidR="00EC475A">
              <w:rPr>
                <w:rFonts w:ascii="Calibri" w:hAnsi="Calibri" w:cs="Arial"/>
                <w:lang w:val="en-IE"/>
              </w:rPr>
              <w:t xml:space="preserve"> exceed</w:t>
            </w:r>
            <w:r w:rsidRPr="00DD400E">
              <w:rPr>
                <w:rFonts w:ascii="Calibri" w:hAnsi="Calibri" w:cs="Arial"/>
                <w:lang w:val="en-IE"/>
              </w:rPr>
              <w:t xml:space="preserve"> €500,000/annum.</w:t>
            </w:r>
            <w:r w:rsidR="00EC475A">
              <w:rPr>
                <w:rFonts w:ascii="Calibri" w:hAnsi="Calibri" w:cs="Arial"/>
                <w:lang w:val="en-IE"/>
              </w:rPr>
              <w:t xml:space="preserve"> This is clearly an </w:t>
            </w:r>
            <w:r w:rsidR="001A5254">
              <w:rPr>
                <w:rFonts w:ascii="Calibri" w:hAnsi="Calibri" w:cs="Arial"/>
                <w:lang w:val="en-IE"/>
              </w:rPr>
              <w:t>anomaly</w:t>
            </w:r>
            <w:r w:rsidR="00EC475A">
              <w:rPr>
                <w:rFonts w:ascii="Calibri" w:hAnsi="Calibri" w:cs="Arial"/>
                <w:lang w:val="en-IE"/>
              </w:rPr>
              <w:t xml:space="preserve"> in the rules and therefore should be corrected to reflect the current treatment for settlement of Trading Sites in the SEM</w:t>
            </w:r>
          </w:p>
          <w:p w:rsidR="00CB47AC" w:rsidRDefault="00CB47AC" w:rsidP="00CB47AC">
            <w:pPr>
              <w:rPr>
                <w:rFonts w:ascii="Calibri" w:hAnsi="Calibri" w:cs="Arial"/>
                <w:lang w:val="en-IE"/>
              </w:rPr>
            </w:pPr>
          </w:p>
          <w:p w:rsidR="00EC475A" w:rsidRDefault="00EC475A" w:rsidP="00CB47AC">
            <w:pPr>
              <w:rPr>
                <w:rFonts w:ascii="Calibri" w:hAnsi="Calibri" w:cs="Arial"/>
                <w:lang w:val="en-IE"/>
              </w:rPr>
            </w:pPr>
          </w:p>
          <w:p w:rsidR="00CB47AC" w:rsidRPr="00EC475A" w:rsidRDefault="002F6A40" w:rsidP="00EC475A">
            <w:pPr>
              <w:jc w:val="center"/>
              <w:rPr>
                <w:rFonts w:ascii="Calibri" w:hAnsi="Calibri" w:cs="Arial"/>
                <w:lang w:val="en-IE"/>
              </w:rPr>
            </w:pPr>
            <w:r>
              <w:rPr>
                <w:rFonts w:ascii="Calibri" w:hAnsi="Calibri" w:cs="Arial"/>
                <w:noProof/>
                <w:lang w:val="en-IE" w:eastAsia="en-IE"/>
              </w:rPr>
              <mc:AlternateContent>
                <mc:Choice Requires="wps">
                  <w:drawing>
                    <wp:anchor distT="0" distB="0" distL="114300" distR="114300" simplePos="0" relativeHeight="251659264" behindDoc="0" locked="0" layoutInCell="1" allowOverlap="1">
                      <wp:simplePos x="0" y="0"/>
                      <wp:positionH relativeFrom="column">
                        <wp:posOffset>944245</wp:posOffset>
                      </wp:positionH>
                      <wp:positionV relativeFrom="paragraph">
                        <wp:posOffset>46355</wp:posOffset>
                      </wp:positionV>
                      <wp:extent cx="3676650" cy="1905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76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EFF0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3.65pt" to="363.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" strokecolor="#4579b8 [3044]">
                      <o:lock v:ext="edit" shapetype="f"/>
                    </v:line>
                  </w:pict>
                </mc:Fallback>
              </mc:AlternateContent>
            </w:r>
          </w:p>
          <w:p w:rsidR="00CB47AC" w:rsidRPr="000C277C" w:rsidRDefault="00CB47AC" w:rsidP="00CB47AC">
            <w:pPr>
              <w:pStyle w:val="ListParagraph"/>
              <w:numPr>
                <w:ilvl w:val="0"/>
                <w:numId w:val="3"/>
              </w:numPr>
              <w:rPr>
                <w:rFonts w:ascii="Calibri" w:hAnsi="Calibri" w:cs="Arial"/>
                <w:b/>
                <w:lang w:val="en-IE"/>
              </w:rPr>
            </w:pPr>
            <w:r w:rsidRPr="000C277C">
              <w:rPr>
                <w:rFonts w:ascii="Calibri" w:hAnsi="Calibri" w:cs="Arial"/>
                <w:b/>
                <w:lang w:val="en-IE"/>
              </w:rPr>
              <w:t>Supplier charges</w:t>
            </w:r>
          </w:p>
          <w:p w:rsidR="00CB47AC" w:rsidRDefault="00CB47AC" w:rsidP="00CB47AC">
            <w:pPr>
              <w:rPr>
                <w:rFonts w:ascii="Calibri" w:hAnsi="Calibri" w:cs="Arial"/>
                <w:lang w:val="en-IE"/>
              </w:rPr>
            </w:pPr>
            <w:r>
              <w:rPr>
                <w:rFonts w:ascii="Calibri" w:hAnsi="Calibri" w:cs="Arial"/>
                <w:lang w:val="en-IE"/>
              </w:rPr>
              <w:t xml:space="preserve">A separate issue with the application of losses is in the </w:t>
            </w:r>
            <w:r w:rsidRPr="00B155C1">
              <w:rPr>
                <w:rFonts w:ascii="Calibri" w:hAnsi="Calibri" w:cs="Arial"/>
                <w:lang w:val="en-IE"/>
              </w:rPr>
              <w:t xml:space="preserve">assessment of supplier charges for </w:t>
            </w:r>
            <w:r>
              <w:rPr>
                <w:rFonts w:ascii="Calibri" w:hAnsi="Calibri" w:cs="Arial"/>
                <w:lang w:val="en-IE"/>
              </w:rPr>
              <w:t>TSSUs.  It</w:t>
            </w:r>
            <w:r w:rsidRPr="00B155C1">
              <w:rPr>
                <w:rFonts w:ascii="Calibri" w:hAnsi="Calibri" w:cs="Arial"/>
                <w:lang w:val="en-IE"/>
              </w:rPr>
              <w:t xml:space="preserve"> would under certain conditions levy a penalty on power produced and consumed on site.</w:t>
            </w:r>
            <w:r>
              <w:rPr>
                <w:rFonts w:ascii="Calibri" w:hAnsi="Calibri" w:cs="Arial"/>
                <w:lang w:val="en-IE"/>
              </w:rPr>
              <w:t xml:space="preserve"> For </w:t>
            </w:r>
            <w:r w:rsidRPr="00DB25D7">
              <w:rPr>
                <w:rFonts w:ascii="Calibri" w:hAnsi="Calibri" w:cs="Arial"/>
                <w:noProof/>
                <w:lang w:val="en-IE"/>
              </w:rPr>
              <w:t>example</w:t>
            </w:r>
            <w:r w:rsidR="00DB25D7">
              <w:rPr>
                <w:rFonts w:ascii="Calibri" w:hAnsi="Calibri" w:cs="Arial"/>
                <w:noProof/>
                <w:lang w:val="en-IE"/>
              </w:rPr>
              <w:t>,</w:t>
            </w:r>
            <w:r>
              <w:rPr>
                <w:rFonts w:ascii="Calibri" w:hAnsi="Calibri" w:cs="Arial"/>
                <w:lang w:val="en-IE"/>
              </w:rPr>
              <w:t xml:space="preserve"> if the in-house consumption matched generation (zero power exported, zero power imported) the TSC as currently drafted, would apply supplier charges on a volume equal to (QM</w:t>
            </w:r>
            <w:r w:rsidRPr="004369C6">
              <w:rPr>
                <w:rFonts w:ascii="Calibri" w:hAnsi="Calibri" w:cs="Arial"/>
                <w:vertAlign w:val="subscript"/>
                <w:lang w:val="en-IE"/>
              </w:rPr>
              <w:t>u</w:t>
            </w:r>
            <w:r>
              <w:rPr>
                <w:rFonts w:ascii="Calibri" w:hAnsi="Calibri" w:cs="Arial"/>
                <w:lang w:val="en-IE"/>
              </w:rPr>
              <w:t>-QMLF</w:t>
            </w:r>
            <w:r w:rsidRPr="004369C6">
              <w:rPr>
                <w:rFonts w:ascii="Calibri" w:hAnsi="Calibri" w:cs="Arial"/>
                <w:vertAlign w:val="subscript"/>
                <w:lang w:val="en-IE"/>
              </w:rPr>
              <w:t>u</w:t>
            </w:r>
            <w:r>
              <w:rPr>
                <w:rFonts w:ascii="Calibri" w:hAnsi="Calibri" w:cs="Arial"/>
                <w:lang w:val="en-IE"/>
              </w:rPr>
              <w:t xml:space="preserve">) because the TSSU loss factor is different to the generator loss factor. </w:t>
            </w:r>
          </w:p>
          <w:p w:rsidR="00CB47AC" w:rsidRDefault="00CB47AC" w:rsidP="00CB47AC">
            <w:pPr>
              <w:rPr>
                <w:rFonts w:ascii="Calibri" w:hAnsi="Calibri" w:cs="Arial"/>
                <w:lang w:val="en-IE"/>
              </w:rPr>
            </w:pPr>
          </w:p>
          <w:p w:rsidR="00CB47AC" w:rsidRDefault="00CB47AC" w:rsidP="00CB47AC">
            <w:pPr>
              <w:rPr>
                <w:rFonts w:ascii="Calibri" w:hAnsi="Calibri" w:cs="Arial"/>
                <w:lang w:val="en-IE"/>
              </w:rPr>
            </w:pPr>
            <w:r>
              <w:rPr>
                <w:rFonts w:ascii="Calibri" w:hAnsi="Calibri" w:cs="Arial"/>
                <w:lang w:val="en-IE"/>
              </w:rPr>
              <w:t xml:space="preserve">Below is an example of the settlement of the Aughinish Autoproducer site when no power </w:t>
            </w:r>
            <w:proofErr w:type="gramStart"/>
            <w:r>
              <w:rPr>
                <w:rFonts w:ascii="Calibri" w:hAnsi="Calibri" w:cs="Arial"/>
                <w:lang w:val="en-IE"/>
              </w:rPr>
              <w:t>is being exported</w:t>
            </w:r>
            <w:proofErr w:type="gramEnd"/>
            <w:r>
              <w:rPr>
                <w:rFonts w:ascii="Calibri" w:hAnsi="Calibri" w:cs="Arial"/>
                <w:lang w:val="en-IE"/>
              </w:rPr>
              <w:t xml:space="preserve"> to the market or the transmission system.</w:t>
            </w:r>
          </w:p>
          <w:p w:rsidR="00CB47AC" w:rsidRDefault="00CB47AC" w:rsidP="00CB47AC">
            <w:pPr>
              <w:rPr>
                <w:rFonts w:ascii="Calibri" w:hAnsi="Calibri" w:cs="Arial"/>
                <w:lang w:val="en-IE"/>
              </w:rPr>
            </w:pPr>
          </w:p>
          <w:p w:rsidR="00CB47AC" w:rsidRDefault="00CB47AC" w:rsidP="00CB47AC">
            <w:pPr>
              <w:rPr>
                <w:rFonts w:ascii="Calibri" w:hAnsi="Calibri" w:cs="Arial"/>
                <w:lang w:val="en-IE"/>
              </w:rPr>
            </w:pPr>
          </w:p>
          <w:p w:rsidR="00CB47AC" w:rsidRDefault="00CB47AC" w:rsidP="00CB47AC">
            <w:pPr>
              <w:rPr>
                <w:rFonts w:ascii="Calibri" w:hAnsi="Calibri" w:cs="Arial"/>
                <w:lang w:val="en-IE"/>
              </w:rPr>
            </w:pPr>
            <w:r>
              <w:rPr>
                <w:rFonts w:ascii="Calibri" w:hAnsi="Calibri" w:cs="Arial"/>
                <w:noProof/>
                <w:lang w:val="en-IE" w:eastAsia="en-IE"/>
              </w:rPr>
              <w:drawing>
                <wp:inline distT="0" distB="0" distL="0" distR="0">
                  <wp:extent cx="5464454" cy="1296332"/>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8930" cy="1302138"/>
                          </a:xfrm>
                          <a:prstGeom prst="rect">
                            <a:avLst/>
                          </a:prstGeom>
                          <a:noFill/>
                        </pic:spPr>
                      </pic:pic>
                    </a:graphicData>
                  </a:graphic>
                </wp:inline>
              </w:drawing>
            </w:r>
          </w:p>
          <w:p w:rsidR="00CB47AC" w:rsidRDefault="00CB47AC" w:rsidP="00CB47AC">
            <w:pPr>
              <w:rPr>
                <w:rFonts w:ascii="Calibri" w:hAnsi="Calibri" w:cs="Arial"/>
                <w:lang w:val="en-IE"/>
              </w:rPr>
            </w:pPr>
          </w:p>
          <w:p w:rsidR="00CB47AC" w:rsidRDefault="00CB47AC" w:rsidP="00CB47AC">
            <w:pPr>
              <w:rPr>
                <w:rFonts w:ascii="Calibri" w:hAnsi="Calibri" w:cs="Arial"/>
                <w:lang w:val="en-IE"/>
              </w:rPr>
            </w:pPr>
            <w:r>
              <w:rPr>
                <w:rFonts w:ascii="Calibri" w:hAnsi="Calibri" w:cs="Arial"/>
                <w:lang w:val="en-IE"/>
              </w:rPr>
              <w:t xml:space="preserve">The materiality, based on Aughinishs historic metered generation is </w:t>
            </w:r>
            <w:r w:rsidRPr="00DB25D7">
              <w:rPr>
                <w:rFonts w:ascii="Calibri" w:hAnsi="Calibri" w:cs="Arial"/>
                <w:noProof/>
                <w:lang w:val="en-IE"/>
              </w:rPr>
              <w:t>low</w:t>
            </w:r>
            <w:r>
              <w:rPr>
                <w:rFonts w:ascii="Calibri" w:hAnsi="Calibri" w:cs="Arial"/>
                <w:lang w:val="en-IE"/>
              </w:rPr>
              <w:t xml:space="preserve"> but could be material in future markets.</w:t>
            </w:r>
          </w:p>
          <w:p w:rsidR="00CB47AC" w:rsidRDefault="00CB47AC" w:rsidP="00CB47AC">
            <w:pPr>
              <w:rPr>
                <w:rFonts w:ascii="Calibri" w:hAnsi="Calibri" w:cs="Arial"/>
                <w:lang w:val="en-IE"/>
              </w:rPr>
            </w:pPr>
          </w:p>
          <w:p w:rsidR="002246E2" w:rsidRDefault="002246E2" w:rsidP="00CB47AC">
            <w:pPr>
              <w:rPr>
                <w:rFonts w:ascii="Calibri" w:hAnsi="Calibri" w:cs="Arial"/>
                <w:lang w:val="en-IE"/>
              </w:rPr>
            </w:pPr>
          </w:p>
          <w:p w:rsidR="00CB47AC" w:rsidRDefault="002F6A40" w:rsidP="00D03D96">
            <w:pPr>
              <w:jc w:val="center"/>
              <w:rPr>
                <w:rFonts w:ascii="Calibri" w:hAnsi="Calibri" w:cs="Arial"/>
                <w:lang w:val="en-IE"/>
              </w:rPr>
            </w:pPr>
            <w:r>
              <w:rPr>
                <w:rFonts w:ascii="Calibri" w:hAnsi="Calibri" w:cs="Arial"/>
                <w:noProof/>
                <w:lang w:val="en-IE" w:eastAsia="en-IE"/>
              </w:rPr>
              <mc:AlternateContent>
                <mc:Choice Requires="wps">
                  <w:drawing>
                    <wp:anchor distT="0" distB="0" distL="114300" distR="114300" simplePos="0" relativeHeight="251661312" behindDoc="0" locked="0" layoutInCell="1" allowOverlap="1">
                      <wp:simplePos x="0" y="0"/>
                      <wp:positionH relativeFrom="column">
                        <wp:posOffset>946150</wp:posOffset>
                      </wp:positionH>
                      <wp:positionV relativeFrom="paragraph">
                        <wp:posOffset>25400</wp:posOffset>
                      </wp:positionV>
                      <wp:extent cx="3676650" cy="1905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76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46545"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pt" to="3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" strokecolor="#4579b8 [3044]">
                      <o:lock v:ext="edit" shapetype="f"/>
                    </v:line>
                  </w:pict>
                </mc:Fallback>
              </mc:AlternateContent>
            </w:r>
          </w:p>
          <w:p w:rsidR="00CB47AC" w:rsidRDefault="00CB47AC" w:rsidP="00CB47AC">
            <w:pPr>
              <w:rPr>
                <w:rFonts w:ascii="Calibri" w:hAnsi="Calibri" w:cs="Arial"/>
                <w:lang w:val="en-IE"/>
              </w:rPr>
            </w:pPr>
          </w:p>
          <w:p w:rsidR="00CB47AC" w:rsidRDefault="00CB47AC" w:rsidP="00CB47AC">
            <w:pPr>
              <w:rPr>
                <w:rFonts w:ascii="Calibri" w:hAnsi="Calibri" w:cs="Arial"/>
                <w:lang w:val="en-IE"/>
              </w:rPr>
            </w:pPr>
          </w:p>
          <w:p w:rsidR="00CB47AC" w:rsidRDefault="00CB47AC" w:rsidP="00CB47AC">
            <w:pPr>
              <w:rPr>
                <w:rFonts w:ascii="Calibri" w:hAnsi="Calibri" w:cs="Arial"/>
                <w:lang w:val="en-IE"/>
              </w:rPr>
            </w:pPr>
            <w:r>
              <w:rPr>
                <w:rFonts w:ascii="Calibri" w:hAnsi="Calibri" w:cs="Arial"/>
                <w:lang w:val="en-IE"/>
              </w:rPr>
              <w:t xml:space="preserve">Whilst it appears, the intention of F.4.2.13 is to address these two issues by applying a loss factor to the virtual Trading Unit. The effect </w:t>
            </w:r>
            <w:proofErr w:type="gramStart"/>
            <w:r>
              <w:rPr>
                <w:rFonts w:ascii="Calibri" w:hAnsi="Calibri" w:cs="Arial"/>
                <w:lang w:val="en-IE"/>
              </w:rPr>
              <w:t>is nullified</w:t>
            </w:r>
            <w:proofErr w:type="gramEnd"/>
            <w:r>
              <w:rPr>
                <w:rFonts w:ascii="Calibri" w:hAnsi="Calibri" w:cs="Arial"/>
                <w:lang w:val="en-IE"/>
              </w:rPr>
              <w:t xml:space="preserve"> because the Trading Unit has no volume in the Balancing Market.  Instead, Aughinish </w:t>
            </w:r>
            <w:r w:rsidRPr="00DB25D7">
              <w:rPr>
                <w:rFonts w:ascii="Calibri" w:hAnsi="Calibri" w:cs="Arial"/>
                <w:noProof/>
                <w:lang w:val="en-IE"/>
              </w:rPr>
              <w:t>propose</w:t>
            </w:r>
            <w:r w:rsidR="00DB25D7">
              <w:rPr>
                <w:rFonts w:ascii="Calibri" w:hAnsi="Calibri" w:cs="Arial"/>
                <w:noProof/>
                <w:lang w:val="en-IE"/>
              </w:rPr>
              <w:t>s</w:t>
            </w:r>
            <w:r>
              <w:rPr>
                <w:rFonts w:ascii="Calibri" w:hAnsi="Calibri" w:cs="Arial"/>
                <w:lang w:val="en-IE"/>
              </w:rPr>
              <w:t xml:space="preserve"> applying the appropriate published loss factors for the station node (or the weighted average if they differ for more than one generator) to the TSSU associated with the embedded generator(s) within an Autoproducer site.  It is our expectation that this would correct both item 1 and item 2 above.</w:t>
            </w:r>
          </w:p>
          <w:p w:rsidR="0049532B" w:rsidRDefault="0049532B" w:rsidP="00CB47AC">
            <w:pPr>
              <w:rPr>
                <w:rFonts w:ascii="Calibri" w:hAnsi="Calibri" w:cs="Arial"/>
                <w:lang w:val="en-IE"/>
              </w:rPr>
            </w:pPr>
          </w:p>
          <w:p w:rsidR="00FA0B25" w:rsidRDefault="00CB47AC" w:rsidP="00CB47AC">
            <w:pPr>
              <w:rPr>
                <w:rFonts w:ascii="Calibri" w:hAnsi="Calibri" w:cs="Arial"/>
                <w:lang w:val="en-IE"/>
              </w:rPr>
            </w:pPr>
            <w:r>
              <w:rPr>
                <w:rFonts w:ascii="Calibri" w:hAnsi="Calibri" w:cs="Arial"/>
                <w:lang w:val="en-IE"/>
              </w:rPr>
              <w:t>In making this modification proposal, Aughinish is aware that the Modification Committee need</w:t>
            </w:r>
            <w:r w:rsidR="008F035F">
              <w:rPr>
                <w:rFonts w:ascii="Calibri" w:hAnsi="Calibri" w:cs="Arial"/>
                <w:lang w:val="en-IE"/>
              </w:rPr>
              <w:t>s</w:t>
            </w:r>
            <w:r>
              <w:rPr>
                <w:rFonts w:ascii="Calibri" w:hAnsi="Calibri" w:cs="Arial"/>
                <w:lang w:val="en-IE"/>
              </w:rPr>
              <w:t xml:space="preserve"> to be cognisant of the potential for gaming the system.  </w:t>
            </w:r>
            <w:r w:rsidR="002801B3">
              <w:rPr>
                <w:rFonts w:ascii="Calibri" w:hAnsi="Calibri" w:cs="Arial"/>
                <w:lang w:val="en-IE"/>
              </w:rPr>
              <w:t xml:space="preserve">In the absents of being able to write the NGU back into the TSC </w:t>
            </w:r>
            <w:r w:rsidR="002801B3" w:rsidRPr="00FB2421">
              <w:rPr>
                <w:rFonts w:ascii="Calibri" w:hAnsi="Calibri" w:cs="Arial"/>
                <w:noProof/>
                <w:lang w:val="en-IE"/>
              </w:rPr>
              <w:t>part</w:t>
            </w:r>
            <w:r w:rsidR="002801B3">
              <w:rPr>
                <w:rFonts w:ascii="Calibri" w:hAnsi="Calibri" w:cs="Arial"/>
                <w:lang w:val="en-IE"/>
              </w:rPr>
              <w:t xml:space="preserve"> B </w:t>
            </w:r>
            <w:r>
              <w:rPr>
                <w:rFonts w:ascii="Calibri" w:hAnsi="Calibri" w:cs="Arial"/>
                <w:lang w:val="en-IE"/>
              </w:rPr>
              <w:t xml:space="preserve">Aughinish </w:t>
            </w:r>
            <w:r w:rsidRPr="00DB25D7">
              <w:rPr>
                <w:rFonts w:ascii="Calibri" w:hAnsi="Calibri" w:cs="Arial"/>
                <w:noProof/>
                <w:lang w:val="en-IE"/>
              </w:rPr>
              <w:t>recommend</w:t>
            </w:r>
            <w:r w:rsidR="00DB25D7">
              <w:rPr>
                <w:rFonts w:ascii="Calibri" w:hAnsi="Calibri" w:cs="Arial"/>
                <w:noProof/>
                <w:lang w:val="en-IE"/>
              </w:rPr>
              <w:t>s</w:t>
            </w:r>
            <w:r>
              <w:rPr>
                <w:rFonts w:ascii="Calibri" w:hAnsi="Calibri" w:cs="Arial"/>
                <w:lang w:val="en-IE"/>
              </w:rPr>
              <w:t xml:space="preserve"> that some restriction should apply. </w:t>
            </w:r>
            <w:r w:rsidR="00D03D96">
              <w:rPr>
                <w:rFonts w:ascii="Calibri" w:hAnsi="Calibri" w:cs="Arial"/>
                <w:lang w:val="en-IE"/>
              </w:rPr>
              <w:t>In the draft</w:t>
            </w:r>
            <w:r w:rsidR="0049532B">
              <w:rPr>
                <w:rFonts w:ascii="Calibri" w:hAnsi="Calibri" w:cs="Arial"/>
                <w:lang w:val="en-IE"/>
              </w:rPr>
              <w:t xml:space="preserve"> below,</w:t>
            </w:r>
            <w:r w:rsidR="00D03D96">
              <w:rPr>
                <w:rFonts w:ascii="Calibri" w:hAnsi="Calibri" w:cs="Arial"/>
                <w:lang w:val="en-IE"/>
              </w:rPr>
              <w:t xml:space="preserve"> exclusions apply </w:t>
            </w:r>
            <w:r>
              <w:rPr>
                <w:rFonts w:ascii="Calibri" w:hAnsi="Calibri" w:cs="Arial"/>
                <w:lang w:val="en-IE"/>
              </w:rPr>
              <w:t xml:space="preserve">if </w:t>
            </w:r>
            <w:r w:rsidR="00D03D96">
              <w:rPr>
                <w:rFonts w:ascii="Calibri" w:hAnsi="Calibri" w:cs="Arial"/>
                <w:lang w:val="en-IE"/>
              </w:rPr>
              <w:t>the sites</w:t>
            </w:r>
            <w:r>
              <w:rPr>
                <w:rFonts w:ascii="Calibri" w:hAnsi="Calibri" w:cs="Arial"/>
                <w:lang w:val="en-IE"/>
              </w:rPr>
              <w:t xml:space="preserve"> MEC is</w:t>
            </w:r>
            <w:r w:rsidR="00D03D96">
              <w:rPr>
                <w:rFonts w:ascii="Calibri" w:hAnsi="Calibri" w:cs="Arial"/>
                <w:lang w:val="en-IE"/>
              </w:rPr>
              <w:t xml:space="preserve"> not</w:t>
            </w:r>
            <w:r>
              <w:rPr>
                <w:rFonts w:ascii="Calibri" w:hAnsi="Calibri" w:cs="Arial"/>
                <w:lang w:val="en-IE"/>
              </w:rPr>
              <w:t xml:space="preserve"> greater than its MIC and</w:t>
            </w:r>
            <w:r w:rsidR="00D03D96">
              <w:rPr>
                <w:rFonts w:ascii="Calibri" w:hAnsi="Calibri" w:cs="Arial"/>
                <w:lang w:val="en-IE"/>
              </w:rPr>
              <w:t xml:space="preserve"> in periods where the</w:t>
            </w:r>
            <w:r>
              <w:rPr>
                <w:rFonts w:ascii="Calibri" w:hAnsi="Calibri" w:cs="Arial"/>
                <w:lang w:val="en-IE"/>
              </w:rPr>
              <w:t xml:space="preserve"> site</w:t>
            </w:r>
            <w:r w:rsidR="00D03D96">
              <w:rPr>
                <w:rFonts w:ascii="Calibri" w:hAnsi="Calibri" w:cs="Arial"/>
                <w:lang w:val="en-IE"/>
              </w:rPr>
              <w:t xml:space="preserve"> is not generating any power</w:t>
            </w:r>
            <w:r>
              <w:rPr>
                <w:rFonts w:ascii="Calibri" w:hAnsi="Calibri" w:cs="Arial"/>
                <w:lang w:val="en-IE"/>
              </w:rPr>
              <w:t>.</w:t>
            </w:r>
            <w:r w:rsidR="0049532B">
              <w:rPr>
                <w:rFonts w:ascii="Calibri" w:hAnsi="Calibri" w:cs="Arial"/>
                <w:lang w:val="en-IE"/>
              </w:rPr>
              <w:t xml:space="preserve"> </w:t>
            </w: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25188D" w:rsidRDefault="0025188D" w:rsidP="00CB47AC">
            <w:pPr>
              <w:rPr>
                <w:rFonts w:ascii="Calibri" w:hAnsi="Calibri" w:cs="Arial"/>
                <w:lang w:val="en-IE"/>
              </w:rPr>
            </w:pPr>
          </w:p>
          <w:p w:rsidR="00CB47AC" w:rsidRDefault="00CB47AC" w:rsidP="00CB47AC">
            <w:pPr>
              <w:rPr>
                <w:rFonts w:ascii="Calibri" w:hAnsi="Calibri" w:cs="Arial"/>
                <w:lang w:val="en-IE"/>
              </w:rPr>
            </w:pPr>
          </w:p>
          <w:p w:rsidR="00CB47AC" w:rsidRPr="004C53E7" w:rsidRDefault="00CB47AC" w:rsidP="00CB47AC">
            <w:pPr>
              <w:rPr>
                <w:rFonts w:ascii="Calibri" w:hAnsi="Calibri" w:cs="Arial"/>
                <w:lang w:val="en-IE"/>
              </w:rPr>
            </w:pPr>
          </w:p>
        </w:tc>
      </w:tr>
      <w:tr w:rsidR="00CB47AC" w:rsidRPr="004C53E7" w:rsidDel="00404964" w:rsidTr="00D74B02">
        <w:tc>
          <w:tcPr>
            <w:tcW w:w="9243" w:type="dxa"/>
            <w:gridSpan w:val="6"/>
            <w:shd w:val="clear" w:color="auto" w:fill="C6D9F1"/>
            <w:vAlign w:val="center"/>
          </w:tcPr>
          <w:p w:rsidR="00CB47AC" w:rsidRPr="004C53E7" w:rsidRDefault="00CB47AC" w:rsidP="00CB47AC">
            <w:pPr>
              <w:jc w:val="center"/>
              <w:rPr>
                <w:rFonts w:ascii="Calibri" w:hAnsi="Calibri" w:cs="Arial"/>
                <w:iCs/>
                <w:lang w:val="en-IE"/>
              </w:rPr>
            </w:pPr>
            <w:r w:rsidRPr="004C53E7">
              <w:rPr>
                <w:rFonts w:ascii="Calibri" w:hAnsi="Calibri" w:cs="Arial"/>
                <w:b/>
                <w:bCs/>
                <w:iCs/>
                <w:lang w:val="en-IE"/>
              </w:rPr>
              <w:lastRenderedPageBreak/>
              <w:t>Legal Drafting Change</w:t>
            </w:r>
          </w:p>
          <w:p w:rsidR="00CB47AC" w:rsidRPr="004C53E7" w:rsidDel="00404964" w:rsidRDefault="00CB47AC" w:rsidP="00CB47A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w:t>
            </w:r>
            <w:r w:rsidRPr="00DB25D7">
              <w:rPr>
                <w:rFonts w:ascii="Calibri" w:hAnsi="Calibri" w:cs="Arial"/>
                <w:i/>
                <w:iCs/>
                <w:noProof/>
                <w:lang w:val="en-IE"/>
              </w:rPr>
              <w:t>best</w:t>
            </w:r>
            <w:r w:rsidRPr="004C53E7">
              <w:rPr>
                <w:rFonts w:ascii="Calibri" w:hAnsi="Calibri" w:cs="Arial"/>
                <w:i/>
                <w:iCs/>
                <w:lang w:val="en-IE"/>
              </w:rPr>
              <w:t xml:space="preserve"> estimate of potential changes)</w:t>
            </w:r>
          </w:p>
        </w:tc>
      </w:tr>
      <w:tr w:rsidR="00CB47AC" w:rsidRPr="004C53E7" w:rsidDel="00404964" w:rsidTr="00693AA7">
        <w:tc>
          <w:tcPr>
            <w:tcW w:w="9243" w:type="dxa"/>
            <w:gridSpan w:val="6"/>
            <w:vAlign w:val="center"/>
          </w:tcPr>
          <w:p w:rsidR="00CB47AC" w:rsidRDefault="00CB47AC" w:rsidP="00CB47AC">
            <w:pPr>
              <w:pStyle w:val="NoSpacing"/>
              <w:rPr>
                <w:lang w:val="en-IE"/>
              </w:rPr>
            </w:pPr>
          </w:p>
          <w:p w:rsidR="0025188D" w:rsidRPr="0025188D" w:rsidRDefault="0025188D" w:rsidP="00CB47AC">
            <w:pPr>
              <w:pStyle w:val="NoSpacing"/>
              <w:rPr>
                <w:color w:val="000000" w:themeColor="text1"/>
                <w:lang w:val="en-IE"/>
              </w:rPr>
            </w:pPr>
            <w:r w:rsidRPr="0025188D">
              <w:rPr>
                <w:color w:val="000000" w:themeColor="text1"/>
                <w:lang w:val="en-IE"/>
              </w:rPr>
              <w:t>[See appendix 1 for editable redline version]</w:t>
            </w:r>
          </w:p>
          <w:p w:rsidR="0025188D" w:rsidRDefault="0025188D" w:rsidP="00CB47AC">
            <w:pPr>
              <w:pStyle w:val="NoSpacing"/>
              <w:rPr>
                <w:lang w:val="en-IE"/>
              </w:rPr>
            </w:pPr>
          </w:p>
          <w:p w:rsidR="0025188D" w:rsidRDefault="0025188D" w:rsidP="00CB47AC">
            <w:pPr>
              <w:pStyle w:val="NoSpacing"/>
              <w:rPr>
                <w:lang w:val="en-IE"/>
              </w:rPr>
            </w:pPr>
          </w:p>
          <w:p w:rsidR="0025188D" w:rsidRDefault="007E7904" w:rsidP="00CB47AC">
            <w:pPr>
              <w:pStyle w:val="NoSpacing"/>
              <w:rPr>
                <w:lang w:val="en-IE"/>
              </w:rPr>
            </w:pPr>
            <w:r>
              <w:rPr>
                <w:noProof/>
                <w:lang w:val="en-IE" w:eastAsia="en-IE"/>
              </w:rPr>
              <w:drawing>
                <wp:inline distT="0" distB="0" distL="0" distR="0" wp14:anchorId="0D6A0F37" wp14:editId="1D4E3720">
                  <wp:extent cx="5732145" cy="703008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7030085"/>
                          </a:xfrm>
                          <a:prstGeom prst="rect">
                            <a:avLst/>
                          </a:prstGeom>
                        </pic:spPr>
                      </pic:pic>
                    </a:graphicData>
                  </a:graphic>
                </wp:inline>
              </w:drawing>
            </w:r>
          </w:p>
          <w:p w:rsidR="0025188D" w:rsidRDefault="0025188D" w:rsidP="00CB47AC">
            <w:pPr>
              <w:pStyle w:val="NoSpacing"/>
              <w:rPr>
                <w:lang w:val="en-IE"/>
              </w:rPr>
            </w:pPr>
          </w:p>
          <w:p w:rsidR="007E7904" w:rsidRDefault="007E7904" w:rsidP="00CB47AC">
            <w:pPr>
              <w:pStyle w:val="NoSpacing"/>
              <w:rPr>
                <w:lang w:val="en-IE"/>
              </w:rPr>
            </w:pPr>
          </w:p>
          <w:p w:rsidR="007E7904" w:rsidRDefault="007E7904" w:rsidP="00CB47AC">
            <w:pPr>
              <w:pStyle w:val="NoSpacing"/>
              <w:rPr>
                <w:lang w:val="en-IE"/>
              </w:rPr>
            </w:pPr>
          </w:p>
          <w:p w:rsidR="007E7904" w:rsidRDefault="007E7904" w:rsidP="00CB47AC">
            <w:pPr>
              <w:pStyle w:val="NoSpacing"/>
              <w:rPr>
                <w:lang w:val="en-IE"/>
              </w:rPr>
            </w:pPr>
            <w:bookmarkStart w:id="0" w:name="_GoBack"/>
            <w:bookmarkEnd w:id="0"/>
          </w:p>
          <w:p w:rsidR="00CB47AC" w:rsidRPr="004C53E7" w:rsidDel="00404964" w:rsidRDefault="00CB47AC" w:rsidP="00CB47AC">
            <w:pPr>
              <w:pStyle w:val="NoSpacing"/>
              <w:rPr>
                <w:rFonts w:ascii="Calibri" w:hAnsi="Calibri" w:cs="Arial"/>
                <w:lang w:val="en-IE"/>
              </w:rPr>
            </w:pPr>
          </w:p>
        </w:tc>
      </w:tr>
      <w:tr w:rsidR="00CB47AC" w:rsidRPr="004C53E7" w:rsidTr="00D74B02">
        <w:tc>
          <w:tcPr>
            <w:tcW w:w="9243" w:type="dxa"/>
            <w:gridSpan w:val="6"/>
            <w:shd w:val="clear" w:color="auto" w:fill="C6D9F1"/>
            <w:vAlign w:val="center"/>
          </w:tcPr>
          <w:p w:rsidR="00CB47AC" w:rsidRPr="004C53E7" w:rsidRDefault="00CB47AC" w:rsidP="00CB47AC">
            <w:pPr>
              <w:jc w:val="center"/>
              <w:rPr>
                <w:rFonts w:ascii="Calibri" w:hAnsi="Calibri" w:cs="Arial"/>
                <w:b/>
                <w:bCs/>
                <w:lang w:val="en-IE"/>
              </w:rPr>
            </w:pPr>
            <w:r w:rsidRPr="004C53E7">
              <w:rPr>
                <w:rFonts w:ascii="Calibri" w:hAnsi="Calibri" w:cs="Arial"/>
                <w:b/>
                <w:bCs/>
                <w:lang w:val="en-IE"/>
              </w:rPr>
              <w:t>Modification Proposal Justification</w:t>
            </w:r>
          </w:p>
          <w:p w:rsidR="00CB47AC" w:rsidRPr="004C53E7" w:rsidRDefault="00CB47AC" w:rsidP="00CB47AC">
            <w:pPr>
              <w:jc w:val="center"/>
              <w:rPr>
                <w:rFonts w:ascii="Calibri" w:hAnsi="Calibri" w:cs="Arial"/>
                <w:lang w:val="en-IE"/>
              </w:rPr>
            </w:pPr>
            <w:r w:rsidRPr="004C53E7">
              <w:rPr>
                <w:rFonts w:ascii="Calibri" w:hAnsi="Calibri" w:cs="Arial"/>
                <w:i/>
                <w:iCs/>
                <w:lang w:val="en-IE"/>
              </w:rPr>
              <w:t>(</w:t>
            </w:r>
            <w:r w:rsidRPr="001A46E0">
              <w:rPr>
                <w:rFonts w:ascii="Calibri" w:hAnsi="Calibri" w:cs="Arial"/>
                <w:i/>
                <w:iCs/>
                <w:noProof/>
                <w:lang w:val="en-IE"/>
              </w:rPr>
              <w:t>Clearly</w:t>
            </w:r>
            <w:r w:rsidRPr="004C53E7">
              <w:rPr>
                <w:rFonts w:ascii="Calibri" w:hAnsi="Calibri" w:cs="Arial"/>
                <w:i/>
                <w:iCs/>
                <w:lang w:val="en-IE"/>
              </w:rPr>
              <w:t xml:space="preserve"> state the reason for the Modification</w:t>
            </w:r>
            <w:r w:rsidRPr="004C53E7">
              <w:rPr>
                <w:rFonts w:ascii="Calibri" w:hAnsi="Calibri" w:cs="Arial"/>
                <w:i/>
                <w:lang w:val="en-IE" w:eastAsia="en-US"/>
              </w:rPr>
              <w:t>)</w:t>
            </w:r>
          </w:p>
        </w:tc>
      </w:tr>
      <w:tr w:rsidR="00CB47AC" w:rsidRPr="004C53E7" w:rsidTr="00693AA7">
        <w:tc>
          <w:tcPr>
            <w:tcW w:w="9243" w:type="dxa"/>
            <w:gridSpan w:val="6"/>
            <w:vAlign w:val="center"/>
          </w:tcPr>
          <w:p w:rsidR="00CB47AC" w:rsidRDefault="00CB47AC" w:rsidP="00CB47AC">
            <w:pPr>
              <w:pStyle w:val="NoSpacing"/>
              <w:rPr>
                <w:lang w:val="en-IE"/>
              </w:rPr>
            </w:pPr>
          </w:p>
          <w:p w:rsidR="00CB47AC" w:rsidRDefault="00CB47AC" w:rsidP="00CB47AC">
            <w:pPr>
              <w:pStyle w:val="NoSpacing"/>
              <w:numPr>
                <w:ilvl w:val="0"/>
                <w:numId w:val="4"/>
              </w:numPr>
              <w:rPr>
                <w:lang w:val="en-IE"/>
              </w:rPr>
            </w:pPr>
            <w:r>
              <w:rPr>
                <w:lang w:val="en-IE"/>
              </w:rPr>
              <w:t>There are u</w:t>
            </w:r>
            <w:r w:rsidRPr="00DD400E">
              <w:rPr>
                <w:lang w:val="en-IE"/>
              </w:rPr>
              <w:t>nforeseen consequence</w:t>
            </w:r>
            <w:r>
              <w:rPr>
                <w:lang w:val="en-IE"/>
              </w:rPr>
              <w:t xml:space="preserve">s associated with </w:t>
            </w:r>
            <w:r w:rsidRPr="00DD400E">
              <w:rPr>
                <w:lang w:val="en-IE"/>
              </w:rPr>
              <w:t>the removal of Netting Generator Unit (NGU) as part of the ISEM TSC drafting.</w:t>
            </w:r>
          </w:p>
          <w:p w:rsidR="00CB47AC" w:rsidRPr="00DD400E" w:rsidRDefault="00CB47AC" w:rsidP="00CB47AC">
            <w:pPr>
              <w:pStyle w:val="NoSpacing"/>
              <w:numPr>
                <w:ilvl w:val="0"/>
                <w:numId w:val="4"/>
              </w:numPr>
              <w:rPr>
                <w:lang w:val="en-IE"/>
              </w:rPr>
            </w:pPr>
            <w:r w:rsidRPr="00DD400E">
              <w:rPr>
                <w:lang w:val="en-IE"/>
              </w:rPr>
              <w:t xml:space="preserve">The additional cost of applying losses inside the Autoproducer site boundary is likely </w:t>
            </w:r>
            <w:r w:rsidR="00A114C2">
              <w:rPr>
                <w:lang w:val="en-IE"/>
              </w:rPr>
              <w:t>to exceed</w:t>
            </w:r>
            <w:r w:rsidRPr="00DD400E">
              <w:rPr>
                <w:lang w:val="en-IE"/>
              </w:rPr>
              <w:t xml:space="preserve"> €500,000/annum for Aughinish Alumina</w:t>
            </w:r>
            <w:r>
              <w:rPr>
                <w:lang w:val="en-IE"/>
              </w:rPr>
              <w:t xml:space="preserve"> manufacturing facility.</w:t>
            </w:r>
          </w:p>
          <w:p w:rsidR="00CB47AC" w:rsidRDefault="00CB47AC" w:rsidP="002246E2">
            <w:pPr>
              <w:pStyle w:val="NoSpacing"/>
              <w:numPr>
                <w:ilvl w:val="0"/>
                <w:numId w:val="4"/>
              </w:numPr>
              <w:rPr>
                <w:lang w:val="en-IE"/>
              </w:rPr>
            </w:pPr>
            <w:r w:rsidRPr="00DD400E">
              <w:rPr>
                <w:lang w:val="en-IE"/>
              </w:rPr>
              <w:t xml:space="preserve">The proposed changes only materially affect </w:t>
            </w:r>
            <w:r w:rsidR="00A114C2">
              <w:rPr>
                <w:lang w:val="en-IE"/>
              </w:rPr>
              <w:t xml:space="preserve">Trading Site </w:t>
            </w:r>
            <w:r w:rsidR="002246E2">
              <w:rPr>
                <w:lang w:val="en-IE"/>
              </w:rPr>
              <w:t xml:space="preserve">with a </w:t>
            </w:r>
            <w:r w:rsidR="002246E2" w:rsidRPr="002246E2">
              <w:rPr>
                <w:lang w:val="en-IE"/>
              </w:rPr>
              <w:t>contiguous Autoproducer</w:t>
            </w:r>
          </w:p>
          <w:p w:rsidR="000F4182" w:rsidRPr="000F4182" w:rsidRDefault="000F4182" w:rsidP="00086033">
            <w:pPr>
              <w:pStyle w:val="NoSpacing"/>
              <w:numPr>
                <w:ilvl w:val="0"/>
                <w:numId w:val="4"/>
              </w:numPr>
              <w:rPr>
                <w:lang w:val="en-IE"/>
              </w:rPr>
            </w:pPr>
            <w:r w:rsidRPr="000F4182">
              <w:rPr>
                <w:lang w:val="en-IE"/>
              </w:rPr>
              <w:t xml:space="preserve">Under the current SEM, losses </w:t>
            </w:r>
            <w:proofErr w:type="gramStart"/>
            <w:r w:rsidRPr="000F4182">
              <w:rPr>
                <w:lang w:val="en-IE"/>
              </w:rPr>
              <w:t>are not applied</w:t>
            </w:r>
            <w:proofErr w:type="gramEnd"/>
            <w:r w:rsidRPr="000F4182">
              <w:rPr>
                <w:lang w:val="en-IE"/>
              </w:rPr>
              <w:t xml:space="preserve"> to the volume of power self-supplied to the host site. This should remain true in the I-SEM under the principle not to change </w:t>
            </w:r>
            <w:r w:rsidR="00086033" w:rsidRPr="000F4182">
              <w:rPr>
                <w:lang w:val="en-IE"/>
              </w:rPr>
              <w:t>anything, which</w:t>
            </w:r>
            <w:r w:rsidRPr="000F4182">
              <w:rPr>
                <w:lang w:val="en-IE"/>
              </w:rPr>
              <w:t xml:space="preserve"> </w:t>
            </w:r>
            <w:proofErr w:type="gramStart"/>
            <w:r w:rsidRPr="000F4182">
              <w:rPr>
                <w:lang w:val="en-IE"/>
              </w:rPr>
              <w:t>doesn’t</w:t>
            </w:r>
            <w:proofErr w:type="gramEnd"/>
            <w:r w:rsidRPr="000F4182">
              <w:rPr>
                <w:lang w:val="en-IE"/>
              </w:rPr>
              <w:t xml:space="preserve"> need changing</w:t>
            </w:r>
            <w:r w:rsidR="00086033">
              <w:t xml:space="preserve"> </w:t>
            </w:r>
            <w:r w:rsidR="00086033" w:rsidRPr="00086033">
              <w:rPr>
                <w:lang w:val="en-IE"/>
              </w:rPr>
              <w:t>to comply with market coupling. This does not apply to other non-Trading sites importing and exporting in the I-SEM and is an anomaly, which has arisen due to the removal of the NGU.</w:t>
            </w:r>
          </w:p>
          <w:p w:rsidR="000F4182" w:rsidRPr="000F4182" w:rsidRDefault="000F4182" w:rsidP="00086033">
            <w:pPr>
              <w:pStyle w:val="NoSpacing"/>
              <w:numPr>
                <w:ilvl w:val="0"/>
                <w:numId w:val="4"/>
              </w:numPr>
              <w:rPr>
                <w:lang w:val="en-IE"/>
              </w:rPr>
            </w:pPr>
            <w:r w:rsidRPr="000F4182">
              <w:rPr>
                <w:lang w:val="en-IE"/>
              </w:rPr>
              <w:t>The current TSC drafting incorporates a penalty on co-generation</w:t>
            </w:r>
            <w:r w:rsidR="00086033">
              <w:t xml:space="preserve"> </w:t>
            </w:r>
            <w:r w:rsidR="00086033" w:rsidRPr="00086033">
              <w:rPr>
                <w:lang w:val="en-IE"/>
              </w:rPr>
              <w:t xml:space="preserve">operating within a Trading Site </w:t>
            </w:r>
            <w:r w:rsidRPr="000F4182">
              <w:rPr>
                <w:lang w:val="en-IE"/>
              </w:rPr>
              <w:t xml:space="preserve">and its associated benefits for society, the environment and industry. It is in breach of </w:t>
            </w:r>
            <w:r w:rsidRPr="00FB2421">
              <w:rPr>
                <w:noProof/>
                <w:lang w:val="en-IE"/>
              </w:rPr>
              <w:t>national</w:t>
            </w:r>
            <w:r w:rsidRPr="000F4182">
              <w:rPr>
                <w:lang w:val="en-IE"/>
              </w:rPr>
              <w:t xml:space="preserve"> and European law. </w:t>
            </w:r>
          </w:p>
          <w:p w:rsidR="000F4182" w:rsidRDefault="000F4182" w:rsidP="000F4182">
            <w:pPr>
              <w:pStyle w:val="NoSpacing"/>
              <w:rPr>
                <w:lang w:val="en-IE"/>
              </w:rPr>
            </w:pPr>
          </w:p>
          <w:p w:rsidR="00CB47AC" w:rsidRDefault="00CB47AC" w:rsidP="00CB47AC">
            <w:pPr>
              <w:pStyle w:val="NoSpacing"/>
              <w:rPr>
                <w:lang w:val="en-IE"/>
              </w:rPr>
            </w:pPr>
          </w:p>
          <w:p w:rsidR="00CB47AC" w:rsidRDefault="00CB47AC" w:rsidP="00CB47AC">
            <w:pPr>
              <w:pStyle w:val="NoSpacing"/>
              <w:rPr>
                <w:lang w:val="en-IE"/>
              </w:rPr>
            </w:pPr>
            <w:r>
              <w:rPr>
                <w:lang w:val="en-IE"/>
              </w:rPr>
              <w:t>This modification proposal is marked as “urgent” because this is a material inconsistency in the Code and is material under normal operation of an Autoproducer.</w:t>
            </w:r>
          </w:p>
          <w:p w:rsidR="00CB47AC" w:rsidRPr="004C53E7" w:rsidRDefault="00CB47AC" w:rsidP="00CB47AC">
            <w:pPr>
              <w:rPr>
                <w:rFonts w:ascii="Calibri" w:hAnsi="Calibri" w:cs="Arial"/>
                <w:lang w:val="en-IE"/>
              </w:rPr>
            </w:pPr>
          </w:p>
        </w:tc>
      </w:tr>
      <w:tr w:rsidR="00CB47AC" w:rsidRPr="004C53E7" w:rsidTr="00D74B02">
        <w:tc>
          <w:tcPr>
            <w:tcW w:w="9243" w:type="dxa"/>
            <w:gridSpan w:val="6"/>
            <w:shd w:val="clear" w:color="auto" w:fill="C6D9F1"/>
            <w:vAlign w:val="center"/>
          </w:tcPr>
          <w:p w:rsidR="00CB47AC" w:rsidRPr="004C53E7" w:rsidRDefault="00CB47AC" w:rsidP="00CB47AC">
            <w:pPr>
              <w:jc w:val="center"/>
              <w:rPr>
                <w:rFonts w:ascii="Calibri" w:hAnsi="Calibri" w:cs="Arial"/>
                <w:b/>
                <w:bCs/>
                <w:iCs/>
                <w:lang w:val="en-IE"/>
              </w:rPr>
            </w:pPr>
            <w:r w:rsidRPr="004C53E7">
              <w:rPr>
                <w:rFonts w:ascii="Calibri" w:hAnsi="Calibri" w:cs="Arial"/>
                <w:b/>
                <w:bCs/>
                <w:iCs/>
                <w:lang w:val="en-IE"/>
              </w:rPr>
              <w:t>Code Objectives Furthered</w:t>
            </w:r>
          </w:p>
          <w:p w:rsidR="00CB47AC" w:rsidRPr="004C53E7" w:rsidRDefault="00CB47AC" w:rsidP="00CB47A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CB47AC" w:rsidRPr="004C53E7" w:rsidTr="00693AA7">
        <w:tc>
          <w:tcPr>
            <w:tcW w:w="9243" w:type="dxa"/>
            <w:gridSpan w:val="6"/>
            <w:vAlign w:val="center"/>
          </w:tcPr>
          <w:p w:rsidR="00CB47AC" w:rsidRDefault="00CB47AC" w:rsidP="00CB47AC">
            <w:pPr>
              <w:pStyle w:val="NoSpacing"/>
              <w:rPr>
                <w:lang w:val="en-IE"/>
              </w:rPr>
            </w:pPr>
          </w:p>
          <w:p w:rsidR="00CB47AC" w:rsidRPr="00DD5705" w:rsidRDefault="00CB47AC" w:rsidP="00CB47AC">
            <w:pPr>
              <w:pStyle w:val="NoSpacing"/>
              <w:rPr>
                <w:lang w:val="en-IE"/>
              </w:rPr>
            </w:pPr>
          </w:p>
          <w:p w:rsidR="00CB47AC" w:rsidRDefault="00CB47AC" w:rsidP="00CB47AC">
            <w:pPr>
              <w:pStyle w:val="NoSpacing"/>
              <w:numPr>
                <w:ilvl w:val="0"/>
                <w:numId w:val="5"/>
              </w:numPr>
              <w:rPr>
                <w:lang w:val="en-IE"/>
              </w:rPr>
            </w:pPr>
            <w:r w:rsidRPr="00DD5705">
              <w:rPr>
                <w:lang w:val="en-IE"/>
              </w:rPr>
              <w:t xml:space="preserve">to facilitate the efficient discharge by the Market Operator of the obligations imposed upon it by its Market Operator Licences; </w:t>
            </w:r>
          </w:p>
          <w:p w:rsidR="00CB47AC" w:rsidRPr="005444FF" w:rsidRDefault="00CB47AC" w:rsidP="00CB47AC">
            <w:pPr>
              <w:pStyle w:val="NoSpacing"/>
              <w:rPr>
                <w:color w:val="0070C0"/>
                <w:lang w:val="en-IE"/>
              </w:rPr>
            </w:pPr>
            <w:r>
              <w:rPr>
                <w:color w:val="0070C0"/>
                <w:lang w:val="en-IE"/>
              </w:rPr>
              <w:t>Correct application of losses on Autoproducers is critical to this objective</w:t>
            </w:r>
          </w:p>
          <w:p w:rsidR="00CB47AC" w:rsidRPr="00DD5705" w:rsidRDefault="00CB47AC" w:rsidP="00CB47AC">
            <w:pPr>
              <w:pStyle w:val="NoSpacing"/>
              <w:rPr>
                <w:lang w:val="en-IE"/>
              </w:rPr>
            </w:pPr>
          </w:p>
          <w:p w:rsidR="00CB47AC" w:rsidRDefault="00CB47AC" w:rsidP="00CB47AC">
            <w:pPr>
              <w:pStyle w:val="NoSpacing"/>
              <w:numPr>
                <w:ilvl w:val="0"/>
                <w:numId w:val="5"/>
              </w:numPr>
              <w:rPr>
                <w:lang w:val="en-IE"/>
              </w:rPr>
            </w:pPr>
            <w:r w:rsidRPr="00DD5705">
              <w:rPr>
                <w:lang w:val="en-IE"/>
              </w:rPr>
              <w:t>to facilitate the efficient, economic and coordinated operation, administration and development of the Single Electricity Market in a financially secure manner;</w:t>
            </w:r>
          </w:p>
          <w:p w:rsidR="00CB47AC" w:rsidRDefault="00CB47AC" w:rsidP="00CB47AC">
            <w:pPr>
              <w:pStyle w:val="NoSpacing"/>
              <w:rPr>
                <w:color w:val="0070C0"/>
                <w:lang w:val="en-IE"/>
              </w:rPr>
            </w:pPr>
            <w:r>
              <w:rPr>
                <w:color w:val="0070C0"/>
                <w:lang w:val="en-IE"/>
              </w:rPr>
              <w:t>Correct application of losses on Autoproducers is critical to this objective</w:t>
            </w:r>
          </w:p>
          <w:p w:rsidR="00CB47AC" w:rsidRPr="005444FF" w:rsidRDefault="00CB47AC" w:rsidP="00CB47AC">
            <w:pPr>
              <w:pStyle w:val="NoSpacing"/>
              <w:rPr>
                <w:color w:val="0070C0"/>
                <w:lang w:val="en-IE"/>
              </w:rPr>
            </w:pPr>
          </w:p>
          <w:p w:rsidR="00CB47AC" w:rsidRDefault="00CB47AC" w:rsidP="00CB47AC">
            <w:pPr>
              <w:pStyle w:val="NoSpacing"/>
              <w:numPr>
                <w:ilvl w:val="0"/>
                <w:numId w:val="5"/>
              </w:numPr>
              <w:rPr>
                <w:lang w:val="en-IE"/>
              </w:rPr>
            </w:pPr>
            <w:r w:rsidRPr="00DD5705">
              <w:rPr>
                <w:lang w:val="en-IE"/>
              </w:rPr>
              <w:t>to facilitate the participation of electricity undertakings engaged in the generation, supply or sale of electricity in the trading arrangements under the Single Electricity Market;</w:t>
            </w:r>
          </w:p>
          <w:p w:rsidR="00CB47AC" w:rsidRDefault="00CB47AC" w:rsidP="00CB47AC">
            <w:pPr>
              <w:pStyle w:val="NoSpacing"/>
              <w:rPr>
                <w:color w:val="0070C0"/>
                <w:lang w:val="en-IE"/>
              </w:rPr>
            </w:pPr>
            <w:r>
              <w:rPr>
                <w:color w:val="0070C0"/>
                <w:lang w:val="en-IE"/>
              </w:rPr>
              <w:t>Correct application of losses on Autoproducers is critical to this objective</w:t>
            </w:r>
          </w:p>
          <w:p w:rsidR="00CB47AC" w:rsidRPr="00DD5705" w:rsidRDefault="00CB47AC" w:rsidP="00CB47AC">
            <w:pPr>
              <w:pStyle w:val="NoSpacing"/>
              <w:rPr>
                <w:lang w:val="en-IE"/>
              </w:rPr>
            </w:pPr>
          </w:p>
          <w:p w:rsidR="00CB47AC" w:rsidRDefault="00CB47AC" w:rsidP="00CB47AC">
            <w:pPr>
              <w:pStyle w:val="NoSpacing"/>
              <w:numPr>
                <w:ilvl w:val="0"/>
                <w:numId w:val="5"/>
              </w:numPr>
              <w:rPr>
                <w:lang w:val="en-IE"/>
              </w:rPr>
            </w:pPr>
            <w:r w:rsidRPr="00DD5705">
              <w:rPr>
                <w:lang w:val="en-IE"/>
              </w:rPr>
              <w:t>to promote competition in the single electricity wholesale market on the island of Ireland;</w:t>
            </w:r>
          </w:p>
          <w:p w:rsidR="00CB47AC" w:rsidRDefault="00CB47AC" w:rsidP="00CB47AC">
            <w:pPr>
              <w:pStyle w:val="NoSpacing"/>
              <w:rPr>
                <w:color w:val="0070C0"/>
                <w:lang w:val="en-IE"/>
              </w:rPr>
            </w:pPr>
            <w:r>
              <w:rPr>
                <w:color w:val="0070C0"/>
                <w:lang w:val="en-IE"/>
              </w:rPr>
              <w:t>Correct application of losses on Autoproducers is critical to this objective</w:t>
            </w:r>
          </w:p>
          <w:p w:rsidR="00CB47AC" w:rsidRPr="00DD5705" w:rsidRDefault="00CB47AC" w:rsidP="00CB47AC">
            <w:pPr>
              <w:pStyle w:val="NoSpacing"/>
              <w:rPr>
                <w:lang w:val="en-IE"/>
              </w:rPr>
            </w:pPr>
          </w:p>
          <w:p w:rsidR="00CB47AC" w:rsidRDefault="00CB47AC" w:rsidP="00CB47AC">
            <w:pPr>
              <w:pStyle w:val="NoSpacing"/>
              <w:numPr>
                <w:ilvl w:val="0"/>
                <w:numId w:val="5"/>
              </w:numPr>
              <w:rPr>
                <w:lang w:val="en-IE"/>
              </w:rPr>
            </w:pPr>
            <w:r w:rsidRPr="00DD5705">
              <w:rPr>
                <w:lang w:val="en-IE"/>
              </w:rPr>
              <w:t xml:space="preserve">to provide transparency in the operation of the Single Electricity Market; </w:t>
            </w:r>
          </w:p>
          <w:p w:rsidR="00CB47AC" w:rsidRDefault="00CB47AC" w:rsidP="00CB47AC">
            <w:pPr>
              <w:pStyle w:val="NoSpacing"/>
              <w:rPr>
                <w:color w:val="0070C0"/>
                <w:lang w:val="en-IE"/>
              </w:rPr>
            </w:pPr>
            <w:r>
              <w:rPr>
                <w:color w:val="0070C0"/>
                <w:lang w:val="en-IE"/>
              </w:rPr>
              <w:t>Correct application of losses on Autoproducers is critical to this objective</w:t>
            </w:r>
          </w:p>
          <w:p w:rsidR="00CB47AC" w:rsidRPr="00DD5705" w:rsidRDefault="00CB47AC" w:rsidP="00CB47AC">
            <w:pPr>
              <w:pStyle w:val="NoSpacing"/>
              <w:rPr>
                <w:lang w:val="en-IE"/>
              </w:rPr>
            </w:pPr>
          </w:p>
          <w:p w:rsidR="00CB47AC" w:rsidRDefault="00CB47AC" w:rsidP="00CB47AC">
            <w:pPr>
              <w:pStyle w:val="NoSpacing"/>
              <w:numPr>
                <w:ilvl w:val="0"/>
                <w:numId w:val="5"/>
              </w:numPr>
              <w:rPr>
                <w:lang w:val="en-IE"/>
              </w:rPr>
            </w:pPr>
            <w:r w:rsidRPr="00DD5705">
              <w:rPr>
                <w:lang w:val="en-IE"/>
              </w:rPr>
              <w:t xml:space="preserve">to ensure no undue discrimination between persons </w:t>
            </w:r>
            <w:r>
              <w:rPr>
                <w:lang w:val="en-IE"/>
              </w:rPr>
              <w:t>who are parties to the Code; and</w:t>
            </w:r>
          </w:p>
          <w:p w:rsidR="00CB47AC" w:rsidRDefault="00CB47AC" w:rsidP="00CB47AC">
            <w:pPr>
              <w:pStyle w:val="NoSpacing"/>
              <w:rPr>
                <w:color w:val="0070C0"/>
                <w:lang w:val="en-IE"/>
              </w:rPr>
            </w:pPr>
            <w:r>
              <w:rPr>
                <w:color w:val="0070C0"/>
                <w:lang w:val="en-IE"/>
              </w:rPr>
              <w:t>Correct application of losses on Autoproducers is critical to this objective</w:t>
            </w:r>
          </w:p>
          <w:p w:rsidR="00CB47AC" w:rsidRPr="00DD5705" w:rsidRDefault="00CB47AC" w:rsidP="00CB47AC">
            <w:pPr>
              <w:pStyle w:val="NoSpacing"/>
              <w:rPr>
                <w:lang w:val="en-IE"/>
              </w:rPr>
            </w:pPr>
          </w:p>
          <w:p w:rsidR="00CB47AC" w:rsidRDefault="00CB47AC" w:rsidP="00CB47AC">
            <w:pPr>
              <w:pStyle w:val="NoSpacing"/>
              <w:numPr>
                <w:ilvl w:val="0"/>
                <w:numId w:val="5"/>
              </w:numPr>
              <w:rPr>
                <w:lang w:val="en-IE"/>
              </w:rPr>
            </w:pPr>
            <w:r w:rsidRPr="00DD5705">
              <w:rPr>
                <w:lang w:val="en-IE"/>
              </w:rPr>
              <w:t>to promote the short-term and long-term interests of consumers of electricity on the island of Ireland with respect to price, quality, reliability, and security of supply of electricity.</w:t>
            </w:r>
          </w:p>
          <w:p w:rsidR="00CB47AC" w:rsidRDefault="00CB47AC" w:rsidP="00CB47AC">
            <w:pPr>
              <w:pStyle w:val="NoSpacing"/>
              <w:rPr>
                <w:color w:val="0070C0"/>
                <w:lang w:val="en-IE"/>
              </w:rPr>
            </w:pPr>
            <w:r>
              <w:rPr>
                <w:color w:val="0070C0"/>
                <w:lang w:val="en-IE"/>
              </w:rPr>
              <w:t>Correct application of losses on Autoproducers is critical to this objective</w:t>
            </w:r>
          </w:p>
          <w:p w:rsidR="00CB47AC" w:rsidRDefault="00CB47AC" w:rsidP="00CB47AC">
            <w:pPr>
              <w:pStyle w:val="NoSpacing"/>
              <w:rPr>
                <w:lang w:val="en-IE"/>
              </w:rPr>
            </w:pPr>
          </w:p>
          <w:p w:rsidR="00CB47AC" w:rsidRPr="004C53E7" w:rsidRDefault="00CB47AC" w:rsidP="00CB47AC">
            <w:pPr>
              <w:pStyle w:val="NoSpacing"/>
              <w:rPr>
                <w:lang w:val="en-IE"/>
              </w:rPr>
            </w:pPr>
          </w:p>
        </w:tc>
      </w:tr>
      <w:tr w:rsidR="00CB47AC" w:rsidRPr="004C53E7" w:rsidTr="00D74B02">
        <w:tc>
          <w:tcPr>
            <w:tcW w:w="9243" w:type="dxa"/>
            <w:gridSpan w:val="6"/>
            <w:shd w:val="clear" w:color="auto" w:fill="C6D9F1"/>
            <w:vAlign w:val="center"/>
          </w:tcPr>
          <w:p w:rsidR="00CB47AC" w:rsidRPr="004C53E7" w:rsidRDefault="00CB47AC" w:rsidP="00CB47A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B47AC" w:rsidRPr="004C53E7" w:rsidRDefault="00CB47AC" w:rsidP="00CB47A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B47AC" w:rsidRPr="004C53E7" w:rsidTr="00693AA7">
        <w:tc>
          <w:tcPr>
            <w:tcW w:w="9243" w:type="dxa"/>
            <w:gridSpan w:val="6"/>
            <w:vAlign w:val="center"/>
          </w:tcPr>
          <w:p w:rsidR="00CB47AC" w:rsidRDefault="00CB47AC" w:rsidP="00CB47AC">
            <w:pPr>
              <w:spacing w:line="480" w:lineRule="auto"/>
              <w:rPr>
                <w:rFonts w:ascii="Calibri" w:hAnsi="Calibri" w:cs="Arial"/>
                <w:lang w:val="en-IE"/>
              </w:rPr>
            </w:pPr>
          </w:p>
          <w:p w:rsidR="00CB47AC" w:rsidRDefault="00CB47AC" w:rsidP="00CB47AC">
            <w:pPr>
              <w:pStyle w:val="NoSpacing"/>
              <w:numPr>
                <w:ilvl w:val="0"/>
                <w:numId w:val="6"/>
              </w:numPr>
              <w:rPr>
                <w:lang w:val="en-IE"/>
              </w:rPr>
            </w:pPr>
            <w:r w:rsidRPr="00DD400E">
              <w:rPr>
                <w:lang w:val="en-IE"/>
              </w:rPr>
              <w:t>Aughinish will be penalised for losses associated with power, which never entered the Transmission system.</w:t>
            </w:r>
          </w:p>
          <w:p w:rsidR="001A5254" w:rsidRPr="001A5254" w:rsidRDefault="001A5254" w:rsidP="001A5254">
            <w:pPr>
              <w:pStyle w:val="NoSpacing"/>
              <w:numPr>
                <w:ilvl w:val="0"/>
                <w:numId w:val="6"/>
              </w:numPr>
              <w:rPr>
                <w:lang w:val="en-IE"/>
              </w:rPr>
            </w:pPr>
            <w:r w:rsidRPr="001A5254">
              <w:rPr>
                <w:lang w:val="en-IE"/>
              </w:rPr>
              <w:t>Aughinish will be charged supplier charges when no power was taken from the market</w:t>
            </w:r>
          </w:p>
          <w:p w:rsidR="001A5254" w:rsidRPr="001A46E0" w:rsidRDefault="001A5254" w:rsidP="00DB25D7">
            <w:pPr>
              <w:pStyle w:val="NoSpacing"/>
              <w:numPr>
                <w:ilvl w:val="0"/>
                <w:numId w:val="6"/>
              </w:numPr>
              <w:rPr>
                <w:lang w:val="en-IE"/>
              </w:rPr>
            </w:pPr>
            <w:r w:rsidRPr="00DB25D7">
              <w:rPr>
                <w:lang w:val="en-IE"/>
              </w:rPr>
              <w:t>It is grossly unfair to charge losses for on-site consumption supplied by on-site generation. This only applies to Trading Sites and would be a penalty imposed on Trading Sites for the self-</w:t>
            </w:r>
            <w:proofErr w:type="gramStart"/>
            <w:r w:rsidRPr="00DB25D7">
              <w:rPr>
                <w:lang w:val="en-IE"/>
              </w:rPr>
              <w:t>supply which</w:t>
            </w:r>
            <w:proofErr w:type="gramEnd"/>
            <w:r w:rsidRPr="00DB25D7">
              <w:rPr>
                <w:lang w:val="en-IE"/>
              </w:rPr>
              <w:t xml:space="preserve"> would be inconsistent with the treatment of any other non-Trading Site which has on-site generation. </w:t>
            </w:r>
            <w:r w:rsidRPr="001A46E0">
              <w:rPr>
                <w:lang w:val="en-IE"/>
              </w:rPr>
              <w:t>The consequences of such could result in closure of the CHP plant</w:t>
            </w:r>
          </w:p>
          <w:p w:rsidR="001A5254" w:rsidRDefault="001A5254" w:rsidP="001A5254">
            <w:pPr>
              <w:pStyle w:val="NoSpacing"/>
              <w:numPr>
                <w:ilvl w:val="0"/>
                <w:numId w:val="6"/>
              </w:numPr>
              <w:rPr>
                <w:lang w:val="en-IE"/>
              </w:rPr>
            </w:pPr>
            <w:r w:rsidRPr="001A5254">
              <w:rPr>
                <w:lang w:val="en-IE"/>
              </w:rPr>
              <w:t xml:space="preserve">The TSC would be in breach of </w:t>
            </w:r>
            <w:r w:rsidRPr="00FB2421">
              <w:rPr>
                <w:noProof/>
                <w:lang w:val="en-IE"/>
              </w:rPr>
              <w:t>national</w:t>
            </w:r>
            <w:r w:rsidRPr="001A5254">
              <w:rPr>
                <w:lang w:val="en-IE"/>
              </w:rPr>
              <w:t xml:space="preserve"> and European law.</w:t>
            </w:r>
          </w:p>
          <w:p w:rsidR="00CB47AC" w:rsidRPr="001A46E0" w:rsidRDefault="00CB47AC" w:rsidP="001A46E0">
            <w:pPr>
              <w:pStyle w:val="NoSpacing"/>
              <w:rPr>
                <w:lang w:val="en-IE"/>
              </w:rPr>
            </w:pPr>
          </w:p>
          <w:p w:rsidR="001A5254" w:rsidRPr="004C53E7" w:rsidRDefault="001A5254" w:rsidP="001A46E0">
            <w:pPr>
              <w:pStyle w:val="NoSpacing"/>
              <w:rPr>
                <w:rFonts w:ascii="Calibri" w:hAnsi="Calibri" w:cs="Arial"/>
                <w:lang w:val="en-IE"/>
              </w:rPr>
            </w:pPr>
          </w:p>
        </w:tc>
      </w:tr>
      <w:tr w:rsidR="00CB47AC" w:rsidRPr="004C53E7" w:rsidTr="00D74B02">
        <w:trPr>
          <w:trHeight w:val="507"/>
        </w:trPr>
        <w:tc>
          <w:tcPr>
            <w:tcW w:w="4621" w:type="dxa"/>
            <w:gridSpan w:val="3"/>
            <w:shd w:val="clear" w:color="auto" w:fill="C6D9F1"/>
            <w:vAlign w:val="center"/>
          </w:tcPr>
          <w:p w:rsidR="00CB47AC" w:rsidRPr="004C53E7" w:rsidRDefault="00CB47AC" w:rsidP="00CB47AC">
            <w:pPr>
              <w:jc w:val="center"/>
              <w:rPr>
                <w:rFonts w:ascii="Calibri" w:hAnsi="Calibri" w:cs="Arial"/>
                <w:b/>
                <w:bCs/>
                <w:iCs/>
                <w:lang w:val="en-IE"/>
              </w:rPr>
            </w:pPr>
            <w:r w:rsidRPr="004C53E7">
              <w:rPr>
                <w:rFonts w:ascii="Calibri" w:hAnsi="Calibri" w:cs="Arial"/>
                <w:b/>
                <w:bCs/>
                <w:iCs/>
                <w:lang w:val="en-IE"/>
              </w:rPr>
              <w:t>Working Group</w:t>
            </w:r>
          </w:p>
          <w:p w:rsidR="00CB47AC" w:rsidRPr="004C53E7" w:rsidRDefault="00CB47AC" w:rsidP="00CB47A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CB47AC" w:rsidRPr="004C53E7" w:rsidRDefault="00CB47AC" w:rsidP="00CB47AC">
            <w:pPr>
              <w:jc w:val="center"/>
              <w:rPr>
                <w:rFonts w:ascii="Calibri" w:hAnsi="Calibri" w:cs="Arial"/>
                <w:b/>
                <w:bCs/>
                <w:iCs/>
                <w:lang w:val="en-IE"/>
              </w:rPr>
            </w:pPr>
            <w:r w:rsidRPr="004C53E7">
              <w:rPr>
                <w:rFonts w:ascii="Calibri" w:hAnsi="Calibri" w:cs="Arial"/>
                <w:b/>
                <w:bCs/>
                <w:iCs/>
                <w:lang w:val="en-IE"/>
              </w:rPr>
              <w:t>Impacts</w:t>
            </w:r>
          </w:p>
          <w:p w:rsidR="00CB47AC" w:rsidRPr="004C53E7" w:rsidRDefault="00CB47AC" w:rsidP="00CB47A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xml:space="preserve">; also indicate impacts on any other Market Code such as Capacity Marker Code, Grid Code, </w:t>
            </w:r>
            <w:proofErr w:type="gramStart"/>
            <w:r>
              <w:rPr>
                <w:rFonts w:ascii="Calibri" w:hAnsi="Calibri" w:cs="Arial"/>
                <w:i/>
                <w:lang w:val="en-IE"/>
              </w:rPr>
              <w:t>Exchange</w:t>
            </w:r>
            <w:proofErr w:type="gramEnd"/>
            <w:r>
              <w:rPr>
                <w:rFonts w:ascii="Calibri" w:hAnsi="Calibri" w:cs="Arial"/>
                <w:i/>
                <w:lang w:val="en-IE"/>
              </w:rPr>
              <w:t xml:space="preserve"> Rules etc.</w:t>
            </w:r>
            <w:r w:rsidRPr="004C53E7">
              <w:rPr>
                <w:rFonts w:ascii="Calibri" w:hAnsi="Calibri" w:cs="Arial"/>
                <w:i/>
                <w:lang w:val="en-IE"/>
              </w:rPr>
              <w:t>)</w:t>
            </w:r>
          </w:p>
          <w:p w:rsidR="00CB47AC" w:rsidRPr="004C53E7" w:rsidRDefault="00CB47AC" w:rsidP="00CB47AC">
            <w:pPr>
              <w:jc w:val="center"/>
              <w:rPr>
                <w:rFonts w:ascii="Calibri" w:hAnsi="Calibri" w:cs="Arial"/>
                <w:b/>
                <w:bCs/>
                <w:iCs/>
                <w:lang w:val="en-IE"/>
              </w:rPr>
            </w:pPr>
          </w:p>
        </w:tc>
      </w:tr>
      <w:tr w:rsidR="00CB47AC" w:rsidRPr="004C53E7" w:rsidDel="00404964" w:rsidTr="00693AA7">
        <w:trPr>
          <w:trHeight w:val="507"/>
        </w:trPr>
        <w:tc>
          <w:tcPr>
            <w:tcW w:w="4621" w:type="dxa"/>
            <w:gridSpan w:val="3"/>
            <w:vAlign w:val="center"/>
          </w:tcPr>
          <w:p w:rsidR="00CB47AC" w:rsidRPr="004C53E7" w:rsidDel="00404964" w:rsidRDefault="00CB47AC" w:rsidP="00CB47AC">
            <w:pPr>
              <w:spacing w:line="480" w:lineRule="auto"/>
              <w:rPr>
                <w:rFonts w:ascii="Calibri" w:hAnsi="Calibri" w:cs="Arial"/>
                <w:lang w:val="en-IE"/>
              </w:rPr>
            </w:pPr>
          </w:p>
        </w:tc>
        <w:tc>
          <w:tcPr>
            <w:tcW w:w="4622" w:type="dxa"/>
            <w:gridSpan w:val="3"/>
            <w:vAlign w:val="center"/>
          </w:tcPr>
          <w:p w:rsidR="00CB47AC" w:rsidRPr="004C53E7" w:rsidDel="00404964" w:rsidRDefault="00CB47AC" w:rsidP="00CB47AC">
            <w:pPr>
              <w:spacing w:line="480" w:lineRule="auto"/>
              <w:rPr>
                <w:rFonts w:ascii="Calibri" w:hAnsi="Calibri" w:cs="Arial"/>
                <w:lang w:val="en-IE"/>
              </w:rPr>
            </w:pPr>
          </w:p>
        </w:tc>
      </w:tr>
      <w:tr w:rsidR="00CB47AC" w:rsidRPr="004C53E7" w:rsidTr="00D74B02">
        <w:tc>
          <w:tcPr>
            <w:tcW w:w="9243" w:type="dxa"/>
            <w:gridSpan w:val="6"/>
            <w:vAlign w:val="center"/>
          </w:tcPr>
          <w:p w:rsidR="00CB47AC" w:rsidRPr="004C53E7" w:rsidRDefault="00CB47AC" w:rsidP="00CB47A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3" w:history="1">
              <w:r w:rsidRPr="004C53E7">
                <w:rPr>
                  <w:rStyle w:val="Hyperlink"/>
                  <w:rFonts w:ascii="Calibri" w:hAnsi="Calibri" w:cs="Arial"/>
                  <w:b/>
                  <w:bCs/>
                  <w:i/>
                  <w:iCs/>
                  <w:lang w:val="en-IE"/>
                </w:rPr>
                <w:t>modifications@sem-o.com</w:t>
              </w:r>
            </w:hyperlink>
          </w:p>
        </w:tc>
      </w:tr>
    </w:tbl>
    <w:p w:rsidR="004C53E7" w:rsidRDefault="004C53E7"/>
    <w:p w:rsidR="004C53E7" w:rsidRPr="0025188D" w:rsidRDefault="004C53E7" w:rsidP="0025188D">
      <w:pPr>
        <w:overflowPunct/>
        <w:autoSpaceDE/>
        <w:autoSpaceDN/>
        <w:adjustRightInd/>
        <w:spacing w:after="200" w:line="276" w:lineRule="auto"/>
        <w:textAlignment w:val="auto"/>
        <w:rPr>
          <w:rFonts w:ascii="Arial" w:hAnsi="Arial" w:cs="Arial"/>
          <w:b/>
          <w:sz w:val="16"/>
          <w:szCs w:val="16"/>
          <w:lang w:val="en-US" w:eastAsia="en-US"/>
        </w:rPr>
      </w:pPr>
    </w:p>
    <w:sectPr w:rsidR="004C53E7" w:rsidRPr="0025188D"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E5E"/>
    <w:multiLevelType w:val="hybridMultilevel"/>
    <w:tmpl w:val="357A00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800446"/>
    <w:multiLevelType w:val="multilevel"/>
    <w:tmpl w:val="4CE455CC"/>
    <w:lvl w:ilvl="0">
      <w:start w:val="1"/>
      <w:numFmt w:val="decimal"/>
      <w:lvlText w:val="%1"/>
      <w:lvlJc w:val="left"/>
      <w:pPr>
        <w:ind w:left="420" w:hanging="420"/>
      </w:pPr>
      <w:rPr>
        <w:rFonts w:hint="default"/>
      </w:rPr>
    </w:lvl>
    <w:lvl w:ilvl="1">
      <w:start w:val="88"/>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B1434E5"/>
    <w:multiLevelType w:val="hybridMultilevel"/>
    <w:tmpl w:val="6562F63C"/>
    <w:lvl w:ilvl="0" w:tplc="E18EB7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680DA8"/>
    <w:multiLevelType w:val="hybridMultilevel"/>
    <w:tmpl w:val="6E7CE2DA"/>
    <w:lvl w:ilvl="0" w:tplc="4F689C52">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D1EBB"/>
    <w:multiLevelType w:val="multilevel"/>
    <w:tmpl w:val="4CE455CC"/>
    <w:lvl w:ilvl="0">
      <w:start w:val="1"/>
      <w:numFmt w:val="decimal"/>
      <w:lvlText w:val="%1"/>
      <w:lvlJc w:val="left"/>
      <w:pPr>
        <w:ind w:left="420" w:hanging="420"/>
      </w:pPr>
      <w:rPr>
        <w:rFonts w:hint="default"/>
      </w:rPr>
    </w:lvl>
    <w:lvl w:ilvl="1">
      <w:start w:val="88"/>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rQ0NDQxMre0MDKzMDBS0lEKTi0uzszPAykwrQUAidP1xywAAAA="/>
  </w:docVars>
  <w:rsids>
    <w:rsidRoot w:val="004C53E7"/>
    <w:rsid w:val="00025FCD"/>
    <w:rsid w:val="00076047"/>
    <w:rsid w:val="00086033"/>
    <w:rsid w:val="000A0A2E"/>
    <w:rsid w:val="000F4182"/>
    <w:rsid w:val="00183D0D"/>
    <w:rsid w:val="001A46E0"/>
    <w:rsid w:val="001A5254"/>
    <w:rsid w:val="001F76A8"/>
    <w:rsid w:val="002012B7"/>
    <w:rsid w:val="002246E2"/>
    <w:rsid w:val="0023472A"/>
    <w:rsid w:val="0025188D"/>
    <w:rsid w:val="002801B3"/>
    <w:rsid w:val="002F6A40"/>
    <w:rsid w:val="003A13CE"/>
    <w:rsid w:val="00404652"/>
    <w:rsid w:val="00406817"/>
    <w:rsid w:val="00424879"/>
    <w:rsid w:val="00476201"/>
    <w:rsid w:val="0049532B"/>
    <w:rsid w:val="004A38DC"/>
    <w:rsid w:val="004C53E7"/>
    <w:rsid w:val="005604CD"/>
    <w:rsid w:val="00570D17"/>
    <w:rsid w:val="005B7695"/>
    <w:rsid w:val="005D345C"/>
    <w:rsid w:val="006239C7"/>
    <w:rsid w:val="0063249B"/>
    <w:rsid w:val="00690E9A"/>
    <w:rsid w:val="00693AA7"/>
    <w:rsid w:val="006E02C1"/>
    <w:rsid w:val="00772A48"/>
    <w:rsid w:val="007B2E12"/>
    <w:rsid w:val="007E7904"/>
    <w:rsid w:val="0081044D"/>
    <w:rsid w:val="00860F43"/>
    <w:rsid w:val="008E3E04"/>
    <w:rsid w:val="008F035F"/>
    <w:rsid w:val="009918D3"/>
    <w:rsid w:val="009C4FE2"/>
    <w:rsid w:val="00A05CA7"/>
    <w:rsid w:val="00A114C2"/>
    <w:rsid w:val="00A82970"/>
    <w:rsid w:val="00AB3AF3"/>
    <w:rsid w:val="00BD46F8"/>
    <w:rsid w:val="00BE043C"/>
    <w:rsid w:val="00C6689F"/>
    <w:rsid w:val="00CB47AC"/>
    <w:rsid w:val="00CC4C3F"/>
    <w:rsid w:val="00CE01AF"/>
    <w:rsid w:val="00D03D96"/>
    <w:rsid w:val="00D1310C"/>
    <w:rsid w:val="00D74B02"/>
    <w:rsid w:val="00DB25D7"/>
    <w:rsid w:val="00DC4D50"/>
    <w:rsid w:val="00E04976"/>
    <w:rsid w:val="00EC45AF"/>
    <w:rsid w:val="00EC475A"/>
    <w:rsid w:val="00F102C7"/>
    <w:rsid w:val="00F34A1D"/>
    <w:rsid w:val="00F4635A"/>
    <w:rsid w:val="00F46C39"/>
    <w:rsid w:val="00FA0B25"/>
    <w:rsid w:val="00FB2421"/>
    <w:rsid w:val="00FC5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76A7"/>
  <w15:docId w15:val="{C7CAB49D-B14B-475A-8FB0-8015842A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CB47AC"/>
    <w:pPr>
      <w:ind w:left="720"/>
      <w:contextualSpacing/>
    </w:pPr>
  </w:style>
  <w:style w:type="paragraph" w:styleId="NoSpacing">
    <w:name w:val="No Spacing"/>
    <w:uiPriority w:val="1"/>
    <w:qFormat/>
    <w:rsid w:val="00CB47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BalloonText">
    <w:name w:val="Balloon Text"/>
    <w:basedOn w:val="Normal"/>
    <w:link w:val="BalloonTextChar"/>
    <w:uiPriority w:val="99"/>
    <w:semiHidden/>
    <w:unhideWhenUsed/>
    <w:rsid w:val="00860F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F43"/>
    <w:rPr>
      <w:rFonts w:ascii="Segoe UI" w:eastAsia="Times New Roman" w:hAnsi="Segoe UI" w:cs="Segoe UI"/>
      <w:sz w:val="18"/>
      <w:szCs w:val="18"/>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Thomas.osullivan@aug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721</ModID>
    <FromMMT xmlns="f69c7b9a-bbed-41f8-b24c-bbeb71979adf">true</FromMMT>
    <MMTID xmlns="f69c7b9a-bbed-41f8-b24c-bbeb71979adf">1724</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A903AAF-E9A1-4035-941E-D8DAEB4F7021}"/>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0102CDB8-8949-404A-954D-7CDC2F56FDCF}"/>
</file>

<file path=docProps/app.xml><?xml version="1.0" encoding="utf-8"?>
<Properties xmlns="http://schemas.openxmlformats.org/officeDocument/2006/extended-properties" xmlns:vt="http://schemas.openxmlformats.org/officeDocument/2006/docPropsVTypes">
  <Template>Normal.dotm</Template>
  <TotalTime>1</TotalTime>
  <Pages>6</Pages>
  <Words>1405</Words>
  <Characters>8015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Thomas O'Sullivan</cp:lastModifiedBy>
  <cp:revision>2</cp:revision>
  <cp:lastPrinted>2017-06-01T14:25:00Z</cp:lastPrinted>
  <dcterms:created xsi:type="dcterms:W3CDTF">2017-06-19T15:15:00Z</dcterms:created>
  <dcterms:modified xsi:type="dcterms:W3CDTF">2017-06-19T15:15:00Z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vt:lpwstr>false</vt:lpwstr>
  </property>
  <property fmtid="{D5CDD505-2E9C-101B-9397-08002B2CF9AE}" pid="7" name="Year of Modification Proposal">
    <vt:lpwstr>2012</vt:lpwstr>
  </property>
  <property fmtid="{D5CDD505-2E9C-101B-9397-08002B2CF9AE}" pid="8" name="Document Type">
    <vt:lpwstr>Modification Proposal</vt:lpwstr>
  </property>
  <property fmtid="{D5CDD505-2E9C-101B-9397-08002B2CF9AE}" pid="9" name="_CopySource">
    <vt:lpwstr>Mod_03_17 Revision2 Treatment of Transmission Losses for Trading Sites with Contiguous Autoproducers in I-SEM.docx</vt:lpwstr>
  </property>
  <property fmtid="{D5CDD505-2E9C-101B-9397-08002B2CF9AE}" pid="11" name="Copy to Website Date">
    <vt:lpwstr>1999-11-30T00:00:00+00:00</vt:lpwstr>
  </property>
</Properties>
</file>