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DA527"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470"/>
        <w:gridCol w:w="841"/>
        <w:gridCol w:w="2311"/>
      </w:tblGrid>
      <w:tr w:rsidR="004C53E7" w:rsidRPr="004C53E7" w14:paraId="3E60E4AF" w14:textId="77777777" w:rsidTr="00D74B02">
        <w:tc>
          <w:tcPr>
            <w:tcW w:w="9243" w:type="dxa"/>
            <w:gridSpan w:val="6"/>
            <w:shd w:val="clear" w:color="auto" w:fill="548DD4"/>
            <w:vAlign w:val="center"/>
          </w:tcPr>
          <w:p w14:paraId="33358928" w14:textId="77777777" w:rsidR="004C53E7" w:rsidRPr="004C53E7" w:rsidRDefault="004C53E7" w:rsidP="00D74B02">
            <w:pPr>
              <w:jc w:val="center"/>
              <w:rPr>
                <w:rFonts w:ascii="Calibri" w:hAnsi="Calibri" w:cs="Arial"/>
                <w:lang w:val="en-IE"/>
              </w:rPr>
            </w:pPr>
          </w:p>
          <w:p w14:paraId="27DBA205"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2FE34F2B" w14:textId="77777777" w:rsidR="004C53E7" w:rsidRPr="004C53E7" w:rsidRDefault="004C53E7" w:rsidP="00D74B02">
            <w:pPr>
              <w:jc w:val="center"/>
              <w:rPr>
                <w:rFonts w:ascii="Calibri" w:hAnsi="Calibri" w:cs="Arial"/>
                <w:lang w:val="en-IE"/>
              </w:rPr>
            </w:pPr>
          </w:p>
        </w:tc>
      </w:tr>
      <w:tr w:rsidR="004C53E7" w:rsidRPr="004C53E7" w14:paraId="070E4AA5" w14:textId="77777777" w:rsidTr="00D74B02">
        <w:tc>
          <w:tcPr>
            <w:tcW w:w="2088" w:type="dxa"/>
            <w:vAlign w:val="center"/>
          </w:tcPr>
          <w:p w14:paraId="2631F307"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65452B22"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29949E28"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45842019"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78D0486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69778CA2"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2A5B199D"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03F2720F"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14:paraId="5B1485B4" w14:textId="77777777" w:rsidTr="00693AA7">
        <w:tc>
          <w:tcPr>
            <w:tcW w:w="2088" w:type="dxa"/>
            <w:vAlign w:val="center"/>
          </w:tcPr>
          <w:p w14:paraId="4A526153" w14:textId="596C14E1" w:rsidR="004C53E7" w:rsidRPr="004D03B3" w:rsidRDefault="00A6756F" w:rsidP="00A6756F">
            <w:pPr>
              <w:jc w:val="center"/>
              <w:rPr>
                <w:rFonts w:ascii="Calibri" w:hAnsi="Calibri" w:cs="Arial"/>
                <w:b/>
                <w:sz w:val="24"/>
                <w:szCs w:val="24"/>
                <w:lang w:val="en-IE"/>
              </w:rPr>
            </w:pPr>
            <w:r>
              <w:rPr>
                <w:rFonts w:ascii="Calibri" w:hAnsi="Calibri" w:cs="Arial"/>
                <w:b/>
                <w:sz w:val="24"/>
                <w:szCs w:val="24"/>
                <w:lang w:val="en-IE"/>
              </w:rPr>
              <w:t>IWEA</w:t>
            </w:r>
          </w:p>
        </w:tc>
        <w:tc>
          <w:tcPr>
            <w:tcW w:w="2533" w:type="dxa"/>
            <w:gridSpan w:val="2"/>
            <w:vAlign w:val="center"/>
          </w:tcPr>
          <w:p w14:paraId="556C8EA2" w14:textId="22570B7C" w:rsidR="004C53E7" w:rsidRPr="004D03B3" w:rsidRDefault="0076181E" w:rsidP="00693AA7">
            <w:pPr>
              <w:jc w:val="center"/>
              <w:rPr>
                <w:rFonts w:ascii="Calibri" w:hAnsi="Calibri" w:cs="Arial"/>
                <w:b/>
                <w:sz w:val="24"/>
                <w:szCs w:val="24"/>
                <w:lang w:val="en-IE"/>
              </w:rPr>
            </w:pPr>
            <w:r>
              <w:rPr>
                <w:rFonts w:ascii="Calibri" w:hAnsi="Calibri" w:cs="Arial"/>
                <w:b/>
                <w:sz w:val="24"/>
                <w:szCs w:val="24"/>
                <w:lang w:val="en-IE"/>
              </w:rPr>
              <w:t>06 February 2019</w:t>
            </w:r>
          </w:p>
        </w:tc>
        <w:tc>
          <w:tcPr>
            <w:tcW w:w="2311" w:type="dxa"/>
            <w:gridSpan w:val="2"/>
            <w:vAlign w:val="center"/>
          </w:tcPr>
          <w:p w14:paraId="00605A55" w14:textId="77777777" w:rsidR="0076181E" w:rsidRDefault="0076181E" w:rsidP="00693AA7">
            <w:pPr>
              <w:jc w:val="center"/>
              <w:rPr>
                <w:rFonts w:ascii="Calibri" w:hAnsi="Calibri" w:cs="Arial"/>
                <w:b/>
                <w:sz w:val="24"/>
                <w:szCs w:val="24"/>
                <w:lang w:val="en-IE"/>
              </w:rPr>
            </w:pPr>
          </w:p>
          <w:p w14:paraId="40A8C2C1" w14:textId="77777777" w:rsidR="004C53E7" w:rsidRPr="004D03B3" w:rsidRDefault="004C53E7" w:rsidP="00693AA7">
            <w:pPr>
              <w:jc w:val="center"/>
              <w:rPr>
                <w:rFonts w:ascii="Calibri" w:hAnsi="Calibri" w:cs="Arial"/>
                <w:b/>
                <w:sz w:val="24"/>
                <w:szCs w:val="24"/>
                <w:lang w:val="en-IE"/>
              </w:rPr>
            </w:pPr>
            <w:r w:rsidRPr="004D03B3">
              <w:rPr>
                <w:rFonts w:ascii="Calibri" w:hAnsi="Calibri" w:cs="Arial"/>
                <w:b/>
                <w:sz w:val="24"/>
                <w:szCs w:val="24"/>
                <w:lang w:val="en-IE"/>
              </w:rPr>
              <w:t xml:space="preserve">Standard </w:t>
            </w:r>
          </w:p>
          <w:p w14:paraId="25444127" w14:textId="77777777" w:rsidR="004C53E7" w:rsidRPr="004D03B3" w:rsidRDefault="004C53E7" w:rsidP="00693AA7">
            <w:pPr>
              <w:jc w:val="center"/>
              <w:rPr>
                <w:rFonts w:ascii="Calibri" w:hAnsi="Calibri" w:cs="Arial"/>
                <w:b/>
                <w:sz w:val="24"/>
                <w:szCs w:val="24"/>
                <w:lang w:val="en-IE"/>
              </w:rPr>
            </w:pPr>
          </w:p>
        </w:tc>
        <w:tc>
          <w:tcPr>
            <w:tcW w:w="2311" w:type="dxa"/>
            <w:vAlign w:val="center"/>
          </w:tcPr>
          <w:p w14:paraId="4684433E" w14:textId="0B7630E5" w:rsidR="004C53E7" w:rsidRPr="004D03B3" w:rsidRDefault="0076181E" w:rsidP="00693AA7">
            <w:pPr>
              <w:jc w:val="center"/>
              <w:rPr>
                <w:rFonts w:ascii="Calibri" w:hAnsi="Calibri" w:cs="Arial"/>
                <w:b/>
                <w:sz w:val="24"/>
                <w:szCs w:val="24"/>
                <w:lang w:val="en-IE"/>
              </w:rPr>
            </w:pPr>
            <w:r>
              <w:rPr>
                <w:rFonts w:ascii="Calibri" w:hAnsi="Calibri" w:cs="Arial"/>
                <w:b/>
                <w:sz w:val="24"/>
                <w:szCs w:val="24"/>
                <w:lang w:val="en-IE"/>
              </w:rPr>
              <w:t>MOD_04_19</w:t>
            </w:r>
          </w:p>
        </w:tc>
      </w:tr>
      <w:tr w:rsidR="004C53E7" w:rsidRPr="004C53E7" w14:paraId="455526CE" w14:textId="77777777" w:rsidTr="00D74B02">
        <w:trPr>
          <w:trHeight w:val="467"/>
        </w:trPr>
        <w:tc>
          <w:tcPr>
            <w:tcW w:w="9243" w:type="dxa"/>
            <w:gridSpan w:val="6"/>
            <w:shd w:val="clear" w:color="auto" w:fill="C6D9F1"/>
            <w:vAlign w:val="center"/>
          </w:tcPr>
          <w:p w14:paraId="3D5A1E9C"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41921983" w14:textId="77777777" w:rsidTr="00BD6C44">
        <w:tc>
          <w:tcPr>
            <w:tcW w:w="2943" w:type="dxa"/>
            <w:gridSpan w:val="2"/>
            <w:vAlign w:val="center"/>
          </w:tcPr>
          <w:p w14:paraId="6EBE8865"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3148" w:type="dxa"/>
            <w:gridSpan w:val="2"/>
            <w:vAlign w:val="center"/>
          </w:tcPr>
          <w:p w14:paraId="1E83898C"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152" w:type="dxa"/>
            <w:gridSpan w:val="2"/>
            <w:vAlign w:val="center"/>
          </w:tcPr>
          <w:p w14:paraId="37408744"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14:paraId="4D6F68BC" w14:textId="77777777" w:rsidTr="00BD6C44">
        <w:tc>
          <w:tcPr>
            <w:tcW w:w="2943" w:type="dxa"/>
            <w:gridSpan w:val="2"/>
            <w:vAlign w:val="center"/>
          </w:tcPr>
          <w:p w14:paraId="1CE9A051" w14:textId="77777777" w:rsidR="004C53E7" w:rsidRPr="00155EB6" w:rsidRDefault="00D92765" w:rsidP="00693AA7">
            <w:pPr>
              <w:rPr>
                <w:rFonts w:ascii="Calibri" w:hAnsi="Calibri" w:cs="Arial"/>
                <w:b/>
                <w:sz w:val="24"/>
                <w:szCs w:val="24"/>
                <w:lang w:val="en-IE"/>
              </w:rPr>
            </w:pPr>
            <w:r w:rsidRPr="00155EB6">
              <w:rPr>
                <w:rFonts w:ascii="Calibri" w:hAnsi="Calibri" w:cs="Arial"/>
                <w:b/>
                <w:sz w:val="24"/>
                <w:szCs w:val="24"/>
                <w:lang w:val="en-IE"/>
              </w:rPr>
              <w:t>Andrew Burke</w:t>
            </w:r>
          </w:p>
        </w:tc>
        <w:tc>
          <w:tcPr>
            <w:tcW w:w="3148" w:type="dxa"/>
            <w:gridSpan w:val="2"/>
            <w:vAlign w:val="center"/>
          </w:tcPr>
          <w:p w14:paraId="49B80237" w14:textId="503E75A4" w:rsidR="004C53E7" w:rsidRPr="00155EB6" w:rsidRDefault="004C53E7" w:rsidP="00693AA7">
            <w:pPr>
              <w:rPr>
                <w:rFonts w:ascii="Calibri" w:hAnsi="Calibri" w:cs="Arial"/>
                <w:b/>
                <w:sz w:val="24"/>
                <w:szCs w:val="24"/>
                <w:lang w:val="en-IE"/>
              </w:rPr>
            </w:pPr>
            <w:bookmarkStart w:id="0" w:name="_GoBack"/>
            <w:bookmarkEnd w:id="0"/>
          </w:p>
        </w:tc>
        <w:tc>
          <w:tcPr>
            <w:tcW w:w="3152" w:type="dxa"/>
            <w:gridSpan w:val="2"/>
            <w:vAlign w:val="center"/>
          </w:tcPr>
          <w:p w14:paraId="3339DA10" w14:textId="77777777" w:rsidR="004C53E7" w:rsidRPr="006043FE" w:rsidRDefault="006043FE" w:rsidP="00693AA7">
            <w:pPr>
              <w:rPr>
                <w:rFonts w:ascii="Calibri" w:hAnsi="Calibri" w:cs="Arial"/>
                <w:b/>
                <w:lang w:val="en-IE"/>
              </w:rPr>
            </w:pPr>
            <w:r w:rsidRPr="006043FE">
              <w:rPr>
                <w:rFonts w:ascii="Calibri" w:hAnsi="Calibri" w:cs="Arial"/>
                <w:b/>
                <w:lang w:val="en-IE"/>
              </w:rPr>
              <w:t>a</w:t>
            </w:r>
            <w:r w:rsidR="00D92765" w:rsidRPr="006043FE">
              <w:rPr>
                <w:rFonts w:ascii="Calibri" w:hAnsi="Calibri" w:cs="Arial"/>
                <w:b/>
                <w:lang w:val="en-IE"/>
              </w:rPr>
              <w:t>ndrew.burke@turnkeydev.com</w:t>
            </w:r>
          </w:p>
        </w:tc>
      </w:tr>
      <w:tr w:rsidR="004C53E7" w:rsidRPr="004C53E7" w14:paraId="351ADB02" w14:textId="77777777" w:rsidTr="00D74B02">
        <w:trPr>
          <w:trHeight w:val="327"/>
        </w:trPr>
        <w:tc>
          <w:tcPr>
            <w:tcW w:w="9243" w:type="dxa"/>
            <w:gridSpan w:val="6"/>
            <w:shd w:val="clear" w:color="auto" w:fill="C6D9F1"/>
            <w:vAlign w:val="center"/>
          </w:tcPr>
          <w:p w14:paraId="4611D4B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4AA62C20" w14:textId="77777777" w:rsidTr="00693AA7">
        <w:trPr>
          <w:trHeight w:val="323"/>
        </w:trPr>
        <w:tc>
          <w:tcPr>
            <w:tcW w:w="9243" w:type="dxa"/>
            <w:gridSpan w:val="6"/>
            <w:vAlign w:val="center"/>
          </w:tcPr>
          <w:p w14:paraId="6250A3BB" w14:textId="77777777" w:rsidR="004C53E7" w:rsidRPr="0069454C" w:rsidRDefault="00FE2104" w:rsidP="00693AA7">
            <w:pPr>
              <w:spacing w:line="480" w:lineRule="auto"/>
              <w:rPr>
                <w:rFonts w:ascii="Calibri" w:hAnsi="Calibri" w:cs="Arial"/>
                <w:b/>
                <w:bCs/>
                <w:color w:val="000000"/>
                <w:sz w:val="24"/>
                <w:szCs w:val="24"/>
                <w:lang w:val="en-IE"/>
              </w:rPr>
            </w:pPr>
            <w:r w:rsidRPr="0069454C">
              <w:rPr>
                <w:rFonts w:ascii="Calibri" w:hAnsi="Calibri" w:cs="Arial"/>
                <w:b/>
                <w:bCs/>
                <w:color w:val="000000"/>
                <w:sz w:val="24"/>
                <w:szCs w:val="24"/>
                <w:lang w:val="en-IE"/>
              </w:rPr>
              <w:t>Running indicative settlement on all days</w:t>
            </w:r>
          </w:p>
        </w:tc>
      </w:tr>
      <w:tr w:rsidR="004C53E7" w:rsidRPr="004C53E7" w14:paraId="4C44EEA5" w14:textId="77777777" w:rsidTr="00BD6C44">
        <w:tc>
          <w:tcPr>
            <w:tcW w:w="2943" w:type="dxa"/>
            <w:gridSpan w:val="2"/>
            <w:shd w:val="clear" w:color="auto" w:fill="C6D9F1"/>
            <w:vAlign w:val="center"/>
          </w:tcPr>
          <w:p w14:paraId="63F7B6B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312A7F2D"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3148" w:type="dxa"/>
            <w:gridSpan w:val="2"/>
            <w:shd w:val="clear" w:color="auto" w:fill="C6D9F1"/>
            <w:vAlign w:val="center"/>
          </w:tcPr>
          <w:p w14:paraId="465DA741"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152" w:type="dxa"/>
            <w:gridSpan w:val="2"/>
            <w:shd w:val="clear" w:color="auto" w:fill="C6D9F1"/>
            <w:vAlign w:val="center"/>
          </w:tcPr>
          <w:p w14:paraId="11E65483"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14:paraId="6AE925E3" w14:textId="77777777" w:rsidTr="00BD6C44">
        <w:tc>
          <w:tcPr>
            <w:tcW w:w="2943" w:type="dxa"/>
            <w:gridSpan w:val="2"/>
            <w:shd w:val="clear" w:color="auto" w:fill="FFFFFF"/>
            <w:vAlign w:val="center"/>
          </w:tcPr>
          <w:p w14:paraId="0B840D9B" w14:textId="77777777" w:rsidR="004C53E7" w:rsidRPr="00155EB6" w:rsidRDefault="004C53E7" w:rsidP="00155EB6">
            <w:pPr>
              <w:jc w:val="both"/>
              <w:rPr>
                <w:rFonts w:ascii="Calibri" w:hAnsi="Calibri" w:cs="Arial"/>
                <w:b/>
                <w:sz w:val="24"/>
                <w:szCs w:val="24"/>
                <w:lang w:val="en-IE"/>
              </w:rPr>
            </w:pPr>
            <w:r w:rsidRPr="00155EB6">
              <w:rPr>
                <w:rFonts w:ascii="Calibri" w:hAnsi="Calibri" w:cs="Arial"/>
                <w:b/>
                <w:sz w:val="24"/>
                <w:szCs w:val="24"/>
                <w:lang w:val="en-IE"/>
              </w:rPr>
              <w:t>T&amp;SC</w:t>
            </w:r>
            <w:r w:rsidR="00E04976" w:rsidRPr="00155EB6">
              <w:rPr>
                <w:rFonts w:ascii="Calibri" w:hAnsi="Calibri" w:cs="Arial"/>
                <w:b/>
                <w:sz w:val="24"/>
                <w:szCs w:val="24"/>
                <w:lang w:val="en-IE"/>
              </w:rPr>
              <w:t xml:space="preserve"> Part B</w:t>
            </w:r>
          </w:p>
          <w:p w14:paraId="640AA8BB" w14:textId="77777777" w:rsidR="00E04976" w:rsidRPr="00155EB6" w:rsidDel="00476388" w:rsidRDefault="004C53E7" w:rsidP="00155EB6">
            <w:pPr>
              <w:jc w:val="both"/>
              <w:rPr>
                <w:rFonts w:ascii="Calibri" w:hAnsi="Calibri" w:cs="Arial"/>
                <w:b/>
                <w:sz w:val="24"/>
                <w:szCs w:val="24"/>
                <w:lang w:val="en-IE"/>
              </w:rPr>
            </w:pPr>
            <w:r w:rsidRPr="00155EB6">
              <w:rPr>
                <w:rFonts w:ascii="Calibri" w:hAnsi="Calibri" w:cs="Arial"/>
                <w:b/>
                <w:sz w:val="24"/>
                <w:szCs w:val="24"/>
                <w:lang w:val="en-IE"/>
              </w:rPr>
              <w:t>A</w:t>
            </w:r>
            <w:r w:rsidR="00A05CA7" w:rsidRPr="00155EB6">
              <w:rPr>
                <w:rFonts w:ascii="Calibri" w:hAnsi="Calibri" w:cs="Arial"/>
                <w:b/>
                <w:sz w:val="24"/>
                <w:szCs w:val="24"/>
                <w:lang w:val="en-IE"/>
              </w:rPr>
              <w:t xml:space="preserve">greed </w:t>
            </w:r>
            <w:r w:rsidRPr="00155EB6">
              <w:rPr>
                <w:rFonts w:ascii="Calibri" w:hAnsi="Calibri" w:cs="Arial"/>
                <w:b/>
                <w:sz w:val="24"/>
                <w:szCs w:val="24"/>
                <w:lang w:val="en-IE"/>
              </w:rPr>
              <w:t>P</w:t>
            </w:r>
            <w:r w:rsidR="00A05CA7" w:rsidRPr="00155EB6">
              <w:rPr>
                <w:rFonts w:ascii="Calibri" w:hAnsi="Calibri" w:cs="Arial"/>
                <w:b/>
                <w:sz w:val="24"/>
                <w:szCs w:val="24"/>
                <w:lang w:val="en-IE"/>
              </w:rPr>
              <w:t>rocedures</w:t>
            </w:r>
            <w:r w:rsidR="00E04976" w:rsidRPr="00155EB6">
              <w:rPr>
                <w:rFonts w:ascii="Calibri" w:hAnsi="Calibri" w:cs="Arial"/>
                <w:b/>
                <w:sz w:val="24"/>
                <w:szCs w:val="24"/>
                <w:lang w:val="en-IE"/>
              </w:rPr>
              <w:t xml:space="preserve"> Part B</w:t>
            </w:r>
          </w:p>
        </w:tc>
        <w:tc>
          <w:tcPr>
            <w:tcW w:w="3148" w:type="dxa"/>
            <w:gridSpan w:val="2"/>
            <w:vAlign w:val="center"/>
          </w:tcPr>
          <w:p w14:paraId="07F7FB55" w14:textId="77777777" w:rsidR="004C53E7" w:rsidRPr="00155EB6" w:rsidRDefault="00D1007D" w:rsidP="00155EB6">
            <w:pPr>
              <w:jc w:val="both"/>
              <w:rPr>
                <w:rFonts w:ascii="Calibri" w:hAnsi="Calibri" w:cs="Arial"/>
                <w:b/>
                <w:sz w:val="24"/>
                <w:szCs w:val="24"/>
                <w:lang w:val="en-IE"/>
              </w:rPr>
            </w:pPr>
            <w:r w:rsidRPr="00155EB6">
              <w:rPr>
                <w:rFonts w:ascii="Calibri" w:hAnsi="Calibri" w:cs="Arial"/>
                <w:b/>
                <w:sz w:val="24"/>
                <w:szCs w:val="24"/>
                <w:lang w:val="en-IE"/>
              </w:rPr>
              <w:t xml:space="preserve">T&amp;SC </w:t>
            </w:r>
            <w:r w:rsidR="005A2278" w:rsidRPr="00155EB6">
              <w:rPr>
                <w:rFonts w:ascii="Calibri" w:hAnsi="Calibri" w:cs="Arial"/>
                <w:b/>
                <w:sz w:val="24"/>
                <w:szCs w:val="24"/>
                <w:lang w:val="en-IE"/>
              </w:rPr>
              <w:t xml:space="preserve">Part B </w:t>
            </w:r>
            <w:r w:rsidRPr="00155EB6">
              <w:rPr>
                <w:rFonts w:ascii="Calibri" w:hAnsi="Calibri" w:cs="Arial"/>
                <w:b/>
                <w:sz w:val="24"/>
                <w:szCs w:val="24"/>
                <w:lang w:val="en-IE"/>
              </w:rPr>
              <w:t>G.2.5.1</w:t>
            </w:r>
          </w:p>
          <w:p w14:paraId="4F71A6D9" w14:textId="77777777" w:rsidR="00BD6C44" w:rsidRPr="00155EB6" w:rsidRDefault="00BD6C44" w:rsidP="00155EB6">
            <w:pPr>
              <w:jc w:val="both"/>
              <w:rPr>
                <w:rFonts w:ascii="Calibri" w:hAnsi="Calibri" w:cs="Arial"/>
                <w:b/>
                <w:sz w:val="24"/>
                <w:szCs w:val="24"/>
                <w:lang w:val="en-IE"/>
              </w:rPr>
            </w:pPr>
            <w:r w:rsidRPr="00155EB6">
              <w:rPr>
                <w:rFonts w:ascii="Calibri" w:hAnsi="Calibri" w:cs="Arial"/>
                <w:b/>
                <w:sz w:val="24"/>
                <w:szCs w:val="24"/>
                <w:lang w:val="en-IE"/>
              </w:rPr>
              <w:t>Agreed Procedure 15 Section 3.1</w:t>
            </w:r>
          </w:p>
          <w:p w14:paraId="561AAACC" w14:textId="77777777" w:rsidR="00BD6C44" w:rsidRPr="00155EB6" w:rsidRDefault="00BD6C44" w:rsidP="00155EB6">
            <w:pPr>
              <w:jc w:val="both"/>
              <w:rPr>
                <w:rFonts w:ascii="Calibri" w:hAnsi="Calibri" w:cs="Arial"/>
                <w:b/>
                <w:sz w:val="24"/>
                <w:szCs w:val="24"/>
                <w:lang w:val="en-IE"/>
              </w:rPr>
            </w:pPr>
            <w:r w:rsidRPr="00155EB6">
              <w:rPr>
                <w:rFonts w:ascii="Calibri" w:hAnsi="Calibri" w:cs="Arial"/>
                <w:b/>
                <w:sz w:val="24"/>
                <w:szCs w:val="24"/>
                <w:lang w:val="en-IE"/>
              </w:rPr>
              <w:t>Agreed Procedure 16 Section 2.2</w:t>
            </w:r>
          </w:p>
          <w:p w14:paraId="58173763" w14:textId="77777777" w:rsidR="00BD6C44" w:rsidRPr="00155EB6" w:rsidRDefault="00BD6C44" w:rsidP="00155EB6">
            <w:pPr>
              <w:jc w:val="both"/>
              <w:rPr>
                <w:rFonts w:ascii="Calibri" w:hAnsi="Calibri" w:cs="Arial"/>
                <w:b/>
                <w:sz w:val="24"/>
                <w:szCs w:val="24"/>
                <w:lang w:val="en-IE"/>
              </w:rPr>
            </w:pPr>
          </w:p>
        </w:tc>
        <w:tc>
          <w:tcPr>
            <w:tcW w:w="3152" w:type="dxa"/>
            <w:gridSpan w:val="2"/>
            <w:vAlign w:val="center"/>
          </w:tcPr>
          <w:p w14:paraId="0DB4C4A8" w14:textId="77777777" w:rsidR="004C53E7" w:rsidRPr="00155EB6" w:rsidRDefault="00BD6C44" w:rsidP="00155EB6">
            <w:pPr>
              <w:jc w:val="both"/>
              <w:rPr>
                <w:rFonts w:ascii="Calibri" w:hAnsi="Calibri" w:cs="Arial"/>
                <w:b/>
                <w:sz w:val="24"/>
                <w:szCs w:val="24"/>
                <w:lang w:val="en-IE"/>
              </w:rPr>
            </w:pPr>
            <w:r w:rsidRPr="00155EB6">
              <w:rPr>
                <w:rFonts w:ascii="Calibri" w:hAnsi="Calibri" w:cs="Arial"/>
                <w:b/>
                <w:sz w:val="24"/>
                <w:szCs w:val="24"/>
                <w:lang w:val="en-IE"/>
              </w:rPr>
              <w:t>As published 7</w:t>
            </w:r>
            <w:r w:rsidRPr="00155EB6">
              <w:rPr>
                <w:rFonts w:ascii="Calibri" w:hAnsi="Calibri" w:cs="Arial"/>
                <w:b/>
                <w:sz w:val="24"/>
                <w:szCs w:val="24"/>
                <w:vertAlign w:val="superscript"/>
                <w:lang w:val="en-IE"/>
              </w:rPr>
              <w:t>th</w:t>
            </w:r>
            <w:r w:rsidRPr="00155EB6">
              <w:rPr>
                <w:rFonts w:ascii="Calibri" w:hAnsi="Calibri" w:cs="Arial"/>
                <w:b/>
                <w:sz w:val="24"/>
                <w:szCs w:val="24"/>
                <w:lang w:val="en-IE"/>
              </w:rPr>
              <w:t xml:space="preserve"> April 2017</w:t>
            </w:r>
          </w:p>
        </w:tc>
      </w:tr>
      <w:tr w:rsidR="004C53E7" w:rsidRPr="004C53E7" w14:paraId="0114A0ED" w14:textId="77777777" w:rsidTr="00D74B02">
        <w:trPr>
          <w:trHeight w:val="375"/>
        </w:trPr>
        <w:tc>
          <w:tcPr>
            <w:tcW w:w="9243" w:type="dxa"/>
            <w:gridSpan w:val="6"/>
            <w:shd w:val="clear" w:color="auto" w:fill="C6D9F1"/>
            <w:vAlign w:val="center"/>
          </w:tcPr>
          <w:p w14:paraId="0D5F72E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21C797BB"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7D4AC0F" w14:textId="77777777" w:rsidTr="00693AA7">
        <w:trPr>
          <w:trHeight w:val="467"/>
        </w:trPr>
        <w:tc>
          <w:tcPr>
            <w:tcW w:w="9243" w:type="dxa"/>
            <w:gridSpan w:val="6"/>
            <w:vAlign w:val="center"/>
          </w:tcPr>
          <w:p w14:paraId="0F6E5C39" w14:textId="3A4459D5" w:rsidR="000E3813" w:rsidRPr="004D03B3" w:rsidRDefault="00FE2104" w:rsidP="00693AA7">
            <w:pPr>
              <w:rPr>
                <w:rFonts w:ascii="Calibri" w:hAnsi="Calibri" w:cs="Arial"/>
                <w:sz w:val="24"/>
                <w:szCs w:val="24"/>
                <w:lang w:val="en-IE"/>
              </w:rPr>
            </w:pPr>
            <w:r w:rsidRPr="004D03B3">
              <w:rPr>
                <w:rFonts w:ascii="Calibri" w:hAnsi="Calibri" w:cs="Arial"/>
                <w:sz w:val="24"/>
                <w:szCs w:val="24"/>
                <w:lang w:val="en-IE"/>
              </w:rPr>
              <w:t>Currently</w:t>
            </w:r>
            <w:r w:rsidR="00F14F41">
              <w:rPr>
                <w:rFonts w:ascii="Calibri" w:hAnsi="Calibri" w:cs="Arial"/>
                <w:sz w:val="24"/>
                <w:szCs w:val="24"/>
                <w:lang w:val="en-IE"/>
              </w:rPr>
              <w:t>,</w:t>
            </w:r>
            <w:r w:rsidRPr="004D03B3">
              <w:rPr>
                <w:rFonts w:ascii="Calibri" w:hAnsi="Calibri" w:cs="Arial"/>
                <w:sz w:val="24"/>
                <w:szCs w:val="24"/>
                <w:lang w:val="en-IE"/>
              </w:rPr>
              <w:t xml:space="preserve"> indicative settlement is not run on non-</w:t>
            </w:r>
            <w:r w:rsidR="00D1007D" w:rsidRPr="004D03B3">
              <w:rPr>
                <w:rFonts w:ascii="Calibri" w:hAnsi="Calibri" w:cs="Arial"/>
                <w:sz w:val="24"/>
                <w:szCs w:val="24"/>
                <w:lang w:val="en-IE"/>
              </w:rPr>
              <w:t>working</w:t>
            </w:r>
            <w:r w:rsidRPr="004D03B3">
              <w:rPr>
                <w:rFonts w:ascii="Calibri" w:hAnsi="Calibri" w:cs="Arial"/>
                <w:sz w:val="24"/>
                <w:szCs w:val="24"/>
                <w:lang w:val="en-IE"/>
              </w:rPr>
              <w:t xml:space="preserve"> days, </w:t>
            </w:r>
            <w:r w:rsidR="00F04271" w:rsidRPr="004D03B3">
              <w:rPr>
                <w:rFonts w:ascii="Calibri" w:hAnsi="Calibri" w:cs="Arial"/>
                <w:sz w:val="24"/>
                <w:szCs w:val="24"/>
                <w:lang w:val="en-IE"/>
              </w:rPr>
              <w:t>thi</w:t>
            </w:r>
            <w:r w:rsidR="00F14F41">
              <w:rPr>
                <w:rFonts w:ascii="Calibri" w:hAnsi="Calibri" w:cs="Arial"/>
                <w:sz w:val="24"/>
                <w:szCs w:val="24"/>
                <w:lang w:val="en-IE"/>
              </w:rPr>
              <w:t xml:space="preserve">s </w:t>
            </w:r>
            <w:r w:rsidR="00F04271" w:rsidRPr="004D03B3">
              <w:rPr>
                <w:rFonts w:ascii="Calibri" w:hAnsi="Calibri" w:cs="Arial"/>
                <w:sz w:val="24"/>
                <w:szCs w:val="24"/>
                <w:lang w:val="en-IE"/>
              </w:rPr>
              <w:t>modification</w:t>
            </w:r>
            <w:r w:rsidRPr="004D03B3">
              <w:rPr>
                <w:rFonts w:ascii="Calibri" w:hAnsi="Calibri" w:cs="Arial"/>
                <w:sz w:val="24"/>
                <w:szCs w:val="24"/>
                <w:lang w:val="en-IE"/>
              </w:rPr>
              <w:t xml:space="preserve"> seeks to have indicative settlement run on </w:t>
            </w:r>
            <w:r w:rsidR="00D1007D" w:rsidRPr="004D03B3">
              <w:rPr>
                <w:rFonts w:ascii="Calibri" w:hAnsi="Calibri" w:cs="Arial"/>
                <w:sz w:val="24"/>
                <w:szCs w:val="24"/>
                <w:lang w:val="en-IE"/>
              </w:rPr>
              <w:t>working</w:t>
            </w:r>
            <w:r w:rsidRPr="004D03B3">
              <w:rPr>
                <w:rFonts w:ascii="Calibri" w:hAnsi="Calibri" w:cs="Arial"/>
                <w:sz w:val="24"/>
                <w:szCs w:val="24"/>
                <w:lang w:val="en-IE"/>
              </w:rPr>
              <w:t xml:space="preserve"> and non-</w:t>
            </w:r>
            <w:r w:rsidR="00D1007D" w:rsidRPr="004D03B3">
              <w:rPr>
                <w:rFonts w:ascii="Calibri" w:hAnsi="Calibri" w:cs="Arial"/>
                <w:sz w:val="24"/>
                <w:szCs w:val="24"/>
                <w:lang w:val="en-IE"/>
              </w:rPr>
              <w:t>working</w:t>
            </w:r>
            <w:r w:rsidRPr="004D03B3">
              <w:rPr>
                <w:rFonts w:ascii="Calibri" w:hAnsi="Calibri" w:cs="Arial"/>
                <w:sz w:val="24"/>
                <w:szCs w:val="24"/>
                <w:lang w:val="en-IE"/>
              </w:rPr>
              <w:t xml:space="preserve"> days</w:t>
            </w:r>
          </w:p>
        </w:tc>
      </w:tr>
      <w:tr w:rsidR="004C53E7" w:rsidRPr="004C53E7" w:rsidDel="00404964" w14:paraId="5CB299C4" w14:textId="77777777" w:rsidTr="00D74B02">
        <w:tc>
          <w:tcPr>
            <w:tcW w:w="9243" w:type="dxa"/>
            <w:gridSpan w:val="6"/>
            <w:shd w:val="clear" w:color="auto" w:fill="C6D9F1"/>
            <w:vAlign w:val="center"/>
          </w:tcPr>
          <w:p w14:paraId="54D98703"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14:paraId="381D7231"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1A16A2A7" w14:textId="77777777" w:rsidTr="00693AA7">
        <w:tc>
          <w:tcPr>
            <w:tcW w:w="9243" w:type="dxa"/>
            <w:gridSpan w:val="6"/>
            <w:vAlign w:val="center"/>
          </w:tcPr>
          <w:p w14:paraId="4AC1D77C" w14:textId="77777777" w:rsidR="00D1007D" w:rsidRPr="00155EB6" w:rsidRDefault="00E956C1" w:rsidP="00D1007D">
            <w:pPr>
              <w:pStyle w:val="Default"/>
              <w:rPr>
                <w:rFonts w:asciiTheme="minorHAnsi" w:hAnsiTheme="minorHAnsi"/>
                <w:b/>
              </w:rPr>
            </w:pPr>
            <w:r w:rsidRPr="00155EB6">
              <w:rPr>
                <w:rFonts w:asciiTheme="minorHAnsi" w:hAnsiTheme="minorHAnsi"/>
                <w:b/>
              </w:rPr>
              <w:t xml:space="preserve">T&amp;SC </w:t>
            </w:r>
            <w:r w:rsidR="00D1007D" w:rsidRPr="00155EB6">
              <w:rPr>
                <w:rFonts w:asciiTheme="minorHAnsi" w:hAnsiTheme="minorHAnsi"/>
                <w:b/>
              </w:rPr>
              <w:t>G.2.5.1 (a)</w:t>
            </w:r>
          </w:p>
          <w:p w14:paraId="09747D60" w14:textId="77777777" w:rsidR="00D1007D" w:rsidRPr="00155EB6" w:rsidRDefault="00155EB6" w:rsidP="00D1007D">
            <w:pPr>
              <w:pStyle w:val="Default"/>
              <w:rPr>
                <w:rFonts w:asciiTheme="minorHAnsi" w:hAnsiTheme="minorHAnsi"/>
              </w:rPr>
            </w:pPr>
            <w:r>
              <w:rPr>
                <w:rFonts w:asciiTheme="minorHAnsi" w:hAnsiTheme="minorHAnsi"/>
              </w:rPr>
              <w:t>I</w:t>
            </w:r>
            <w:r w:rsidR="00D1007D" w:rsidRPr="00155EB6">
              <w:rPr>
                <w:rFonts w:asciiTheme="minorHAnsi" w:hAnsiTheme="minorHAnsi"/>
              </w:rPr>
              <w:t>ndicative Settlement Statements for Trading Payments and Trading Charges shall, in respect of each Settlement Day in a Billing Period, be produced and issued to all Participants in respect of their Units by 17:00 on Settlement Day + 1</w:t>
            </w:r>
            <w:r w:rsidR="00D1007D" w:rsidRPr="00155EB6">
              <w:rPr>
                <w:rFonts w:asciiTheme="minorHAnsi" w:hAnsiTheme="minorHAnsi"/>
                <w:strike/>
                <w:color w:val="FF0000"/>
              </w:rPr>
              <w:t>W</w:t>
            </w:r>
            <w:r w:rsidR="00D1007D" w:rsidRPr="00155EB6">
              <w:rPr>
                <w:rFonts w:asciiTheme="minorHAnsi" w:hAnsiTheme="minorHAnsi"/>
              </w:rPr>
              <w:t>D</w:t>
            </w:r>
          </w:p>
          <w:p w14:paraId="0582CAE6" w14:textId="77777777" w:rsidR="001D01AF" w:rsidRDefault="001D01AF" w:rsidP="001D01AF">
            <w:pPr>
              <w:pStyle w:val="Default"/>
              <w:rPr>
                <w:rFonts w:asciiTheme="minorHAnsi" w:hAnsiTheme="minorHAnsi"/>
                <w:b/>
              </w:rPr>
            </w:pPr>
          </w:p>
          <w:p w14:paraId="1C7BED43" w14:textId="41925A90" w:rsidR="001D01AF" w:rsidRPr="00155EB6" w:rsidRDefault="001D01AF" w:rsidP="001D01AF">
            <w:pPr>
              <w:pStyle w:val="Default"/>
              <w:rPr>
                <w:rFonts w:asciiTheme="minorHAnsi" w:hAnsiTheme="minorHAnsi"/>
                <w:b/>
              </w:rPr>
            </w:pPr>
            <w:r w:rsidRPr="00155EB6">
              <w:rPr>
                <w:rFonts w:asciiTheme="minorHAnsi" w:hAnsiTheme="minorHAnsi"/>
                <w:b/>
              </w:rPr>
              <w:t xml:space="preserve">T&amp;SC </w:t>
            </w:r>
            <w:r>
              <w:rPr>
                <w:rFonts w:asciiTheme="minorHAnsi" w:hAnsiTheme="minorHAnsi"/>
                <w:b/>
              </w:rPr>
              <w:t>Appendix L</w:t>
            </w:r>
          </w:p>
          <w:p w14:paraId="1844A508" w14:textId="739C6C46" w:rsidR="001D01AF" w:rsidRDefault="001D01AF" w:rsidP="001D01AF">
            <w:pPr>
              <w:rPr>
                <w:rFonts w:asciiTheme="minorHAnsi" w:hAnsiTheme="minorHAnsi" w:cs="Arial"/>
                <w:sz w:val="24"/>
                <w:szCs w:val="24"/>
                <w:lang w:val="en-IE"/>
              </w:rPr>
            </w:pPr>
            <w:r w:rsidRPr="001D01AF">
              <w:rPr>
                <w:rFonts w:asciiTheme="minorHAnsi" w:hAnsiTheme="minorHAnsi" w:cs="Arial"/>
                <w:sz w:val="24"/>
                <w:szCs w:val="24"/>
                <w:lang w:val="en-IE"/>
              </w:rPr>
              <w:t xml:space="preserve">Meter Data Providers shall provide the Meter Data listed in paragraph 3 to the Market Operator required for each Settlement Day by 14:00 on the first </w:t>
            </w:r>
            <w:r w:rsidRPr="005A535B">
              <w:rPr>
                <w:rFonts w:asciiTheme="minorHAnsi" w:hAnsiTheme="minorHAnsi" w:cs="Arial"/>
                <w:strike/>
                <w:color w:val="FF0000"/>
                <w:sz w:val="24"/>
                <w:szCs w:val="24"/>
                <w:lang w:val="en-IE"/>
              </w:rPr>
              <w:t>Week</w:t>
            </w:r>
            <w:r w:rsidRPr="001D01AF">
              <w:rPr>
                <w:rFonts w:asciiTheme="minorHAnsi" w:hAnsiTheme="minorHAnsi" w:cs="Arial"/>
                <w:sz w:val="24"/>
                <w:szCs w:val="24"/>
                <w:lang w:val="en-IE"/>
              </w:rPr>
              <w:t xml:space="preserve"> Day after the Settlement Day as described in Agreed Procedure 16 "Provision of Meter Data".</w:t>
            </w:r>
          </w:p>
          <w:p w14:paraId="52F2B13D" w14:textId="77777777" w:rsidR="001D01AF" w:rsidRPr="001D01AF" w:rsidRDefault="001D01AF" w:rsidP="001D01AF">
            <w:pPr>
              <w:ind w:left="360"/>
              <w:rPr>
                <w:rFonts w:asciiTheme="minorHAnsi" w:hAnsiTheme="minorHAnsi" w:cs="Arial"/>
                <w:sz w:val="24"/>
                <w:szCs w:val="24"/>
                <w:lang w:val="en-IE"/>
              </w:rPr>
            </w:pPr>
          </w:p>
          <w:p w14:paraId="48FCE15D" w14:textId="210C195F" w:rsidR="006C1161" w:rsidRPr="00155EB6" w:rsidRDefault="006C1161" w:rsidP="006C1161">
            <w:pPr>
              <w:rPr>
                <w:rFonts w:asciiTheme="minorHAnsi" w:hAnsiTheme="minorHAnsi" w:cs="Arial"/>
                <w:b/>
                <w:sz w:val="24"/>
                <w:szCs w:val="24"/>
                <w:lang w:val="en-IE"/>
              </w:rPr>
            </w:pPr>
            <w:r w:rsidRPr="00155EB6">
              <w:rPr>
                <w:rFonts w:asciiTheme="minorHAnsi" w:hAnsiTheme="minorHAnsi" w:cs="Arial"/>
                <w:b/>
                <w:sz w:val="24"/>
                <w:szCs w:val="24"/>
                <w:lang w:val="en-IE"/>
              </w:rPr>
              <w:t xml:space="preserve">Agreed Procedure </w:t>
            </w:r>
            <w:r>
              <w:rPr>
                <w:rFonts w:asciiTheme="minorHAnsi" w:hAnsiTheme="minorHAnsi" w:cs="Arial"/>
                <w:b/>
                <w:sz w:val="24"/>
                <w:szCs w:val="24"/>
                <w:lang w:val="en-IE"/>
              </w:rPr>
              <w:t>6</w:t>
            </w:r>
          </w:p>
          <w:tbl>
            <w:tblPr>
              <w:tblStyle w:val="TableGrid"/>
              <w:tblW w:w="0" w:type="auto"/>
              <w:tblLayout w:type="fixed"/>
              <w:tblLook w:val="04A0" w:firstRow="1" w:lastRow="0" w:firstColumn="1" w:lastColumn="0" w:noHBand="0" w:noVBand="1"/>
            </w:tblPr>
            <w:tblGrid>
              <w:gridCol w:w="4508"/>
              <w:gridCol w:w="4509"/>
            </w:tblGrid>
            <w:tr w:rsidR="006C1161" w:rsidRPr="00155EB6" w14:paraId="0A159642" w14:textId="77777777" w:rsidTr="0073315A">
              <w:tc>
                <w:tcPr>
                  <w:tcW w:w="4508" w:type="dxa"/>
                </w:tcPr>
                <w:p w14:paraId="4DE693B8" w14:textId="16FBBDAD" w:rsidR="006C1161" w:rsidRPr="00155EB6" w:rsidRDefault="006C1161" w:rsidP="006C1161">
                  <w:pPr>
                    <w:rPr>
                      <w:rFonts w:asciiTheme="minorHAnsi" w:hAnsiTheme="minorHAnsi" w:cs="Arial"/>
                      <w:sz w:val="24"/>
                      <w:szCs w:val="24"/>
                      <w:lang w:val="en-IE"/>
                    </w:rPr>
                  </w:pPr>
                  <w:r w:rsidRPr="006C1161">
                    <w:rPr>
                      <w:rFonts w:asciiTheme="minorHAnsi" w:eastAsiaTheme="minorHAnsi" w:hAnsiTheme="minorHAnsi" w:cs="Arial"/>
                      <w:color w:val="000000"/>
                      <w:sz w:val="24"/>
                      <w:szCs w:val="24"/>
                      <w:lang w:val="en-IE" w:eastAsia="en-US"/>
                    </w:rPr>
                    <w:t xml:space="preserve">Energy Market Financial Publication - Indicative </w:t>
                  </w:r>
                </w:p>
              </w:tc>
              <w:tc>
                <w:tcPr>
                  <w:tcW w:w="4509" w:type="dxa"/>
                </w:tcPr>
                <w:p w14:paraId="21BDD15D" w14:textId="7E63FD92" w:rsidR="006C1161" w:rsidRPr="00155EB6" w:rsidRDefault="006C1161" w:rsidP="006C1161">
                  <w:pPr>
                    <w:rPr>
                      <w:rFonts w:asciiTheme="minorHAnsi" w:hAnsiTheme="minorHAnsi" w:cs="Arial"/>
                      <w:sz w:val="24"/>
                      <w:szCs w:val="24"/>
                      <w:lang w:val="en-IE"/>
                    </w:rPr>
                  </w:pPr>
                  <w:r w:rsidRPr="006C1161">
                    <w:rPr>
                      <w:rFonts w:asciiTheme="minorHAnsi" w:hAnsiTheme="minorHAnsi"/>
                      <w:sz w:val="24"/>
                      <w:szCs w:val="24"/>
                    </w:rPr>
                    <w:t xml:space="preserve">Daily, Settlement Day + One </w:t>
                  </w:r>
                  <w:r w:rsidRPr="006C1161">
                    <w:rPr>
                      <w:rFonts w:asciiTheme="minorHAnsi" w:hAnsiTheme="minorHAnsi"/>
                      <w:strike/>
                      <w:color w:val="FF0000"/>
                      <w:sz w:val="24"/>
                      <w:szCs w:val="24"/>
                    </w:rPr>
                    <w:t>working</w:t>
                  </w:r>
                  <w:r w:rsidRPr="006C1161">
                    <w:rPr>
                      <w:rFonts w:asciiTheme="minorHAnsi" w:hAnsiTheme="minorHAnsi"/>
                      <w:sz w:val="24"/>
                      <w:szCs w:val="24"/>
                    </w:rPr>
                    <w:t xml:space="preserve"> day by HH:MM</w:t>
                  </w:r>
                </w:p>
              </w:tc>
            </w:tr>
          </w:tbl>
          <w:p w14:paraId="268666D3" w14:textId="77777777" w:rsidR="006C1161" w:rsidRPr="00155EB6" w:rsidRDefault="006C1161" w:rsidP="006C1161">
            <w:pPr>
              <w:rPr>
                <w:rFonts w:asciiTheme="minorHAnsi" w:hAnsiTheme="minorHAnsi" w:cs="Arial"/>
                <w:b/>
                <w:sz w:val="24"/>
                <w:szCs w:val="24"/>
                <w:lang w:val="en-IE"/>
              </w:rPr>
            </w:pPr>
          </w:p>
          <w:tbl>
            <w:tblPr>
              <w:tblStyle w:val="TableGrid"/>
              <w:tblW w:w="0" w:type="auto"/>
              <w:tblLayout w:type="fixed"/>
              <w:tblLook w:val="04A0" w:firstRow="1" w:lastRow="0" w:firstColumn="1" w:lastColumn="0" w:noHBand="0" w:noVBand="1"/>
            </w:tblPr>
            <w:tblGrid>
              <w:gridCol w:w="4508"/>
              <w:gridCol w:w="4509"/>
            </w:tblGrid>
            <w:tr w:rsidR="006C1161" w:rsidRPr="00155EB6" w14:paraId="64CE7FAA" w14:textId="77777777" w:rsidTr="0073315A">
              <w:tc>
                <w:tcPr>
                  <w:tcW w:w="4508" w:type="dxa"/>
                </w:tcPr>
                <w:p w14:paraId="0D236DEB" w14:textId="2FCAEA8B" w:rsidR="006C1161" w:rsidRPr="00155EB6" w:rsidRDefault="006C1161" w:rsidP="006C1161">
                  <w:pPr>
                    <w:rPr>
                      <w:rFonts w:asciiTheme="minorHAnsi" w:hAnsiTheme="minorHAnsi" w:cs="Arial"/>
                      <w:sz w:val="24"/>
                      <w:szCs w:val="24"/>
                      <w:lang w:val="en-IE"/>
                    </w:rPr>
                  </w:pPr>
                  <w:r w:rsidRPr="006C1161">
                    <w:rPr>
                      <w:rFonts w:asciiTheme="minorHAnsi" w:eastAsiaTheme="minorHAnsi" w:hAnsiTheme="minorHAnsi" w:cs="Arial"/>
                      <w:color w:val="000000"/>
                      <w:sz w:val="24"/>
                      <w:szCs w:val="24"/>
                      <w:lang w:val="en-IE" w:eastAsia="en-US"/>
                    </w:rPr>
                    <w:t>Energy Market Information Publication - Indicative</w:t>
                  </w:r>
                </w:p>
              </w:tc>
              <w:tc>
                <w:tcPr>
                  <w:tcW w:w="4509" w:type="dxa"/>
                </w:tcPr>
                <w:p w14:paraId="233C8BDE" w14:textId="77777777" w:rsidR="006C1161" w:rsidRPr="00155EB6" w:rsidRDefault="006C1161" w:rsidP="006C1161">
                  <w:pPr>
                    <w:rPr>
                      <w:rFonts w:asciiTheme="minorHAnsi" w:hAnsiTheme="minorHAnsi" w:cs="Arial"/>
                      <w:sz w:val="24"/>
                      <w:szCs w:val="24"/>
                      <w:lang w:val="en-IE"/>
                    </w:rPr>
                  </w:pPr>
                  <w:r w:rsidRPr="006C1161">
                    <w:rPr>
                      <w:rFonts w:asciiTheme="minorHAnsi" w:hAnsiTheme="minorHAnsi"/>
                      <w:sz w:val="24"/>
                      <w:szCs w:val="24"/>
                    </w:rPr>
                    <w:t xml:space="preserve">Daily, Settlement Day + One </w:t>
                  </w:r>
                  <w:r w:rsidRPr="006C1161">
                    <w:rPr>
                      <w:rFonts w:asciiTheme="minorHAnsi" w:hAnsiTheme="minorHAnsi"/>
                      <w:strike/>
                      <w:color w:val="FF0000"/>
                      <w:sz w:val="24"/>
                      <w:szCs w:val="24"/>
                    </w:rPr>
                    <w:t>working</w:t>
                  </w:r>
                  <w:r w:rsidRPr="006C1161">
                    <w:rPr>
                      <w:rFonts w:asciiTheme="minorHAnsi" w:hAnsiTheme="minorHAnsi"/>
                      <w:sz w:val="24"/>
                      <w:szCs w:val="24"/>
                    </w:rPr>
                    <w:t xml:space="preserve"> day by HH:MM</w:t>
                  </w:r>
                </w:p>
              </w:tc>
            </w:tr>
          </w:tbl>
          <w:p w14:paraId="6104898D" w14:textId="77777777" w:rsidR="006C1161" w:rsidRDefault="006C1161" w:rsidP="006C1161">
            <w:pPr>
              <w:spacing w:line="480" w:lineRule="auto"/>
              <w:rPr>
                <w:rFonts w:asciiTheme="minorHAnsi" w:hAnsiTheme="minorHAnsi" w:cs="Arial"/>
                <w:b/>
                <w:sz w:val="24"/>
                <w:szCs w:val="24"/>
                <w:lang w:val="en-IE"/>
              </w:rPr>
            </w:pPr>
          </w:p>
          <w:p w14:paraId="061DDC8A" w14:textId="77777777" w:rsidR="006C1161" w:rsidRPr="00155EB6" w:rsidRDefault="006C1161" w:rsidP="006C1161">
            <w:pPr>
              <w:rPr>
                <w:rFonts w:asciiTheme="minorHAnsi" w:hAnsiTheme="minorHAnsi" w:cs="Arial"/>
                <w:b/>
                <w:sz w:val="24"/>
                <w:szCs w:val="24"/>
                <w:lang w:val="en-IE"/>
              </w:rPr>
            </w:pPr>
          </w:p>
          <w:tbl>
            <w:tblPr>
              <w:tblStyle w:val="TableGrid"/>
              <w:tblW w:w="0" w:type="auto"/>
              <w:tblLayout w:type="fixed"/>
              <w:tblLook w:val="04A0" w:firstRow="1" w:lastRow="0" w:firstColumn="1" w:lastColumn="0" w:noHBand="0" w:noVBand="1"/>
            </w:tblPr>
            <w:tblGrid>
              <w:gridCol w:w="4508"/>
              <w:gridCol w:w="4509"/>
            </w:tblGrid>
            <w:tr w:rsidR="006C1161" w:rsidRPr="00155EB6" w14:paraId="254588F7" w14:textId="77777777" w:rsidTr="0073315A">
              <w:tc>
                <w:tcPr>
                  <w:tcW w:w="4508" w:type="dxa"/>
                </w:tcPr>
                <w:p w14:paraId="42A24657" w14:textId="661B87B6" w:rsidR="006C1161" w:rsidRPr="00155EB6" w:rsidRDefault="006C1161" w:rsidP="006C1161">
                  <w:pPr>
                    <w:rPr>
                      <w:rFonts w:asciiTheme="minorHAnsi" w:hAnsiTheme="minorHAnsi" w:cs="Arial"/>
                      <w:sz w:val="24"/>
                      <w:szCs w:val="24"/>
                      <w:lang w:val="en-IE"/>
                    </w:rPr>
                  </w:pPr>
                  <w:r w:rsidRPr="006C1161">
                    <w:rPr>
                      <w:rFonts w:asciiTheme="minorHAnsi" w:eastAsiaTheme="minorHAnsi" w:hAnsiTheme="minorHAnsi" w:cs="Arial"/>
                      <w:color w:val="000000"/>
                      <w:sz w:val="24"/>
                      <w:szCs w:val="24"/>
                      <w:lang w:val="en-IE" w:eastAsia="en-US"/>
                    </w:rPr>
                    <w:t>Metered Generation Information Publication - Indicative</w:t>
                  </w:r>
                </w:p>
              </w:tc>
              <w:tc>
                <w:tcPr>
                  <w:tcW w:w="4509" w:type="dxa"/>
                </w:tcPr>
                <w:p w14:paraId="667157E3" w14:textId="77777777" w:rsidR="006C1161" w:rsidRPr="00155EB6" w:rsidRDefault="006C1161" w:rsidP="006C1161">
                  <w:pPr>
                    <w:rPr>
                      <w:rFonts w:asciiTheme="minorHAnsi" w:hAnsiTheme="minorHAnsi" w:cs="Arial"/>
                      <w:sz w:val="24"/>
                      <w:szCs w:val="24"/>
                      <w:lang w:val="en-IE"/>
                    </w:rPr>
                  </w:pPr>
                  <w:r w:rsidRPr="006C1161">
                    <w:rPr>
                      <w:rFonts w:asciiTheme="minorHAnsi" w:hAnsiTheme="minorHAnsi"/>
                      <w:sz w:val="24"/>
                      <w:szCs w:val="24"/>
                    </w:rPr>
                    <w:t xml:space="preserve">Daily, Settlement Day + One </w:t>
                  </w:r>
                  <w:r w:rsidRPr="006C1161">
                    <w:rPr>
                      <w:rFonts w:asciiTheme="minorHAnsi" w:hAnsiTheme="minorHAnsi"/>
                      <w:strike/>
                      <w:color w:val="FF0000"/>
                      <w:sz w:val="24"/>
                      <w:szCs w:val="24"/>
                    </w:rPr>
                    <w:t>working</w:t>
                  </w:r>
                  <w:r w:rsidRPr="006C1161">
                    <w:rPr>
                      <w:rFonts w:asciiTheme="minorHAnsi" w:hAnsiTheme="minorHAnsi"/>
                      <w:sz w:val="24"/>
                      <w:szCs w:val="24"/>
                    </w:rPr>
                    <w:t xml:space="preserve"> day by HH:MM</w:t>
                  </w:r>
                </w:p>
              </w:tc>
            </w:tr>
          </w:tbl>
          <w:p w14:paraId="77A43BFA" w14:textId="77777777" w:rsidR="006C1161" w:rsidRDefault="006C1161" w:rsidP="006C1161">
            <w:pPr>
              <w:spacing w:line="480" w:lineRule="auto"/>
              <w:rPr>
                <w:rFonts w:asciiTheme="minorHAnsi" w:hAnsiTheme="minorHAnsi" w:cs="Arial"/>
                <w:b/>
                <w:sz w:val="24"/>
                <w:szCs w:val="24"/>
                <w:lang w:val="en-IE"/>
              </w:rPr>
            </w:pPr>
          </w:p>
          <w:p w14:paraId="2B8F535D" w14:textId="77777777" w:rsidR="00D1007D" w:rsidRPr="00155EB6" w:rsidRDefault="00D1007D" w:rsidP="00155EB6">
            <w:pPr>
              <w:rPr>
                <w:rFonts w:asciiTheme="minorHAnsi" w:hAnsiTheme="minorHAnsi" w:cs="Arial"/>
                <w:b/>
                <w:sz w:val="24"/>
                <w:szCs w:val="24"/>
                <w:lang w:val="en-IE"/>
              </w:rPr>
            </w:pPr>
            <w:r w:rsidRPr="00155EB6">
              <w:rPr>
                <w:rFonts w:asciiTheme="minorHAnsi" w:hAnsiTheme="minorHAnsi" w:cs="Arial"/>
                <w:b/>
                <w:sz w:val="24"/>
                <w:szCs w:val="24"/>
                <w:lang w:val="en-IE"/>
              </w:rPr>
              <w:t>Agreed Procedure 15, 3.1</w:t>
            </w:r>
          </w:p>
          <w:tbl>
            <w:tblPr>
              <w:tblStyle w:val="TableGrid"/>
              <w:tblW w:w="0" w:type="auto"/>
              <w:tblLayout w:type="fixed"/>
              <w:tblLook w:val="04A0" w:firstRow="1" w:lastRow="0" w:firstColumn="1" w:lastColumn="0" w:noHBand="0" w:noVBand="1"/>
            </w:tblPr>
            <w:tblGrid>
              <w:gridCol w:w="4508"/>
              <w:gridCol w:w="4509"/>
            </w:tblGrid>
            <w:tr w:rsidR="00C32CF9" w:rsidRPr="00155EB6" w14:paraId="04A295A0" w14:textId="77777777" w:rsidTr="00C32CF9">
              <w:tc>
                <w:tcPr>
                  <w:tcW w:w="4508" w:type="dxa"/>
                </w:tcPr>
                <w:p w14:paraId="347DF32C" w14:textId="77777777" w:rsidR="00C32CF9" w:rsidRPr="00155EB6" w:rsidRDefault="00C32CF9" w:rsidP="00155EB6">
                  <w:pPr>
                    <w:pStyle w:val="Default"/>
                    <w:rPr>
                      <w:rFonts w:asciiTheme="minorHAnsi" w:hAnsiTheme="minorHAnsi"/>
                    </w:rPr>
                  </w:pPr>
                  <w:r w:rsidRPr="00155EB6">
                    <w:rPr>
                      <w:rFonts w:asciiTheme="minorHAnsi" w:hAnsiTheme="minorHAnsi"/>
                    </w:rPr>
                    <w:t xml:space="preserve">Produce and issue indicative Settlement Statements and Settlement Reports for each Settlement Day. </w:t>
                  </w:r>
                </w:p>
                <w:p w14:paraId="5EE6B766" w14:textId="77777777" w:rsidR="00C32CF9" w:rsidRPr="00155EB6" w:rsidRDefault="00C32CF9" w:rsidP="00155EB6">
                  <w:pPr>
                    <w:rPr>
                      <w:rFonts w:asciiTheme="minorHAnsi" w:hAnsiTheme="minorHAnsi" w:cs="Arial"/>
                      <w:sz w:val="24"/>
                      <w:szCs w:val="24"/>
                      <w:lang w:val="en-IE"/>
                    </w:rPr>
                  </w:pPr>
                </w:p>
              </w:tc>
              <w:tc>
                <w:tcPr>
                  <w:tcW w:w="4509" w:type="dxa"/>
                </w:tcPr>
                <w:p w14:paraId="5416AAC8" w14:textId="77777777" w:rsidR="00C32CF9" w:rsidRPr="00155EB6" w:rsidRDefault="00C32CF9" w:rsidP="00155EB6">
                  <w:pPr>
                    <w:rPr>
                      <w:rFonts w:asciiTheme="minorHAnsi" w:hAnsiTheme="minorHAnsi" w:cs="Arial"/>
                      <w:sz w:val="24"/>
                      <w:szCs w:val="24"/>
                      <w:lang w:val="en-IE"/>
                    </w:rPr>
                  </w:pPr>
                  <w:r w:rsidRPr="00155EB6">
                    <w:rPr>
                      <w:rFonts w:asciiTheme="minorHAnsi" w:hAnsiTheme="minorHAnsi"/>
                      <w:sz w:val="24"/>
                      <w:szCs w:val="24"/>
                    </w:rPr>
                    <w:t xml:space="preserve">Before 17:00, 1 </w:t>
                  </w:r>
                  <w:r w:rsidRPr="00155EB6">
                    <w:rPr>
                      <w:rFonts w:asciiTheme="minorHAnsi" w:hAnsiTheme="minorHAnsi"/>
                      <w:strike/>
                      <w:color w:val="FF0000"/>
                      <w:sz w:val="24"/>
                      <w:szCs w:val="24"/>
                    </w:rPr>
                    <w:t>W</w:t>
                  </w:r>
                  <w:r w:rsidRPr="00155EB6">
                    <w:rPr>
                      <w:rFonts w:asciiTheme="minorHAnsi" w:hAnsiTheme="minorHAnsi"/>
                      <w:sz w:val="24"/>
                      <w:szCs w:val="24"/>
                    </w:rPr>
                    <w:t>D after the end of each</w:t>
                  </w:r>
                  <w:r w:rsidR="00E956C1" w:rsidRPr="00155EB6">
                    <w:rPr>
                      <w:rFonts w:asciiTheme="minorHAnsi" w:hAnsiTheme="minorHAnsi"/>
                      <w:sz w:val="24"/>
                      <w:szCs w:val="24"/>
                    </w:rPr>
                    <w:t xml:space="preserve"> se</w:t>
                  </w:r>
                  <w:r w:rsidRPr="00155EB6">
                    <w:rPr>
                      <w:rFonts w:asciiTheme="minorHAnsi" w:hAnsiTheme="minorHAnsi"/>
                      <w:sz w:val="24"/>
                      <w:szCs w:val="24"/>
                    </w:rPr>
                    <w:t>ttlement</w:t>
                  </w:r>
                </w:p>
              </w:tc>
            </w:tr>
          </w:tbl>
          <w:p w14:paraId="6C52BBDE" w14:textId="77777777" w:rsidR="00D1007D" w:rsidRDefault="00D1007D" w:rsidP="00693AA7">
            <w:pPr>
              <w:spacing w:line="480" w:lineRule="auto"/>
              <w:rPr>
                <w:rFonts w:ascii="Calibri" w:hAnsi="Calibri" w:cs="Arial"/>
                <w:lang w:val="en-IE"/>
              </w:rPr>
            </w:pPr>
          </w:p>
          <w:p w14:paraId="3CFE1BF3" w14:textId="77777777" w:rsidR="00155EB6" w:rsidRPr="00155EB6" w:rsidRDefault="00155EB6" w:rsidP="00155EB6">
            <w:pPr>
              <w:spacing w:line="480" w:lineRule="auto"/>
              <w:rPr>
                <w:rFonts w:asciiTheme="minorHAnsi" w:hAnsiTheme="minorHAnsi" w:cs="Arial"/>
                <w:b/>
                <w:sz w:val="24"/>
                <w:szCs w:val="24"/>
                <w:lang w:val="en-IE"/>
              </w:rPr>
            </w:pPr>
            <w:r w:rsidRPr="00155EB6">
              <w:rPr>
                <w:rFonts w:asciiTheme="minorHAnsi" w:hAnsiTheme="minorHAnsi" w:cs="Arial"/>
                <w:b/>
                <w:sz w:val="24"/>
                <w:szCs w:val="24"/>
                <w:lang w:val="en-IE"/>
              </w:rPr>
              <w:t>Agreed Procedure 16, 3.1</w:t>
            </w:r>
          </w:p>
          <w:tbl>
            <w:tblPr>
              <w:tblStyle w:val="TableGrid"/>
              <w:tblW w:w="9089" w:type="dxa"/>
              <w:tblLayout w:type="fixed"/>
              <w:tblLook w:val="04A0" w:firstRow="1" w:lastRow="0" w:firstColumn="1" w:lastColumn="0" w:noHBand="0" w:noVBand="1"/>
            </w:tblPr>
            <w:tblGrid>
              <w:gridCol w:w="4508"/>
              <w:gridCol w:w="4581"/>
            </w:tblGrid>
            <w:tr w:rsidR="00155EB6" w:rsidRPr="00155EB6" w14:paraId="783C9E52" w14:textId="77777777" w:rsidTr="00523CD4">
              <w:tc>
                <w:tcPr>
                  <w:tcW w:w="4508" w:type="dxa"/>
                </w:tcPr>
                <w:p w14:paraId="7B830D1E" w14:textId="77777777" w:rsidR="00155EB6" w:rsidRPr="00155EB6" w:rsidRDefault="00155EB6" w:rsidP="00155EB6">
                  <w:pPr>
                    <w:rPr>
                      <w:rFonts w:asciiTheme="minorHAnsi" w:hAnsiTheme="minorHAnsi" w:cs="Arial"/>
                      <w:sz w:val="24"/>
                      <w:szCs w:val="24"/>
                      <w:lang w:val="en-IE"/>
                    </w:rPr>
                  </w:pPr>
                  <w:r w:rsidRPr="00155EB6">
                    <w:rPr>
                      <w:rFonts w:asciiTheme="minorHAnsi" w:hAnsiTheme="minorHAnsi"/>
                      <w:sz w:val="24"/>
                      <w:szCs w:val="24"/>
                    </w:rPr>
                    <w:t>Generation Metering for indicative Settlement</w:t>
                  </w:r>
                </w:p>
              </w:tc>
              <w:tc>
                <w:tcPr>
                  <w:tcW w:w="4581" w:type="dxa"/>
                </w:tcPr>
                <w:p w14:paraId="6D9B41EA" w14:textId="77777777" w:rsidR="00155EB6" w:rsidRPr="00155EB6" w:rsidRDefault="00155EB6" w:rsidP="00155EB6">
                  <w:pPr>
                    <w:pStyle w:val="Default"/>
                    <w:rPr>
                      <w:rFonts w:asciiTheme="minorHAnsi" w:hAnsiTheme="minorHAnsi"/>
                    </w:rPr>
                  </w:pPr>
                  <w:r w:rsidRPr="00155EB6">
                    <w:rPr>
                      <w:rFonts w:asciiTheme="minorHAnsi" w:hAnsiTheme="minorHAnsi"/>
                    </w:rPr>
                    <w:t>Each</w:t>
                  </w:r>
                  <w:r w:rsidRPr="007669A1">
                    <w:rPr>
                      <w:rFonts w:asciiTheme="minorHAnsi" w:hAnsiTheme="minorHAnsi"/>
                      <w:strike/>
                      <w:color w:val="FF0000"/>
                    </w:rPr>
                    <w:t xml:space="preserve"> Week</w:t>
                  </w:r>
                  <w:r w:rsidRPr="007669A1">
                    <w:rPr>
                      <w:rFonts w:asciiTheme="minorHAnsi" w:hAnsiTheme="minorHAnsi"/>
                      <w:color w:val="FF0000"/>
                    </w:rPr>
                    <w:t xml:space="preserve"> </w:t>
                  </w:r>
                  <w:r w:rsidRPr="00155EB6">
                    <w:rPr>
                      <w:rFonts w:asciiTheme="minorHAnsi" w:hAnsiTheme="minorHAnsi"/>
                    </w:rPr>
                    <w:t xml:space="preserve">Day, by 14:00 on the next </w:t>
                  </w:r>
                  <w:r w:rsidRPr="00155EB6">
                    <w:rPr>
                      <w:rFonts w:asciiTheme="minorHAnsi" w:hAnsiTheme="minorHAnsi"/>
                      <w:strike/>
                      <w:color w:val="FF0000"/>
                    </w:rPr>
                    <w:t>Week</w:t>
                  </w:r>
                  <w:r w:rsidRPr="00155EB6">
                    <w:rPr>
                      <w:rFonts w:asciiTheme="minorHAnsi" w:hAnsiTheme="minorHAnsi"/>
                    </w:rPr>
                    <w:t xml:space="preserve"> Day (D+1) </w:t>
                  </w:r>
                </w:p>
              </w:tc>
            </w:tr>
          </w:tbl>
          <w:p w14:paraId="4892BAC8" w14:textId="77777777" w:rsidR="00155EB6" w:rsidRDefault="00155EB6" w:rsidP="00693AA7">
            <w:pPr>
              <w:spacing w:line="480" w:lineRule="auto"/>
              <w:rPr>
                <w:rFonts w:ascii="Calibri" w:hAnsi="Calibri" w:cs="Arial"/>
                <w:lang w:val="en-IE"/>
              </w:rPr>
            </w:pPr>
          </w:p>
          <w:tbl>
            <w:tblPr>
              <w:tblStyle w:val="TableGrid"/>
              <w:tblW w:w="9089" w:type="dxa"/>
              <w:tblLayout w:type="fixed"/>
              <w:tblLook w:val="04A0" w:firstRow="1" w:lastRow="0" w:firstColumn="1" w:lastColumn="0" w:noHBand="0" w:noVBand="1"/>
            </w:tblPr>
            <w:tblGrid>
              <w:gridCol w:w="4508"/>
              <w:gridCol w:w="4581"/>
            </w:tblGrid>
            <w:tr w:rsidR="006C1161" w:rsidRPr="00155EB6" w14:paraId="270293CB" w14:textId="77777777" w:rsidTr="0073315A">
              <w:tc>
                <w:tcPr>
                  <w:tcW w:w="4508" w:type="dxa"/>
                </w:tcPr>
                <w:p w14:paraId="7347702C" w14:textId="1EC97CD6" w:rsidR="006C1161" w:rsidRPr="00155EB6" w:rsidRDefault="006C1161" w:rsidP="006C1161">
                  <w:pPr>
                    <w:rPr>
                      <w:rFonts w:asciiTheme="minorHAnsi" w:hAnsiTheme="minorHAnsi" w:cs="Arial"/>
                      <w:sz w:val="24"/>
                      <w:szCs w:val="24"/>
                      <w:lang w:val="en-IE"/>
                    </w:rPr>
                  </w:pPr>
                  <w:r w:rsidRPr="00F4046B">
                    <w:rPr>
                      <w:rFonts w:ascii="Arial" w:hAnsi="Arial" w:cs="Arial"/>
                      <w:sz w:val="22"/>
                      <w:szCs w:val="22"/>
                      <w:lang w:val="en-IE"/>
                    </w:rPr>
                    <w:t>Aggregated Inter Jurisdiction Metering for indicative Settlement</w:t>
                  </w:r>
                </w:p>
              </w:tc>
              <w:tc>
                <w:tcPr>
                  <w:tcW w:w="4581" w:type="dxa"/>
                </w:tcPr>
                <w:p w14:paraId="16A730A9" w14:textId="77777777" w:rsidR="006C1161" w:rsidRPr="00155EB6" w:rsidRDefault="006C1161" w:rsidP="006C1161">
                  <w:pPr>
                    <w:pStyle w:val="Default"/>
                    <w:rPr>
                      <w:rFonts w:asciiTheme="minorHAnsi" w:hAnsiTheme="minorHAnsi"/>
                    </w:rPr>
                  </w:pPr>
                  <w:r w:rsidRPr="00155EB6">
                    <w:rPr>
                      <w:rFonts w:asciiTheme="minorHAnsi" w:hAnsiTheme="minorHAnsi"/>
                    </w:rPr>
                    <w:t>Each</w:t>
                  </w:r>
                  <w:r w:rsidRPr="007669A1">
                    <w:rPr>
                      <w:rFonts w:asciiTheme="minorHAnsi" w:hAnsiTheme="minorHAnsi"/>
                      <w:strike/>
                      <w:color w:val="FF0000"/>
                    </w:rPr>
                    <w:t xml:space="preserve"> Week</w:t>
                  </w:r>
                  <w:r w:rsidRPr="007669A1">
                    <w:rPr>
                      <w:rFonts w:asciiTheme="minorHAnsi" w:hAnsiTheme="minorHAnsi"/>
                      <w:color w:val="FF0000"/>
                    </w:rPr>
                    <w:t xml:space="preserve"> </w:t>
                  </w:r>
                  <w:r w:rsidRPr="00155EB6">
                    <w:rPr>
                      <w:rFonts w:asciiTheme="minorHAnsi" w:hAnsiTheme="minorHAnsi"/>
                    </w:rPr>
                    <w:t xml:space="preserve">Day, by 14:00 on the next </w:t>
                  </w:r>
                  <w:r w:rsidRPr="00155EB6">
                    <w:rPr>
                      <w:rFonts w:asciiTheme="minorHAnsi" w:hAnsiTheme="minorHAnsi"/>
                      <w:strike/>
                      <w:color w:val="FF0000"/>
                    </w:rPr>
                    <w:t>Week</w:t>
                  </w:r>
                  <w:r w:rsidRPr="00155EB6">
                    <w:rPr>
                      <w:rFonts w:asciiTheme="minorHAnsi" w:hAnsiTheme="minorHAnsi"/>
                    </w:rPr>
                    <w:t xml:space="preserve"> Day (D+1) </w:t>
                  </w:r>
                </w:p>
              </w:tc>
            </w:tr>
          </w:tbl>
          <w:p w14:paraId="40146266" w14:textId="28ECA8C4" w:rsidR="00155EB6" w:rsidRDefault="00155EB6" w:rsidP="00693AA7">
            <w:pPr>
              <w:spacing w:line="480" w:lineRule="auto"/>
              <w:rPr>
                <w:rFonts w:ascii="Calibri" w:hAnsi="Calibri" w:cs="Arial"/>
                <w:lang w:val="en-IE"/>
              </w:rPr>
            </w:pPr>
          </w:p>
          <w:tbl>
            <w:tblPr>
              <w:tblStyle w:val="TableGrid"/>
              <w:tblW w:w="9089" w:type="dxa"/>
              <w:tblLayout w:type="fixed"/>
              <w:tblLook w:val="04A0" w:firstRow="1" w:lastRow="0" w:firstColumn="1" w:lastColumn="0" w:noHBand="0" w:noVBand="1"/>
            </w:tblPr>
            <w:tblGrid>
              <w:gridCol w:w="4508"/>
              <w:gridCol w:w="4581"/>
            </w:tblGrid>
            <w:tr w:rsidR="006C1161" w:rsidRPr="00155EB6" w14:paraId="5EB2A76A" w14:textId="77777777" w:rsidTr="0073315A">
              <w:tc>
                <w:tcPr>
                  <w:tcW w:w="4508" w:type="dxa"/>
                </w:tcPr>
                <w:p w14:paraId="6CF5B439" w14:textId="3EED40C6" w:rsidR="006C1161" w:rsidRPr="00155EB6" w:rsidRDefault="006C1161" w:rsidP="006C1161">
                  <w:pPr>
                    <w:rPr>
                      <w:rFonts w:asciiTheme="minorHAnsi" w:hAnsiTheme="minorHAnsi" w:cs="Arial"/>
                      <w:sz w:val="24"/>
                      <w:szCs w:val="24"/>
                      <w:lang w:val="en-IE"/>
                    </w:rPr>
                  </w:pPr>
                  <w:r w:rsidRPr="00F4046B">
                    <w:rPr>
                      <w:rFonts w:ascii="Arial" w:hAnsi="Arial" w:cs="Arial"/>
                      <w:sz w:val="22"/>
                      <w:szCs w:val="22"/>
                      <w:lang w:val="en-IE"/>
                    </w:rPr>
                    <w:t>Aggregated Demand Metering for indicative Settlement</w:t>
                  </w:r>
                </w:p>
              </w:tc>
              <w:tc>
                <w:tcPr>
                  <w:tcW w:w="4581" w:type="dxa"/>
                </w:tcPr>
                <w:p w14:paraId="290FD031" w14:textId="77777777" w:rsidR="006C1161" w:rsidRPr="00155EB6" w:rsidRDefault="006C1161" w:rsidP="006C1161">
                  <w:pPr>
                    <w:pStyle w:val="Default"/>
                    <w:rPr>
                      <w:rFonts w:asciiTheme="minorHAnsi" w:hAnsiTheme="minorHAnsi"/>
                    </w:rPr>
                  </w:pPr>
                  <w:r w:rsidRPr="00155EB6">
                    <w:rPr>
                      <w:rFonts w:asciiTheme="minorHAnsi" w:hAnsiTheme="minorHAnsi"/>
                    </w:rPr>
                    <w:t>Each</w:t>
                  </w:r>
                  <w:r w:rsidRPr="007669A1">
                    <w:rPr>
                      <w:rFonts w:asciiTheme="minorHAnsi" w:hAnsiTheme="minorHAnsi"/>
                      <w:strike/>
                      <w:color w:val="FF0000"/>
                    </w:rPr>
                    <w:t xml:space="preserve"> Week</w:t>
                  </w:r>
                  <w:r w:rsidRPr="007669A1">
                    <w:rPr>
                      <w:rFonts w:asciiTheme="minorHAnsi" w:hAnsiTheme="minorHAnsi"/>
                      <w:color w:val="FF0000"/>
                    </w:rPr>
                    <w:t xml:space="preserve"> </w:t>
                  </w:r>
                  <w:r w:rsidRPr="00155EB6">
                    <w:rPr>
                      <w:rFonts w:asciiTheme="minorHAnsi" w:hAnsiTheme="minorHAnsi"/>
                    </w:rPr>
                    <w:t xml:space="preserve">Day, by 14:00 on the next </w:t>
                  </w:r>
                  <w:r w:rsidRPr="00155EB6">
                    <w:rPr>
                      <w:rFonts w:asciiTheme="minorHAnsi" w:hAnsiTheme="minorHAnsi"/>
                      <w:strike/>
                      <w:color w:val="FF0000"/>
                    </w:rPr>
                    <w:t>Week</w:t>
                  </w:r>
                  <w:r w:rsidRPr="00155EB6">
                    <w:rPr>
                      <w:rFonts w:asciiTheme="minorHAnsi" w:hAnsiTheme="minorHAnsi"/>
                    </w:rPr>
                    <w:t xml:space="preserve"> Day (D+1) </w:t>
                  </w:r>
                </w:p>
              </w:tc>
            </w:tr>
          </w:tbl>
          <w:p w14:paraId="1A132EC3" w14:textId="77777777" w:rsidR="006C1161" w:rsidRDefault="006C1161" w:rsidP="00693AA7">
            <w:pPr>
              <w:spacing w:line="480" w:lineRule="auto"/>
              <w:rPr>
                <w:rFonts w:ascii="Calibri" w:hAnsi="Calibri" w:cs="Arial"/>
                <w:lang w:val="en-IE"/>
              </w:rPr>
            </w:pPr>
          </w:p>
          <w:p w14:paraId="690FB16D" w14:textId="77777777" w:rsidR="00155EB6" w:rsidRPr="004C53E7" w:rsidDel="00404964" w:rsidRDefault="00155EB6" w:rsidP="00693AA7">
            <w:pPr>
              <w:spacing w:line="480" w:lineRule="auto"/>
              <w:rPr>
                <w:rFonts w:ascii="Calibri" w:hAnsi="Calibri" w:cs="Arial"/>
                <w:lang w:val="en-IE"/>
              </w:rPr>
            </w:pPr>
          </w:p>
        </w:tc>
      </w:tr>
      <w:tr w:rsidR="004C53E7" w:rsidRPr="004C53E7" w14:paraId="4C2CF146" w14:textId="77777777" w:rsidTr="00D74B02">
        <w:tc>
          <w:tcPr>
            <w:tcW w:w="9243" w:type="dxa"/>
            <w:gridSpan w:val="6"/>
            <w:shd w:val="clear" w:color="auto" w:fill="C6D9F1"/>
            <w:vAlign w:val="center"/>
          </w:tcPr>
          <w:p w14:paraId="716AA467"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2331E50D"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260D289E" w14:textId="77777777" w:rsidTr="00693AA7">
        <w:tc>
          <w:tcPr>
            <w:tcW w:w="9243" w:type="dxa"/>
            <w:gridSpan w:val="6"/>
            <w:vAlign w:val="center"/>
          </w:tcPr>
          <w:p w14:paraId="7330E431" w14:textId="321500E2" w:rsidR="00F04271" w:rsidRPr="001025DD" w:rsidRDefault="00F04271" w:rsidP="00F04271">
            <w:pPr>
              <w:numPr>
                <w:ilvl w:val="0"/>
                <w:numId w:val="3"/>
              </w:numPr>
              <w:overflowPunct/>
              <w:autoSpaceDE/>
              <w:autoSpaceDN/>
              <w:adjustRightInd/>
              <w:textAlignment w:val="auto"/>
              <w:rPr>
                <w:rFonts w:asciiTheme="minorHAnsi" w:hAnsiTheme="minorHAnsi"/>
                <w:sz w:val="24"/>
                <w:szCs w:val="24"/>
                <w:lang w:val="en-IE" w:eastAsia="en-US"/>
              </w:rPr>
            </w:pPr>
            <w:r w:rsidRPr="00155EB6">
              <w:rPr>
                <w:rFonts w:asciiTheme="minorHAnsi" w:hAnsiTheme="minorHAnsi"/>
                <w:sz w:val="24"/>
                <w:szCs w:val="24"/>
              </w:rPr>
              <w:t xml:space="preserve">Indicative settlement only takes place on </w:t>
            </w:r>
            <w:r w:rsidR="00D1007D" w:rsidRPr="00155EB6">
              <w:rPr>
                <w:rFonts w:asciiTheme="minorHAnsi" w:hAnsiTheme="minorHAnsi"/>
                <w:sz w:val="24"/>
                <w:szCs w:val="24"/>
              </w:rPr>
              <w:t>working</w:t>
            </w:r>
            <w:r w:rsidRPr="00155EB6">
              <w:rPr>
                <w:rFonts w:asciiTheme="minorHAnsi" w:hAnsiTheme="minorHAnsi"/>
                <w:sz w:val="24"/>
                <w:szCs w:val="24"/>
              </w:rPr>
              <w:t xml:space="preserve"> days; </w:t>
            </w:r>
            <w:r w:rsidR="00990E6C" w:rsidRPr="00155EB6">
              <w:rPr>
                <w:rFonts w:asciiTheme="minorHAnsi" w:hAnsiTheme="minorHAnsi"/>
                <w:sz w:val="24"/>
                <w:szCs w:val="24"/>
              </w:rPr>
              <w:t>so,</w:t>
            </w:r>
            <w:r w:rsidRPr="00155EB6">
              <w:rPr>
                <w:rFonts w:asciiTheme="minorHAnsi" w:hAnsiTheme="minorHAnsi"/>
                <w:sz w:val="24"/>
                <w:szCs w:val="24"/>
              </w:rPr>
              <w:t xml:space="preserve"> on a Monday, before the </w:t>
            </w:r>
            <w:r w:rsidR="00D1007D" w:rsidRPr="00155EB6">
              <w:rPr>
                <w:rFonts w:asciiTheme="minorHAnsi" w:hAnsiTheme="minorHAnsi"/>
                <w:sz w:val="24"/>
                <w:szCs w:val="24"/>
              </w:rPr>
              <w:t xml:space="preserve">indicative </w:t>
            </w:r>
            <w:r w:rsidRPr="00155EB6">
              <w:rPr>
                <w:rFonts w:asciiTheme="minorHAnsi" w:hAnsiTheme="minorHAnsi"/>
                <w:sz w:val="24"/>
                <w:szCs w:val="24"/>
              </w:rPr>
              <w:t>settlement run, a unit</w:t>
            </w:r>
            <w:r w:rsidR="00F14F41">
              <w:rPr>
                <w:rFonts w:asciiTheme="minorHAnsi" w:hAnsiTheme="minorHAnsi"/>
                <w:sz w:val="24"/>
                <w:szCs w:val="24"/>
              </w:rPr>
              <w:t xml:space="preserve"> selling into the ex-ante markets</w:t>
            </w:r>
            <w:r w:rsidRPr="00155EB6">
              <w:rPr>
                <w:rFonts w:asciiTheme="minorHAnsi" w:hAnsiTheme="minorHAnsi"/>
                <w:sz w:val="24"/>
                <w:szCs w:val="24"/>
              </w:rPr>
              <w:t xml:space="preserve"> is deemed to have sold on Friday, Saturday and Sunday, but </w:t>
            </w:r>
            <w:r w:rsidR="00F14F41">
              <w:rPr>
                <w:rFonts w:asciiTheme="minorHAnsi" w:hAnsiTheme="minorHAnsi"/>
                <w:sz w:val="24"/>
                <w:szCs w:val="24"/>
              </w:rPr>
              <w:t>produced no power</w:t>
            </w:r>
            <w:r w:rsidR="001025DD">
              <w:rPr>
                <w:rFonts w:asciiTheme="minorHAnsi" w:hAnsiTheme="minorHAnsi"/>
                <w:sz w:val="24"/>
                <w:szCs w:val="24"/>
              </w:rPr>
              <w:t>.  This leads to a traded not delivered exposure when the 09:00 and 12:00 Credit reports are run</w:t>
            </w:r>
          </w:p>
          <w:p w14:paraId="4958A573" w14:textId="7133A1AB" w:rsidR="001025DD" w:rsidRPr="00155EB6" w:rsidRDefault="001025DD" w:rsidP="00F04271">
            <w:pPr>
              <w:numPr>
                <w:ilvl w:val="0"/>
                <w:numId w:val="3"/>
              </w:numPr>
              <w:overflowPunct/>
              <w:autoSpaceDE/>
              <w:autoSpaceDN/>
              <w:adjustRightInd/>
              <w:textAlignment w:val="auto"/>
              <w:rPr>
                <w:rFonts w:asciiTheme="minorHAnsi" w:hAnsiTheme="minorHAnsi"/>
                <w:sz w:val="24"/>
                <w:szCs w:val="24"/>
                <w:lang w:val="en-IE" w:eastAsia="en-US"/>
              </w:rPr>
            </w:pPr>
            <w:r>
              <w:rPr>
                <w:rFonts w:asciiTheme="minorHAnsi" w:hAnsiTheme="minorHAnsi"/>
                <w:sz w:val="24"/>
                <w:szCs w:val="24"/>
                <w:lang w:val="en-IE" w:eastAsia="en-US"/>
              </w:rPr>
              <w:t>Furthermore, when the 15:00 Credit report is run the unit will now have also sold into the Day Ahead auction at 11:00 on Monday exacerbating the situation</w:t>
            </w:r>
          </w:p>
          <w:p w14:paraId="35AF1CDE" w14:textId="77777777" w:rsidR="00F04271" w:rsidRPr="00155EB6" w:rsidRDefault="00F04271" w:rsidP="00F04271">
            <w:pPr>
              <w:numPr>
                <w:ilvl w:val="0"/>
                <w:numId w:val="3"/>
              </w:numPr>
              <w:overflowPunct/>
              <w:autoSpaceDE/>
              <w:autoSpaceDN/>
              <w:adjustRightInd/>
              <w:textAlignment w:val="auto"/>
              <w:rPr>
                <w:rFonts w:asciiTheme="minorHAnsi" w:hAnsiTheme="minorHAnsi"/>
                <w:sz w:val="24"/>
                <w:szCs w:val="24"/>
              </w:rPr>
            </w:pPr>
            <w:r w:rsidRPr="00155EB6">
              <w:rPr>
                <w:rFonts w:asciiTheme="minorHAnsi" w:hAnsiTheme="minorHAnsi"/>
                <w:sz w:val="24"/>
                <w:szCs w:val="24"/>
              </w:rPr>
              <w:t xml:space="preserve">As a result, the collateral requirement for units in the imbalance market is increased – especially over Easter / Christmas, when there can be 4 consecutive </w:t>
            </w:r>
            <w:r w:rsidR="00284C4E" w:rsidRPr="00155EB6">
              <w:rPr>
                <w:rFonts w:asciiTheme="minorHAnsi" w:hAnsiTheme="minorHAnsi"/>
                <w:sz w:val="24"/>
                <w:szCs w:val="24"/>
              </w:rPr>
              <w:t>non-</w:t>
            </w:r>
            <w:r w:rsidR="00D1007D" w:rsidRPr="00155EB6">
              <w:rPr>
                <w:rFonts w:asciiTheme="minorHAnsi" w:hAnsiTheme="minorHAnsi"/>
                <w:sz w:val="24"/>
                <w:szCs w:val="24"/>
              </w:rPr>
              <w:t>working</w:t>
            </w:r>
            <w:r w:rsidRPr="00155EB6">
              <w:rPr>
                <w:rFonts w:asciiTheme="minorHAnsi" w:hAnsiTheme="minorHAnsi"/>
                <w:sz w:val="24"/>
                <w:szCs w:val="24"/>
              </w:rPr>
              <w:t xml:space="preserve"> days</w:t>
            </w:r>
          </w:p>
          <w:p w14:paraId="19F34E3D" w14:textId="0FB08CED" w:rsidR="00284C4E" w:rsidRPr="00FA0A7C" w:rsidRDefault="00990E6C" w:rsidP="00FA0A7C">
            <w:pPr>
              <w:numPr>
                <w:ilvl w:val="0"/>
                <w:numId w:val="3"/>
              </w:numPr>
              <w:overflowPunct/>
              <w:autoSpaceDE/>
              <w:autoSpaceDN/>
              <w:adjustRightInd/>
              <w:textAlignment w:val="auto"/>
              <w:rPr>
                <w:rFonts w:ascii="Calibri" w:hAnsi="Calibri" w:cs="Arial"/>
                <w:lang w:val="en-IE"/>
              </w:rPr>
            </w:pPr>
            <w:r w:rsidRPr="00155EB6">
              <w:rPr>
                <w:rFonts w:asciiTheme="minorHAnsi" w:hAnsiTheme="minorHAnsi" w:cs="Arial"/>
                <w:sz w:val="24"/>
                <w:szCs w:val="24"/>
                <w:lang w:val="en-IE"/>
              </w:rPr>
              <w:t>For an average imbalance price of €66.52/MWh (the average in I-SEM at the time of drafting this modification) the additional cost of these 4 extra days equates to €6,385.92/MW</w:t>
            </w:r>
            <w:r w:rsidR="00F35ED1">
              <w:rPr>
                <w:rFonts w:asciiTheme="minorHAnsi" w:hAnsiTheme="minorHAnsi" w:cs="Arial"/>
                <w:sz w:val="24"/>
                <w:szCs w:val="24"/>
                <w:lang w:val="en-IE"/>
              </w:rPr>
              <w:t>.  N</w:t>
            </w:r>
            <w:r w:rsidR="00284C4E" w:rsidRPr="00155EB6">
              <w:rPr>
                <w:rFonts w:asciiTheme="minorHAnsi" w:hAnsiTheme="minorHAnsi" w:cs="Arial"/>
                <w:sz w:val="24"/>
                <w:szCs w:val="24"/>
                <w:lang w:val="en-IE"/>
              </w:rPr>
              <w:t>oting that 8266MW of de-rated capacity</w:t>
            </w:r>
            <w:r w:rsidR="002A4662">
              <w:rPr>
                <w:rFonts w:asciiTheme="minorHAnsi" w:hAnsiTheme="minorHAnsi" w:cs="Arial"/>
                <w:sz w:val="24"/>
                <w:szCs w:val="24"/>
                <w:lang w:val="en-IE"/>
              </w:rPr>
              <w:t xml:space="preserve">, </w:t>
            </w:r>
            <w:r w:rsidR="002A4662" w:rsidRPr="002A4662">
              <w:rPr>
                <w:rFonts w:asciiTheme="minorHAnsi" w:hAnsiTheme="minorHAnsi" w:cs="Arial"/>
                <w:i/>
                <w:sz w:val="24"/>
                <w:szCs w:val="24"/>
                <w:lang w:val="en-IE"/>
              </w:rPr>
              <w:t>in addition to wind units</w:t>
            </w:r>
            <w:r w:rsidR="00284C4E" w:rsidRPr="00155EB6">
              <w:rPr>
                <w:rFonts w:asciiTheme="minorHAnsi" w:hAnsiTheme="minorHAnsi" w:cs="Arial"/>
                <w:sz w:val="24"/>
                <w:szCs w:val="24"/>
                <w:lang w:val="en-IE"/>
              </w:rPr>
              <w:t xml:space="preserve"> was successful in the 2019</w:t>
            </w:r>
            <w:r w:rsidR="00D1007D" w:rsidRPr="00155EB6">
              <w:rPr>
                <w:rFonts w:asciiTheme="minorHAnsi" w:hAnsiTheme="minorHAnsi" w:cs="Arial"/>
                <w:sz w:val="24"/>
                <w:szCs w:val="24"/>
                <w:lang w:val="en-IE"/>
              </w:rPr>
              <w:t>-</w:t>
            </w:r>
            <w:r w:rsidR="00284C4E" w:rsidRPr="00155EB6">
              <w:rPr>
                <w:rFonts w:asciiTheme="minorHAnsi" w:hAnsiTheme="minorHAnsi" w:cs="Arial"/>
                <w:sz w:val="24"/>
                <w:szCs w:val="24"/>
                <w:lang w:val="en-IE"/>
              </w:rPr>
              <w:t>20 T-1 Capacity Auction</w:t>
            </w:r>
            <w:r w:rsidR="00F14F41">
              <w:rPr>
                <w:rFonts w:asciiTheme="minorHAnsi" w:hAnsiTheme="minorHAnsi" w:cs="Arial"/>
                <w:sz w:val="24"/>
                <w:szCs w:val="24"/>
                <w:lang w:val="en-IE"/>
              </w:rPr>
              <w:t>,</w:t>
            </w:r>
            <w:r w:rsidR="00284C4E" w:rsidRPr="00155EB6">
              <w:rPr>
                <w:rFonts w:asciiTheme="minorHAnsi" w:hAnsiTheme="minorHAnsi" w:cs="Arial"/>
                <w:sz w:val="24"/>
                <w:szCs w:val="24"/>
                <w:lang w:val="en-IE"/>
              </w:rPr>
              <w:t xml:space="preserve"> this equates to almost €53 million</w:t>
            </w:r>
            <w:r w:rsidR="00F35ED1">
              <w:rPr>
                <w:rFonts w:asciiTheme="minorHAnsi" w:hAnsiTheme="minorHAnsi" w:cs="Arial"/>
                <w:sz w:val="24"/>
                <w:szCs w:val="24"/>
                <w:lang w:val="en-IE"/>
              </w:rPr>
              <w:t xml:space="preserve"> of additional cost</w:t>
            </w:r>
            <w:r w:rsidR="002A4662">
              <w:rPr>
                <w:rFonts w:asciiTheme="minorHAnsi" w:hAnsiTheme="minorHAnsi" w:cs="Arial"/>
                <w:sz w:val="24"/>
                <w:szCs w:val="24"/>
                <w:lang w:val="en-IE"/>
              </w:rPr>
              <w:t xml:space="preserve"> </w:t>
            </w:r>
            <w:r w:rsidR="002A4662" w:rsidRPr="002A4662">
              <w:rPr>
                <w:rFonts w:asciiTheme="minorHAnsi" w:hAnsiTheme="minorHAnsi" w:cs="Arial"/>
                <w:i/>
                <w:sz w:val="24"/>
                <w:szCs w:val="24"/>
                <w:lang w:val="en-IE"/>
              </w:rPr>
              <w:t>before wind units are included</w:t>
            </w:r>
          </w:p>
        </w:tc>
      </w:tr>
      <w:tr w:rsidR="004C53E7" w:rsidRPr="004C53E7" w14:paraId="44767A33" w14:textId="77777777" w:rsidTr="00D74B02">
        <w:tc>
          <w:tcPr>
            <w:tcW w:w="9243" w:type="dxa"/>
            <w:gridSpan w:val="6"/>
            <w:shd w:val="clear" w:color="auto" w:fill="C6D9F1"/>
            <w:vAlign w:val="center"/>
          </w:tcPr>
          <w:p w14:paraId="61DC008D"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14:paraId="500E022E" w14:textId="77777777"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14:paraId="6B307CB5" w14:textId="77777777" w:rsidTr="00693AA7">
        <w:tc>
          <w:tcPr>
            <w:tcW w:w="9243" w:type="dxa"/>
            <w:gridSpan w:val="6"/>
            <w:vAlign w:val="center"/>
          </w:tcPr>
          <w:p w14:paraId="103AC80D" w14:textId="77777777" w:rsidR="00AE64C9" w:rsidRPr="00AE64C9" w:rsidRDefault="00AE64C9" w:rsidP="00AE64C9">
            <w:pPr>
              <w:rPr>
                <w:rFonts w:asciiTheme="minorHAnsi" w:hAnsiTheme="minorHAnsi"/>
                <w:b/>
                <w:sz w:val="24"/>
                <w:szCs w:val="24"/>
                <w:lang w:val="en-IE"/>
              </w:rPr>
            </w:pPr>
            <w:r w:rsidRPr="00AE64C9">
              <w:rPr>
                <w:rFonts w:asciiTheme="minorHAnsi" w:hAnsiTheme="minorHAnsi"/>
                <w:b/>
                <w:sz w:val="24"/>
                <w:szCs w:val="24"/>
                <w:lang w:val="en-IE"/>
              </w:rPr>
              <w:t>A 2.1.4 c</w:t>
            </w:r>
          </w:p>
          <w:p w14:paraId="3A19662D" w14:textId="77777777" w:rsidR="00AE64C9" w:rsidRDefault="00AE64C9" w:rsidP="00AE64C9">
            <w:pPr>
              <w:rPr>
                <w:rFonts w:asciiTheme="minorHAnsi" w:hAnsiTheme="minorHAnsi"/>
                <w:sz w:val="24"/>
                <w:szCs w:val="24"/>
                <w:lang w:val="en-IE"/>
              </w:rPr>
            </w:pPr>
            <w:r>
              <w:rPr>
                <w:rFonts w:asciiTheme="minorHAnsi" w:hAnsiTheme="minorHAnsi"/>
                <w:sz w:val="24"/>
                <w:szCs w:val="24"/>
                <w:lang w:val="en-IE"/>
              </w:rPr>
              <w:t xml:space="preserve">To facilitate the participation of electricity undertakings engaged in the generation, supply </w:t>
            </w:r>
            <w:r>
              <w:rPr>
                <w:rFonts w:asciiTheme="minorHAnsi" w:hAnsiTheme="minorHAnsi"/>
                <w:sz w:val="24"/>
                <w:szCs w:val="24"/>
                <w:lang w:val="en-IE"/>
              </w:rPr>
              <w:lastRenderedPageBreak/>
              <w:t>or sale of electricity in the trading arrangements under the Single Electricity Market</w:t>
            </w:r>
          </w:p>
          <w:p w14:paraId="7B71A2D0" w14:textId="77777777" w:rsidR="00AE64C9" w:rsidRPr="00AE64C9" w:rsidRDefault="00AE64C9" w:rsidP="00AE64C9">
            <w:pPr>
              <w:rPr>
                <w:rFonts w:asciiTheme="minorHAnsi" w:hAnsiTheme="minorHAnsi"/>
                <w:b/>
                <w:sz w:val="24"/>
                <w:szCs w:val="24"/>
                <w:lang w:val="en-IE"/>
              </w:rPr>
            </w:pPr>
            <w:r w:rsidRPr="00AE64C9">
              <w:rPr>
                <w:rFonts w:asciiTheme="minorHAnsi" w:hAnsiTheme="minorHAnsi"/>
                <w:b/>
                <w:sz w:val="24"/>
                <w:szCs w:val="24"/>
                <w:lang w:val="en-IE"/>
              </w:rPr>
              <w:t xml:space="preserve">A 2.1.4 </w:t>
            </w:r>
            <w:r>
              <w:rPr>
                <w:rFonts w:asciiTheme="minorHAnsi" w:hAnsiTheme="minorHAnsi"/>
                <w:b/>
                <w:sz w:val="24"/>
                <w:szCs w:val="24"/>
                <w:lang w:val="en-IE"/>
              </w:rPr>
              <w:t>d</w:t>
            </w:r>
          </w:p>
          <w:p w14:paraId="517FF6EE" w14:textId="77777777" w:rsidR="00AE64C9" w:rsidRDefault="00AE64C9" w:rsidP="00AE64C9">
            <w:pPr>
              <w:rPr>
                <w:rFonts w:asciiTheme="minorHAnsi" w:hAnsiTheme="minorHAnsi"/>
                <w:sz w:val="24"/>
                <w:szCs w:val="24"/>
                <w:lang w:val="en-IE"/>
              </w:rPr>
            </w:pPr>
            <w:r>
              <w:rPr>
                <w:rFonts w:asciiTheme="minorHAnsi" w:hAnsiTheme="minorHAnsi"/>
                <w:sz w:val="24"/>
                <w:szCs w:val="24"/>
                <w:lang w:val="en-IE"/>
              </w:rPr>
              <w:t>To promote competition in the Single Electricity Market</w:t>
            </w:r>
          </w:p>
          <w:p w14:paraId="3530DB8F" w14:textId="77777777" w:rsidR="00AE64C9" w:rsidRDefault="00AE64C9" w:rsidP="00AE64C9">
            <w:pPr>
              <w:rPr>
                <w:rFonts w:asciiTheme="minorHAnsi" w:hAnsiTheme="minorHAnsi"/>
                <w:b/>
                <w:sz w:val="24"/>
                <w:szCs w:val="24"/>
                <w:lang w:val="en-IE"/>
              </w:rPr>
            </w:pPr>
            <w:r w:rsidRPr="00AE64C9">
              <w:rPr>
                <w:rFonts w:asciiTheme="minorHAnsi" w:hAnsiTheme="minorHAnsi"/>
                <w:b/>
                <w:sz w:val="24"/>
                <w:szCs w:val="24"/>
                <w:lang w:val="en-IE"/>
              </w:rPr>
              <w:t xml:space="preserve">A 2.1.4 </w:t>
            </w:r>
            <w:r>
              <w:rPr>
                <w:rFonts w:asciiTheme="minorHAnsi" w:hAnsiTheme="minorHAnsi"/>
                <w:b/>
                <w:sz w:val="24"/>
                <w:szCs w:val="24"/>
                <w:lang w:val="en-IE"/>
              </w:rPr>
              <w:t>f</w:t>
            </w:r>
          </w:p>
          <w:p w14:paraId="2E63C149" w14:textId="77777777" w:rsidR="00AE64C9" w:rsidRDefault="00AE64C9" w:rsidP="00AE64C9">
            <w:pPr>
              <w:rPr>
                <w:rFonts w:asciiTheme="minorHAnsi" w:hAnsiTheme="minorHAnsi"/>
                <w:sz w:val="24"/>
                <w:szCs w:val="24"/>
                <w:lang w:val="en-IE"/>
              </w:rPr>
            </w:pPr>
            <w:r>
              <w:rPr>
                <w:rFonts w:asciiTheme="minorHAnsi" w:hAnsiTheme="minorHAnsi"/>
                <w:sz w:val="24"/>
                <w:szCs w:val="24"/>
                <w:lang w:val="en-IE"/>
              </w:rPr>
              <w:t>To ensure no undue discrimination between persons who are parties to the code</w:t>
            </w:r>
          </w:p>
          <w:p w14:paraId="43FADA2C" w14:textId="77777777" w:rsidR="00AE64C9" w:rsidRDefault="00AE64C9" w:rsidP="00AE64C9">
            <w:pPr>
              <w:rPr>
                <w:rFonts w:asciiTheme="minorHAnsi" w:hAnsiTheme="minorHAnsi"/>
                <w:b/>
                <w:sz w:val="24"/>
                <w:szCs w:val="24"/>
                <w:lang w:val="en-IE"/>
              </w:rPr>
            </w:pPr>
            <w:r w:rsidRPr="00AE64C9">
              <w:rPr>
                <w:rFonts w:asciiTheme="minorHAnsi" w:hAnsiTheme="minorHAnsi"/>
                <w:b/>
                <w:sz w:val="24"/>
                <w:szCs w:val="24"/>
                <w:lang w:val="en-IE"/>
              </w:rPr>
              <w:t xml:space="preserve">A 2.1.4 </w:t>
            </w:r>
            <w:r>
              <w:rPr>
                <w:rFonts w:asciiTheme="minorHAnsi" w:hAnsiTheme="minorHAnsi"/>
                <w:b/>
                <w:sz w:val="24"/>
                <w:szCs w:val="24"/>
                <w:lang w:val="en-IE"/>
              </w:rPr>
              <w:t>g</w:t>
            </w:r>
          </w:p>
          <w:p w14:paraId="09909CDC" w14:textId="5B1D3902" w:rsidR="00AE64C9" w:rsidRDefault="00AE64C9" w:rsidP="00AE64C9">
            <w:pPr>
              <w:rPr>
                <w:rFonts w:asciiTheme="minorHAnsi" w:hAnsiTheme="minorHAnsi"/>
                <w:sz w:val="24"/>
                <w:szCs w:val="24"/>
                <w:lang w:val="en-IE"/>
              </w:rPr>
            </w:pPr>
            <w:r>
              <w:rPr>
                <w:rFonts w:asciiTheme="minorHAnsi" w:hAnsiTheme="minorHAnsi"/>
                <w:sz w:val="24"/>
                <w:szCs w:val="24"/>
                <w:lang w:val="en-IE"/>
              </w:rPr>
              <w:t xml:space="preserve">To promote the short term and </w:t>
            </w:r>
            <w:r w:rsidR="00F35ED1">
              <w:rPr>
                <w:rFonts w:asciiTheme="minorHAnsi" w:hAnsiTheme="minorHAnsi"/>
                <w:sz w:val="24"/>
                <w:szCs w:val="24"/>
                <w:lang w:val="en-IE"/>
              </w:rPr>
              <w:t>long-term</w:t>
            </w:r>
            <w:r>
              <w:rPr>
                <w:rFonts w:asciiTheme="minorHAnsi" w:hAnsiTheme="minorHAnsi"/>
                <w:sz w:val="24"/>
                <w:szCs w:val="24"/>
                <w:lang w:val="en-IE"/>
              </w:rPr>
              <w:t xml:space="preserve"> interest of consumers </w:t>
            </w:r>
            <w:r w:rsidR="006F1C17">
              <w:rPr>
                <w:rFonts w:asciiTheme="minorHAnsi" w:hAnsiTheme="minorHAnsi"/>
                <w:sz w:val="24"/>
                <w:szCs w:val="24"/>
                <w:lang w:val="en-IE"/>
              </w:rPr>
              <w:t>o</w:t>
            </w:r>
            <w:r>
              <w:rPr>
                <w:rFonts w:asciiTheme="minorHAnsi" w:hAnsiTheme="minorHAnsi"/>
                <w:sz w:val="24"/>
                <w:szCs w:val="24"/>
                <w:lang w:val="en-IE"/>
              </w:rPr>
              <w:t>f electricity on the island of Ireland with respect to price, quality, reliability and security of supply electricity</w:t>
            </w:r>
          </w:p>
          <w:p w14:paraId="0BDE535B" w14:textId="77777777" w:rsidR="00AE64C9" w:rsidRPr="004C53E7" w:rsidRDefault="00AE64C9" w:rsidP="00AE64C9">
            <w:pPr>
              <w:rPr>
                <w:rFonts w:ascii="Calibri" w:hAnsi="Calibri" w:cs="Arial"/>
                <w:lang w:val="en-IE"/>
              </w:rPr>
            </w:pPr>
          </w:p>
        </w:tc>
      </w:tr>
      <w:tr w:rsidR="004C53E7" w:rsidRPr="004C53E7" w14:paraId="0FD924EB" w14:textId="77777777" w:rsidTr="00D74B02">
        <w:tc>
          <w:tcPr>
            <w:tcW w:w="9243" w:type="dxa"/>
            <w:gridSpan w:val="6"/>
            <w:shd w:val="clear" w:color="auto" w:fill="C6D9F1"/>
            <w:vAlign w:val="center"/>
          </w:tcPr>
          <w:p w14:paraId="3E2D23DD"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64C5B5B7"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5FE19565" w14:textId="77777777" w:rsidTr="00693AA7">
        <w:tc>
          <w:tcPr>
            <w:tcW w:w="9243" w:type="dxa"/>
            <w:gridSpan w:val="6"/>
            <w:vAlign w:val="center"/>
          </w:tcPr>
          <w:p w14:paraId="186A1361" w14:textId="77777777" w:rsidR="00700D6B" w:rsidRDefault="00D202E8" w:rsidP="004D03B3">
            <w:pPr>
              <w:pStyle w:val="NoSpacing"/>
              <w:jc w:val="both"/>
              <w:rPr>
                <w:rFonts w:asciiTheme="minorHAnsi" w:hAnsiTheme="minorHAnsi"/>
                <w:sz w:val="24"/>
                <w:szCs w:val="24"/>
                <w:lang w:val="en-IE"/>
              </w:rPr>
            </w:pPr>
            <w:r w:rsidRPr="00155EB6">
              <w:rPr>
                <w:rFonts w:asciiTheme="minorHAnsi" w:hAnsiTheme="minorHAnsi"/>
                <w:sz w:val="24"/>
                <w:szCs w:val="24"/>
                <w:lang w:val="en-IE"/>
              </w:rPr>
              <w:t xml:space="preserve">The current </w:t>
            </w:r>
            <w:r w:rsidR="00D1007D" w:rsidRPr="00155EB6">
              <w:rPr>
                <w:rFonts w:asciiTheme="minorHAnsi" w:hAnsiTheme="minorHAnsi"/>
                <w:sz w:val="24"/>
                <w:szCs w:val="24"/>
                <w:lang w:val="en-IE"/>
              </w:rPr>
              <w:t>situation provides</w:t>
            </w:r>
            <w:r w:rsidRPr="00155EB6">
              <w:rPr>
                <w:rFonts w:asciiTheme="minorHAnsi" w:hAnsiTheme="minorHAnsi"/>
                <w:sz w:val="24"/>
                <w:szCs w:val="24"/>
                <w:lang w:val="en-IE"/>
              </w:rPr>
              <w:t xml:space="preserve"> a barrier to new entrant capacity and limit</w:t>
            </w:r>
            <w:r w:rsidR="00700D6B">
              <w:rPr>
                <w:rFonts w:asciiTheme="minorHAnsi" w:hAnsiTheme="minorHAnsi"/>
                <w:sz w:val="24"/>
                <w:szCs w:val="24"/>
                <w:lang w:val="en-IE"/>
              </w:rPr>
              <w:t>s</w:t>
            </w:r>
            <w:r w:rsidRPr="00155EB6">
              <w:rPr>
                <w:rFonts w:asciiTheme="minorHAnsi" w:hAnsiTheme="minorHAnsi"/>
                <w:sz w:val="24"/>
                <w:szCs w:val="24"/>
                <w:lang w:val="en-IE"/>
              </w:rPr>
              <w:t xml:space="preserve"> the ability of </w:t>
            </w:r>
            <w:r w:rsidR="00700D6B">
              <w:rPr>
                <w:rFonts w:asciiTheme="minorHAnsi" w:hAnsiTheme="minorHAnsi"/>
                <w:sz w:val="24"/>
                <w:szCs w:val="24"/>
                <w:lang w:val="en-IE"/>
              </w:rPr>
              <w:t>existing units</w:t>
            </w:r>
            <w:r w:rsidRPr="00155EB6">
              <w:rPr>
                <w:rFonts w:asciiTheme="minorHAnsi" w:hAnsiTheme="minorHAnsi"/>
                <w:sz w:val="24"/>
                <w:szCs w:val="24"/>
                <w:lang w:val="en-IE"/>
              </w:rPr>
              <w:t xml:space="preserve"> to participate in the ex-ante markets</w:t>
            </w:r>
            <w:r w:rsidR="00700D6B">
              <w:rPr>
                <w:rFonts w:asciiTheme="minorHAnsi" w:hAnsiTheme="minorHAnsi"/>
                <w:sz w:val="24"/>
                <w:szCs w:val="24"/>
                <w:lang w:val="en-IE"/>
              </w:rPr>
              <w:t xml:space="preserve">.  </w:t>
            </w:r>
          </w:p>
          <w:p w14:paraId="38763912" w14:textId="77777777" w:rsidR="00700D6B" w:rsidRDefault="00700D6B" w:rsidP="004D03B3">
            <w:pPr>
              <w:pStyle w:val="NoSpacing"/>
              <w:jc w:val="both"/>
              <w:rPr>
                <w:rFonts w:asciiTheme="minorHAnsi" w:hAnsiTheme="minorHAnsi"/>
                <w:sz w:val="24"/>
                <w:szCs w:val="24"/>
                <w:lang w:val="en-IE"/>
              </w:rPr>
            </w:pPr>
          </w:p>
          <w:p w14:paraId="2A78304C" w14:textId="77777777" w:rsidR="00D202E8" w:rsidRPr="004C53E7" w:rsidRDefault="00700D6B" w:rsidP="00700D6B">
            <w:pPr>
              <w:pStyle w:val="NoSpacing"/>
              <w:jc w:val="both"/>
              <w:rPr>
                <w:rFonts w:ascii="Calibri" w:hAnsi="Calibri" w:cs="Arial"/>
                <w:lang w:val="en-IE"/>
              </w:rPr>
            </w:pPr>
            <w:r>
              <w:rPr>
                <w:rFonts w:asciiTheme="minorHAnsi" w:hAnsiTheme="minorHAnsi"/>
                <w:sz w:val="24"/>
                <w:szCs w:val="24"/>
                <w:lang w:val="en-IE"/>
              </w:rPr>
              <w:t>This mutes the</w:t>
            </w:r>
            <w:r w:rsidR="00D202E8" w:rsidRPr="00155EB6">
              <w:rPr>
                <w:rFonts w:asciiTheme="minorHAnsi" w:hAnsiTheme="minorHAnsi"/>
                <w:sz w:val="24"/>
                <w:szCs w:val="24"/>
                <w:lang w:val="en-IE"/>
              </w:rPr>
              <w:t xml:space="preserve"> ability</w:t>
            </w:r>
            <w:r>
              <w:rPr>
                <w:rFonts w:asciiTheme="minorHAnsi" w:hAnsiTheme="minorHAnsi"/>
                <w:sz w:val="24"/>
                <w:szCs w:val="24"/>
                <w:lang w:val="en-IE"/>
              </w:rPr>
              <w:t xml:space="preserve"> of the ex-ante markets</w:t>
            </w:r>
            <w:r w:rsidR="00D202E8" w:rsidRPr="00155EB6">
              <w:rPr>
                <w:rFonts w:asciiTheme="minorHAnsi" w:hAnsiTheme="minorHAnsi"/>
                <w:sz w:val="24"/>
                <w:szCs w:val="24"/>
                <w:lang w:val="en-IE"/>
              </w:rPr>
              <w:t xml:space="preserve"> to provide a market signal and reduc</w:t>
            </w:r>
            <w:r>
              <w:rPr>
                <w:rFonts w:asciiTheme="minorHAnsi" w:hAnsiTheme="minorHAnsi"/>
                <w:sz w:val="24"/>
                <w:szCs w:val="24"/>
                <w:lang w:val="en-IE"/>
              </w:rPr>
              <w:t>es</w:t>
            </w:r>
            <w:r w:rsidR="00D202E8" w:rsidRPr="00155EB6">
              <w:rPr>
                <w:rFonts w:asciiTheme="minorHAnsi" w:hAnsiTheme="minorHAnsi"/>
                <w:sz w:val="24"/>
                <w:szCs w:val="24"/>
                <w:lang w:val="en-IE"/>
              </w:rPr>
              <w:t xml:space="preserve"> their val</w:t>
            </w:r>
            <w:r>
              <w:rPr>
                <w:rFonts w:asciiTheme="minorHAnsi" w:hAnsiTheme="minorHAnsi"/>
                <w:sz w:val="24"/>
                <w:szCs w:val="24"/>
                <w:lang w:val="en-IE"/>
              </w:rPr>
              <w:t>idity</w:t>
            </w:r>
            <w:r w:rsidR="00D202E8" w:rsidRPr="00155EB6">
              <w:rPr>
                <w:rFonts w:asciiTheme="minorHAnsi" w:hAnsiTheme="minorHAnsi"/>
                <w:sz w:val="24"/>
                <w:szCs w:val="24"/>
                <w:lang w:val="en-IE"/>
              </w:rPr>
              <w:t xml:space="preserve"> in providing a</w:t>
            </w:r>
            <w:r>
              <w:rPr>
                <w:rFonts w:asciiTheme="minorHAnsi" w:hAnsiTheme="minorHAnsi"/>
                <w:sz w:val="24"/>
                <w:szCs w:val="24"/>
                <w:lang w:val="en-IE"/>
              </w:rPr>
              <w:t>n index price</w:t>
            </w:r>
          </w:p>
        </w:tc>
      </w:tr>
      <w:tr w:rsidR="004C53E7" w:rsidRPr="004C53E7" w14:paraId="518476E5" w14:textId="77777777" w:rsidTr="00D74B02">
        <w:trPr>
          <w:trHeight w:val="507"/>
        </w:trPr>
        <w:tc>
          <w:tcPr>
            <w:tcW w:w="4621" w:type="dxa"/>
            <w:gridSpan w:val="3"/>
            <w:shd w:val="clear" w:color="auto" w:fill="C6D9F1"/>
            <w:vAlign w:val="center"/>
          </w:tcPr>
          <w:p w14:paraId="6C2D2FF6"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1C95DC44"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3C2FE5C2"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148E2124"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2B9A1781" w14:textId="77777777" w:rsidR="004C53E7" w:rsidRPr="004C53E7" w:rsidRDefault="004C53E7" w:rsidP="00D74B02">
            <w:pPr>
              <w:jc w:val="center"/>
              <w:rPr>
                <w:rFonts w:ascii="Calibri" w:hAnsi="Calibri" w:cs="Arial"/>
                <w:b/>
                <w:bCs/>
                <w:iCs/>
                <w:lang w:val="en-IE"/>
              </w:rPr>
            </w:pPr>
          </w:p>
        </w:tc>
      </w:tr>
      <w:tr w:rsidR="004C53E7" w:rsidRPr="004C53E7" w:rsidDel="00404964" w14:paraId="71BCFD08" w14:textId="77777777" w:rsidTr="00693AA7">
        <w:trPr>
          <w:trHeight w:val="507"/>
        </w:trPr>
        <w:tc>
          <w:tcPr>
            <w:tcW w:w="4621" w:type="dxa"/>
            <w:gridSpan w:val="3"/>
            <w:vAlign w:val="center"/>
          </w:tcPr>
          <w:p w14:paraId="61D21086" w14:textId="77777777" w:rsidR="004C53E7" w:rsidRPr="00155EB6" w:rsidDel="00404964" w:rsidRDefault="00D202E8" w:rsidP="00155EB6">
            <w:pPr>
              <w:rPr>
                <w:rFonts w:ascii="Calibri" w:hAnsi="Calibri" w:cs="Arial"/>
                <w:sz w:val="24"/>
                <w:szCs w:val="24"/>
                <w:lang w:val="en-IE"/>
              </w:rPr>
            </w:pPr>
            <w:r w:rsidRPr="00155EB6">
              <w:rPr>
                <w:rFonts w:ascii="Calibri" w:hAnsi="Calibri" w:cs="Arial"/>
                <w:sz w:val="24"/>
                <w:szCs w:val="24"/>
                <w:lang w:val="en-IE"/>
              </w:rPr>
              <w:t>No</w:t>
            </w:r>
          </w:p>
        </w:tc>
        <w:tc>
          <w:tcPr>
            <w:tcW w:w="4622" w:type="dxa"/>
            <w:gridSpan w:val="3"/>
            <w:vAlign w:val="center"/>
          </w:tcPr>
          <w:p w14:paraId="52D0BCA5" w14:textId="77777777" w:rsidR="004C53E7" w:rsidRPr="00155EB6" w:rsidRDefault="004D1BFC" w:rsidP="00155EB6">
            <w:pPr>
              <w:rPr>
                <w:rFonts w:ascii="Calibri" w:hAnsi="Calibri" w:cs="Arial"/>
                <w:b/>
                <w:sz w:val="24"/>
                <w:szCs w:val="24"/>
                <w:lang w:val="en-IE"/>
              </w:rPr>
            </w:pPr>
            <w:r w:rsidRPr="00155EB6">
              <w:rPr>
                <w:rFonts w:ascii="Calibri" w:hAnsi="Calibri" w:cs="Arial"/>
                <w:b/>
                <w:sz w:val="24"/>
                <w:szCs w:val="24"/>
                <w:lang w:val="en-IE"/>
              </w:rPr>
              <w:t xml:space="preserve">Resources: </w:t>
            </w:r>
          </w:p>
          <w:p w14:paraId="2CE1E939" w14:textId="77777777" w:rsidR="004D1BFC" w:rsidRPr="00155EB6" w:rsidDel="00404964" w:rsidRDefault="004D1BFC" w:rsidP="00155EB6">
            <w:pPr>
              <w:rPr>
                <w:rFonts w:ascii="Calibri" w:hAnsi="Calibri" w:cs="Arial"/>
                <w:sz w:val="24"/>
                <w:szCs w:val="24"/>
                <w:lang w:val="en-IE"/>
              </w:rPr>
            </w:pPr>
            <w:r w:rsidRPr="00155EB6">
              <w:rPr>
                <w:rFonts w:ascii="Calibri" w:hAnsi="Calibri" w:cs="Arial"/>
                <w:sz w:val="24"/>
                <w:szCs w:val="24"/>
                <w:lang w:val="en-IE"/>
              </w:rPr>
              <w:t>Currently this process is run on working days only,</w:t>
            </w:r>
            <w:r w:rsidR="00700D6B">
              <w:rPr>
                <w:rFonts w:ascii="Calibri" w:hAnsi="Calibri" w:cs="Arial"/>
                <w:sz w:val="24"/>
                <w:szCs w:val="24"/>
                <w:lang w:val="en-IE"/>
              </w:rPr>
              <w:t xml:space="preserve"> if adopted</w:t>
            </w:r>
            <w:r w:rsidRPr="00155EB6">
              <w:rPr>
                <w:rFonts w:ascii="Calibri" w:hAnsi="Calibri" w:cs="Arial"/>
                <w:sz w:val="24"/>
                <w:szCs w:val="24"/>
                <w:lang w:val="en-IE"/>
              </w:rPr>
              <w:t xml:space="preserve"> the same process will need to be run on </w:t>
            </w:r>
            <w:r w:rsidR="00660E1E" w:rsidRPr="00155EB6">
              <w:rPr>
                <w:rFonts w:ascii="Calibri" w:hAnsi="Calibri" w:cs="Arial"/>
                <w:sz w:val="24"/>
                <w:szCs w:val="24"/>
                <w:lang w:val="en-IE"/>
              </w:rPr>
              <w:t>non-working</w:t>
            </w:r>
            <w:r w:rsidRPr="00155EB6">
              <w:rPr>
                <w:rFonts w:ascii="Calibri" w:hAnsi="Calibri" w:cs="Arial"/>
                <w:sz w:val="24"/>
                <w:szCs w:val="24"/>
                <w:lang w:val="en-IE"/>
              </w:rPr>
              <w:t xml:space="preserve"> days</w:t>
            </w:r>
          </w:p>
        </w:tc>
      </w:tr>
      <w:tr w:rsidR="004C53E7" w:rsidRPr="004C53E7" w14:paraId="1ED25422" w14:textId="77777777" w:rsidTr="00D74B02">
        <w:tc>
          <w:tcPr>
            <w:tcW w:w="9243" w:type="dxa"/>
            <w:gridSpan w:val="6"/>
            <w:vAlign w:val="center"/>
          </w:tcPr>
          <w:p w14:paraId="7A440720" w14:textId="77777777"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0" w:history="1">
              <w:r w:rsidR="007E7191" w:rsidRPr="007E7191">
                <w:rPr>
                  <w:rFonts w:eastAsiaTheme="minorHAnsi"/>
                  <w:color w:val="0000FF"/>
                  <w:sz w:val="24"/>
                  <w:szCs w:val="24"/>
                  <w:u w:val="single"/>
                  <w:lang w:val="en-IE" w:eastAsia="en-US"/>
                </w:rPr>
                <w:t>balancingmodifications@sem-o.com</w:t>
              </w:r>
            </w:hyperlink>
          </w:p>
        </w:tc>
      </w:tr>
    </w:tbl>
    <w:p w14:paraId="05F2596C" w14:textId="77777777" w:rsidR="004C53E7" w:rsidRDefault="004C53E7"/>
    <w:p w14:paraId="3D5D3922"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3C65B055" w14:textId="77777777"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14:paraId="242A84B2" w14:textId="77777777" w:rsidR="004C53E7" w:rsidRPr="004C53E7" w:rsidRDefault="004C53E7" w:rsidP="004C53E7">
      <w:pPr>
        <w:jc w:val="center"/>
        <w:rPr>
          <w:rFonts w:ascii="Calibri" w:hAnsi="Calibri" w:cs="Arial"/>
          <w:b/>
        </w:rPr>
      </w:pPr>
    </w:p>
    <w:p w14:paraId="0E317603"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A89004C"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14DD27B9"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03499BF5"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39F0BEE0" w14:textId="77777777" w:rsidR="004C53E7" w:rsidRPr="004C53E7" w:rsidRDefault="004C53E7" w:rsidP="004C53E7">
      <w:pPr>
        <w:jc w:val="both"/>
        <w:rPr>
          <w:rFonts w:ascii="Arial" w:hAnsi="Arial" w:cs="Arial"/>
          <w:b/>
          <w:sz w:val="16"/>
          <w:szCs w:val="16"/>
          <w:lang w:val="en-IE"/>
        </w:rPr>
      </w:pPr>
    </w:p>
    <w:p w14:paraId="63D76C0B"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14:paraId="5A58DC94"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14:paraId="1E12F9E7"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5909C81E"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674EFF63" w14:textId="77777777" w:rsidR="004C53E7" w:rsidRPr="004C53E7" w:rsidRDefault="004C53E7" w:rsidP="004C53E7">
      <w:pPr>
        <w:jc w:val="both"/>
        <w:rPr>
          <w:rFonts w:ascii="Arial" w:hAnsi="Arial" w:cs="Arial"/>
          <w:b/>
          <w:sz w:val="16"/>
          <w:szCs w:val="16"/>
          <w:lang w:val="en-IE"/>
        </w:rPr>
      </w:pPr>
    </w:p>
    <w:p w14:paraId="5CA866A9"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4377383D" w14:textId="77777777" w:rsidR="004C53E7" w:rsidRPr="004C53E7" w:rsidRDefault="004C53E7" w:rsidP="004C53E7">
      <w:pPr>
        <w:tabs>
          <w:tab w:val="left" w:pos="360"/>
        </w:tabs>
        <w:ind w:left="720"/>
        <w:jc w:val="both"/>
        <w:rPr>
          <w:rFonts w:ascii="Arial" w:hAnsi="Arial" w:cs="Arial"/>
          <w:b/>
          <w:sz w:val="16"/>
          <w:szCs w:val="16"/>
          <w:lang w:val="en-IE"/>
        </w:rPr>
      </w:pPr>
    </w:p>
    <w:p w14:paraId="4FB543A4"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14:paraId="77F0CF5B" w14:textId="77777777" w:rsidR="004C53E7" w:rsidRPr="004C53E7" w:rsidRDefault="004C53E7" w:rsidP="004C53E7">
      <w:pPr>
        <w:tabs>
          <w:tab w:val="left" w:pos="360"/>
        </w:tabs>
        <w:ind w:left="720" w:hanging="360"/>
        <w:jc w:val="both"/>
        <w:rPr>
          <w:rFonts w:ascii="Arial" w:hAnsi="Arial" w:cs="Arial"/>
          <w:b/>
          <w:sz w:val="16"/>
          <w:szCs w:val="16"/>
          <w:lang w:val="en-IE"/>
        </w:rPr>
      </w:pPr>
    </w:p>
    <w:p w14:paraId="6C4FBBA9"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49DF27EC"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110B675F"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7D896ACB"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BD2F24C"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06A60D87"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2B61A533"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5C0B4EFF"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8E272B1"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6256B2E9"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31A80D8"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1ACD9D09"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D0E2F72"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043F05B4"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0CA8357"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741D55E0"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24747833"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23340B47" w14:textId="77777777" w:rsidR="004C53E7" w:rsidRPr="003F225F" w:rsidRDefault="004C53E7" w:rsidP="004C53E7">
      <w:pPr>
        <w:rPr>
          <w:rFonts w:ascii="Arial" w:hAnsi="Arial" w:cs="Arial"/>
          <w:sz w:val="22"/>
          <w:szCs w:val="22"/>
          <w:lang w:val="en-IE"/>
        </w:rPr>
      </w:pPr>
    </w:p>
    <w:p w14:paraId="1EA178F6" w14:textId="77777777"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828"/>
    <w:multiLevelType w:val="hybridMultilevel"/>
    <w:tmpl w:val="E488F6C0"/>
    <w:lvl w:ilvl="0" w:tplc="F744AA9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96932D3"/>
    <w:multiLevelType w:val="hybridMultilevel"/>
    <w:tmpl w:val="1CCE54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E27D24"/>
    <w:multiLevelType w:val="hybridMultilevel"/>
    <w:tmpl w:val="4AB8FC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63A13"/>
    <w:rsid w:val="00076047"/>
    <w:rsid w:val="000A0A2E"/>
    <w:rsid w:val="000E3813"/>
    <w:rsid w:val="001025DD"/>
    <w:rsid w:val="00155EB6"/>
    <w:rsid w:val="00157F11"/>
    <w:rsid w:val="001D01AF"/>
    <w:rsid w:val="001F2787"/>
    <w:rsid w:val="002012B7"/>
    <w:rsid w:val="00284C4E"/>
    <w:rsid w:val="002A4662"/>
    <w:rsid w:val="00404652"/>
    <w:rsid w:val="004A38DC"/>
    <w:rsid w:val="004C53E7"/>
    <w:rsid w:val="004D03B3"/>
    <w:rsid w:val="004D1BFC"/>
    <w:rsid w:val="00570D17"/>
    <w:rsid w:val="005A2278"/>
    <w:rsid w:val="005A2F0E"/>
    <w:rsid w:val="005A535B"/>
    <w:rsid w:val="005B7695"/>
    <w:rsid w:val="005D345C"/>
    <w:rsid w:val="006043FE"/>
    <w:rsid w:val="006239C7"/>
    <w:rsid w:val="0063249B"/>
    <w:rsid w:val="00660E1E"/>
    <w:rsid w:val="00687A3E"/>
    <w:rsid w:val="00690E9A"/>
    <w:rsid w:val="00693AA7"/>
    <w:rsid w:val="0069454C"/>
    <w:rsid w:val="006C1161"/>
    <w:rsid w:val="006E02C1"/>
    <w:rsid w:val="006F1C17"/>
    <w:rsid w:val="00700D6B"/>
    <w:rsid w:val="0076181E"/>
    <w:rsid w:val="007669A1"/>
    <w:rsid w:val="007E7191"/>
    <w:rsid w:val="0081044D"/>
    <w:rsid w:val="00830924"/>
    <w:rsid w:val="00885C10"/>
    <w:rsid w:val="008E2A8C"/>
    <w:rsid w:val="00990E6C"/>
    <w:rsid w:val="00A05CA7"/>
    <w:rsid w:val="00A6756F"/>
    <w:rsid w:val="00AB3AF3"/>
    <w:rsid w:val="00AB6479"/>
    <w:rsid w:val="00AE64C9"/>
    <w:rsid w:val="00BD46F8"/>
    <w:rsid w:val="00BD6C44"/>
    <w:rsid w:val="00C054C2"/>
    <w:rsid w:val="00C32CF9"/>
    <w:rsid w:val="00C6689F"/>
    <w:rsid w:val="00CC4C3F"/>
    <w:rsid w:val="00D1007D"/>
    <w:rsid w:val="00D1310C"/>
    <w:rsid w:val="00D202E8"/>
    <w:rsid w:val="00D74B02"/>
    <w:rsid w:val="00D92765"/>
    <w:rsid w:val="00DC4D50"/>
    <w:rsid w:val="00E03AF2"/>
    <w:rsid w:val="00E04976"/>
    <w:rsid w:val="00E85AA0"/>
    <w:rsid w:val="00E956C1"/>
    <w:rsid w:val="00EB7FA3"/>
    <w:rsid w:val="00EC45AF"/>
    <w:rsid w:val="00F04271"/>
    <w:rsid w:val="00F14F41"/>
    <w:rsid w:val="00F35ED1"/>
    <w:rsid w:val="00F46C39"/>
    <w:rsid w:val="00F77F9B"/>
    <w:rsid w:val="00FA0A7C"/>
    <w:rsid w:val="00FC5FCD"/>
    <w:rsid w:val="00FE21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06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Default">
    <w:name w:val="Default"/>
    <w:rsid w:val="00D1007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unhideWhenUsed/>
    <w:rsid w:val="00C3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03B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ListParagraph">
    <w:name w:val="List Paragraph"/>
    <w:basedOn w:val="Normal"/>
    <w:uiPriority w:val="34"/>
    <w:qFormat/>
    <w:rsid w:val="001D0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Default">
    <w:name w:val="Default"/>
    <w:rsid w:val="00D1007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unhideWhenUsed/>
    <w:rsid w:val="00C3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03B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ListParagraph">
    <w:name w:val="List Paragraph"/>
    <w:basedOn w:val="Normal"/>
    <w:uiPriority w:val="34"/>
    <w:qFormat/>
    <w:rsid w:val="001D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6FE495-6D7C-4B3A-81E0-B17854C2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2019-02-07T10:40:00Z</dcterms:created>
  <dcterms:modified xsi:type="dcterms:W3CDTF">2019-02-07T10:40:00Z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