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170C1B" w:rsidP="00FA0870">
      <w:pPr>
        <w:jc w:val="center"/>
      </w:pPr>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F32AB" w:rsidRPr="005F32AB" w:rsidRDefault="005F32AB" w:rsidP="005F32AB">
            <w:pPr>
              <w:pStyle w:val="DocTitle"/>
            </w:pPr>
            <w:bookmarkStart w:id="0" w:name="_Toc499799857"/>
            <w:r w:rsidRPr="005F32AB">
              <w:t>mod_06_17 Transitional Credit Cover Provisions</w:t>
            </w:r>
            <w:bookmarkEnd w:id="0"/>
          </w:p>
          <w:p w:rsidR="001D4616" w:rsidRPr="00FC5B49" w:rsidRDefault="001D4616" w:rsidP="00564D58">
            <w:pPr>
              <w:pStyle w:val="DocTitle"/>
              <w:jc w:val="left"/>
            </w:pPr>
          </w:p>
          <w:p w:rsidR="00A572DA" w:rsidRPr="001D2C89" w:rsidRDefault="00FC5B49" w:rsidP="00D40F7E">
            <w:pPr>
              <w:pStyle w:val="DocTitle"/>
              <w:tabs>
                <w:tab w:val="center" w:pos="4771"/>
                <w:tab w:val="left" w:pos="6570"/>
              </w:tabs>
              <w:jc w:val="left"/>
            </w:pPr>
            <w:r w:rsidRPr="00FC5B49">
              <w:tab/>
            </w:r>
            <w:r w:rsidR="00766C2B">
              <w:t>21</w:t>
            </w:r>
            <w:r w:rsidR="00D40F7E">
              <w:t xml:space="preserve"> December</w:t>
            </w:r>
            <w:r w:rsidR="00D808B4">
              <w:t xml:space="preserve"> 2017</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1C57AA" w:rsidTr="005A6C6E">
        <w:trPr>
          <w:trHeight w:val="300"/>
        </w:trPr>
        <w:tc>
          <w:tcPr>
            <w:tcW w:w="514"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Version</w:t>
            </w:r>
          </w:p>
        </w:tc>
        <w:tc>
          <w:tcPr>
            <w:tcW w:w="728"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Date</w:t>
            </w:r>
          </w:p>
        </w:tc>
        <w:tc>
          <w:tcPr>
            <w:tcW w:w="1708"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Author</w:t>
            </w:r>
          </w:p>
        </w:tc>
        <w:tc>
          <w:tcPr>
            <w:tcW w:w="2050" w:type="pct"/>
            <w:shd w:val="clear" w:color="auto" w:fill="548DD4"/>
          </w:tcPr>
          <w:p w:rsidR="007A6999" w:rsidRPr="001C57AA" w:rsidRDefault="007A6999" w:rsidP="005A6C6E">
            <w:pPr>
              <w:spacing w:before="0" w:after="0" w:line="240" w:lineRule="auto"/>
              <w:rPr>
                <w:rStyle w:val="TableText"/>
                <w:b/>
                <w:bCs/>
                <w:color w:val="FFFFFF"/>
              </w:rPr>
            </w:pPr>
            <w:r w:rsidRPr="001C57AA">
              <w:rPr>
                <w:rStyle w:val="TableText"/>
                <w:b/>
                <w:bCs/>
                <w:color w:val="FFFFFF"/>
              </w:rPr>
              <w:t>Comment</w:t>
            </w:r>
          </w:p>
        </w:tc>
      </w:tr>
      <w:tr w:rsidR="005A6C6E" w:rsidRPr="001C57AA" w:rsidTr="005A6C6E">
        <w:trPr>
          <w:trHeight w:val="300"/>
        </w:trPr>
        <w:tc>
          <w:tcPr>
            <w:tcW w:w="514" w:type="pct"/>
            <w:shd w:val="clear" w:color="auto" w:fill="auto"/>
          </w:tcPr>
          <w:p w:rsidR="007A6999" w:rsidRPr="001C57AA" w:rsidRDefault="003272B4" w:rsidP="00617E69">
            <w:pPr>
              <w:spacing w:before="0" w:after="0" w:line="240" w:lineRule="auto"/>
              <w:rPr>
                <w:rStyle w:val="TableText"/>
              </w:rPr>
            </w:pPr>
            <w:r w:rsidRPr="001C57AA">
              <w:rPr>
                <w:rStyle w:val="TableText"/>
              </w:rPr>
              <w:t>1.0</w:t>
            </w:r>
          </w:p>
        </w:tc>
        <w:tc>
          <w:tcPr>
            <w:tcW w:w="728" w:type="pct"/>
            <w:shd w:val="clear" w:color="auto" w:fill="auto"/>
          </w:tcPr>
          <w:p w:rsidR="007A6999" w:rsidRPr="001C57AA" w:rsidRDefault="00132121" w:rsidP="00B10A0B">
            <w:pPr>
              <w:spacing w:before="0" w:after="0" w:line="240" w:lineRule="auto"/>
              <w:rPr>
                <w:rStyle w:val="TableText"/>
              </w:rPr>
            </w:pPr>
            <w:r>
              <w:rPr>
                <w:rStyle w:val="TableText"/>
              </w:rPr>
              <w:t xml:space="preserve">21 </w:t>
            </w:r>
            <w:r w:rsidR="00D40F7E">
              <w:rPr>
                <w:rStyle w:val="TableText"/>
              </w:rPr>
              <w:t>December 2017</w:t>
            </w:r>
          </w:p>
        </w:tc>
        <w:tc>
          <w:tcPr>
            <w:tcW w:w="1708" w:type="pct"/>
            <w:shd w:val="clear" w:color="auto" w:fill="auto"/>
          </w:tcPr>
          <w:p w:rsidR="007A6999" w:rsidRPr="001C57AA" w:rsidRDefault="007A6999" w:rsidP="005A6C6E">
            <w:pPr>
              <w:spacing w:before="0" w:after="0" w:line="240" w:lineRule="auto"/>
              <w:rPr>
                <w:rStyle w:val="TableText"/>
              </w:rPr>
            </w:pPr>
            <w:r w:rsidRPr="001C57AA">
              <w:rPr>
                <w:rStyle w:val="TableText"/>
              </w:rPr>
              <w:t>Modifications Committee Secretariat</w:t>
            </w:r>
          </w:p>
        </w:tc>
        <w:tc>
          <w:tcPr>
            <w:tcW w:w="2050" w:type="pct"/>
            <w:shd w:val="clear" w:color="auto" w:fill="auto"/>
          </w:tcPr>
          <w:p w:rsidR="007A6999" w:rsidRPr="001C57AA" w:rsidRDefault="007A6999" w:rsidP="005A6C6E">
            <w:pPr>
              <w:spacing w:before="0" w:after="0" w:line="240" w:lineRule="auto"/>
              <w:rPr>
                <w:rStyle w:val="TableText"/>
              </w:rPr>
            </w:pPr>
            <w:r w:rsidRPr="001C57AA">
              <w:rPr>
                <w:rStyle w:val="TableText"/>
              </w:rPr>
              <w:t>Issued to Modifications Committee for review and approval</w:t>
            </w:r>
          </w:p>
        </w:tc>
      </w:tr>
      <w:tr w:rsidR="005A6C6E" w:rsidRPr="00F970B8" w:rsidTr="005A6C6E">
        <w:trPr>
          <w:trHeight w:val="300"/>
        </w:trPr>
        <w:tc>
          <w:tcPr>
            <w:tcW w:w="514" w:type="pct"/>
            <w:shd w:val="clear" w:color="auto" w:fill="auto"/>
          </w:tcPr>
          <w:p w:rsidR="007A6999" w:rsidRPr="001C57AA" w:rsidRDefault="000F0C91" w:rsidP="005A6C6E">
            <w:pPr>
              <w:spacing w:before="0" w:after="0" w:line="240" w:lineRule="auto"/>
              <w:rPr>
                <w:rStyle w:val="TableText"/>
              </w:rPr>
            </w:pPr>
            <w:r w:rsidRPr="001C57AA">
              <w:rPr>
                <w:rStyle w:val="TableText"/>
              </w:rPr>
              <w:t>2.0</w:t>
            </w:r>
          </w:p>
        </w:tc>
        <w:tc>
          <w:tcPr>
            <w:tcW w:w="728" w:type="pct"/>
            <w:shd w:val="clear" w:color="auto" w:fill="auto"/>
          </w:tcPr>
          <w:p w:rsidR="007A6999" w:rsidRPr="001C57AA" w:rsidRDefault="004006D2" w:rsidP="008C599B">
            <w:pPr>
              <w:spacing w:before="0" w:after="0" w:line="240" w:lineRule="auto"/>
              <w:rPr>
                <w:rStyle w:val="TableText"/>
              </w:rPr>
            </w:pPr>
            <w:r>
              <w:rPr>
                <w:rStyle w:val="TableText"/>
              </w:rPr>
              <w:t>10 January 2018</w:t>
            </w:r>
          </w:p>
        </w:tc>
        <w:tc>
          <w:tcPr>
            <w:tcW w:w="1708" w:type="pct"/>
            <w:shd w:val="clear" w:color="auto" w:fill="auto"/>
          </w:tcPr>
          <w:p w:rsidR="007A6999" w:rsidRPr="001C57AA" w:rsidRDefault="00256348" w:rsidP="005A6C6E">
            <w:pPr>
              <w:spacing w:before="0" w:after="0" w:line="240" w:lineRule="auto"/>
              <w:rPr>
                <w:rStyle w:val="TableText"/>
              </w:rPr>
            </w:pPr>
            <w:r w:rsidRPr="001C57AA">
              <w:rPr>
                <w:rStyle w:val="TableText"/>
              </w:rPr>
              <w:t>Modifications Committee Secretariat</w:t>
            </w:r>
          </w:p>
        </w:tc>
        <w:tc>
          <w:tcPr>
            <w:tcW w:w="2050" w:type="pct"/>
            <w:shd w:val="clear" w:color="auto" w:fill="auto"/>
          </w:tcPr>
          <w:p w:rsidR="007A6999" w:rsidRPr="001C57AA" w:rsidRDefault="006525E9" w:rsidP="005A6C6E">
            <w:pPr>
              <w:spacing w:before="0" w:after="0" w:line="240" w:lineRule="auto"/>
              <w:rPr>
                <w:rStyle w:val="TableText"/>
              </w:rPr>
            </w:pPr>
            <w:r w:rsidRPr="001C57AA">
              <w:rPr>
                <w:rStyle w:val="TableText"/>
              </w:rPr>
              <w:t>Issued to Regulatory Authorities for final decision</w:t>
            </w:r>
          </w:p>
        </w:tc>
      </w:tr>
    </w:tbl>
    <w:p w:rsidR="003F4BC4" w:rsidRPr="00F970B8" w:rsidRDefault="003F4BC4" w:rsidP="007A6999">
      <w:pPr>
        <w:pStyle w:val="UntitledHeading"/>
        <w:rPr>
          <w:highlight w:val="yellow"/>
          <w:lang w:bidi="ar-SA"/>
        </w:rPr>
      </w:pPr>
    </w:p>
    <w:p w:rsidR="007A6999" w:rsidRPr="001C57AA" w:rsidRDefault="000D482D" w:rsidP="007A6999">
      <w:pPr>
        <w:pStyle w:val="UntitledHeading"/>
        <w:rPr>
          <w:lang w:bidi="ar-SA"/>
        </w:rPr>
      </w:pPr>
      <w:r w:rsidRPr="001C57AA">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1C57AA" w:rsidTr="007A6999">
        <w:tc>
          <w:tcPr>
            <w:tcW w:w="5000" w:type="pct"/>
            <w:shd w:val="clear" w:color="auto" w:fill="548DD4"/>
          </w:tcPr>
          <w:p w:rsidR="0017138D" w:rsidRPr="001C57AA" w:rsidRDefault="0017138D" w:rsidP="005A6C6E">
            <w:pPr>
              <w:spacing w:before="0" w:after="0" w:line="240" w:lineRule="auto"/>
              <w:rPr>
                <w:rStyle w:val="TableText"/>
                <w:b/>
                <w:bCs/>
                <w:color w:val="FFFFFF"/>
              </w:rPr>
            </w:pPr>
            <w:r w:rsidRPr="001C57AA">
              <w:rPr>
                <w:rStyle w:val="TableText"/>
                <w:b/>
                <w:bCs/>
                <w:color w:val="FFFFFF"/>
              </w:rPr>
              <w:t>Document Name</w:t>
            </w:r>
          </w:p>
        </w:tc>
      </w:tr>
      <w:tr w:rsidR="0017138D" w:rsidRPr="001C57AA" w:rsidTr="007840E4">
        <w:trPr>
          <w:trHeight w:val="64"/>
        </w:trPr>
        <w:tc>
          <w:tcPr>
            <w:tcW w:w="5000" w:type="pct"/>
          </w:tcPr>
          <w:p w:rsidR="0017138D" w:rsidRPr="001C57AA" w:rsidRDefault="009B53FD" w:rsidP="005A6C6E">
            <w:pPr>
              <w:spacing w:before="0" w:after="0" w:line="240" w:lineRule="auto"/>
              <w:rPr>
                <w:rStyle w:val="TableText"/>
                <w:sz w:val="20"/>
              </w:rPr>
            </w:pPr>
            <w:hyperlink r:id="rId9" w:history="1">
              <w:r w:rsidR="0017138D" w:rsidRPr="001C57AA">
                <w:rPr>
                  <w:rStyle w:val="Hyperlink"/>
                </w:rPr>
                <w:t>Trading and Settlement Code</w:t>
              </w:r>
            </w:hyperlink>
          </w:p>
        </w:tc>
      </w:tr>
      <w:tr w:rsidR="00654CE6" w:rsidRPr="001C57AA" w:rsidTr="007840E4">
        <w:trPr>
          <w:trHeight w:val="64"/>
        </w:trPr>
        <w:tc>
          <w:tcPr>
            <w:tcW w:w="5000" w:type="pct"/>
          </w:tcPr>
          <w:p w:rsidR="00654CE6" w:rsidRPr="00132121" w:rsidRDefault="009B53FD" w:rsidP="00A830EF">
            <w:pPr>
              <w:spacing w:before="0" w:after="0" w:line="240" w:lineRule="auto"/>
              <w:rPr>
                <w:highlight w:val="yellow"/>
              </w:rPr>
            </w:pPr>
            <w:hyperlink r:id="rId10" w:history="1">
              <w:r w:rsidR="00773352" w:rsidRPr="00847E74">
                <w:rPr>
                  <w:rStyle w:val="Hyperlink"/>
                </w:rPr>
                <w:t>Modification Proposal</w:t>
              </w:r>
            </w:hyperlink>
          </w:p>
        </w:tc>
      </w:tr>
      <w:tr w:rsidR="003F4BC4" w:rsidRPr="001C57AA" w:rsidTr="00095CA4">
        <w:trPr>
          <w:trHeight w:val="64"/>
        </w:trPr>
        <w:tc>
          <w:tcPr>
            <w:tcW w:w="5000" w:type="pct"/>
          </w:tcPr>
          <w:p w:rsidR="003F4BC4" w:rsidRPr="00132121" w:rsidRDefault="009B53FD" w:rsidP="001C57AA">
            <w:pPr>
              <w:spacing w:before="0" w:after="0" w:line="240" w:lineRule="auto"/>
              <w:rPr>
                <w:highlight w:val="yellow"/>
              </w:rPr>
            </w:pPr>
            <w:hyperlink r:id="rId11" w:history="1">
              <w:r w:rsidR="001C57AA" w:rsidRPr="00847E74">
                <w:rPr>
                  <w:rStyle w:val="Hyperlink"/>
                </w:rPr>
                <w:t>Presentation</w:t>
              </w:r>
            </w:hyperlink>
          </w:p>
        </w:tc>
      </w:tr>
      <w:tr w:rsidR="003F4BC4" w:rsidRPr="00F970B8" w:rsidTr="007840E4">
        <w:trPr>
          <w:trHeight w:val="64"/>
        </w:trPr>
        <w:tc>
          <w:tcPr>
            <w:tcW w:w="5000" w:type="pct"/>
          </w:tcPr>
          <w:p w:rsidR="003F4BC4" w:rsidRPr="001C57AA" w:rsidRDefault="003F4BC4" w:rsidP="00A830EF">
            <w:pPr>
              <w:spacing w:before="0" w:after="0" w:line="240" w:lineRule="auto"/>
            </w:pPr>
          </w:p>
        </w:tc>
      </w:tr>
      <w:tr w:rsidR="003F4BC4" w:rsidRPr="00F970B8" w:rsidTr="007840E4">
        <w:trPr>
          <w:trHeight w:val="64"/>
        </w:trPr>
        <w:tc>
          <w:tcPr>
            <w:tcW w:w="5000" w:type="pct"/>
          </w:tcPr>
          <w:p w:rsidR="003F4BC4" w:rsidRPr="00F970B8" w:rsidRDefault="003F4BC4" w:rsidP="00A830EF">
            <w:pPr>
              <w:spacing w:before="0" w:after="0" w:line="240" w:lineRule="auto"/>
              <w:rPr>
                <w:highlight w:val="yellow"/>
              </w:rPr>
            </w:pPr>
          </w:p>
        </w:tc>
      </w:tr>
    </w:tbl>
    <w:p w:rsidR="00C12DA8" w:rsidRPr="00F970B8" w:rsidRDefault="00C12DA8" w:rsidP="0008245D">
      <w:pPr>
        <w:pStyle w:val="UntitledHeading"/>
        <w:rPr>
          <w:highlight w:val="yellow"/>
          <w:lang w:bidi="ar-SA"/>
        </w:rPr>
      </w:pPr>
    </w:p>
    <w:p w:rsidR="003F4BC4" w:rsidRPr="00F970B8" w:rsidRDefault="003F4BC4" w:rsidP="0008245D">
      <w:pPr>
        <w:pStyle w:val="UntitledHeading"/>
        <w:rPr>
          <w:highlight w:val="yellow"/>
          <w:lang w:bidi="ar-SA"/>
        </w:rPr>
      </w:pPr>
    </w:p>
    <w:p w:rsidR="0008245D" w:rsidRPr="001C57AA" w:rsidRDefault="0008245D" w:rsidP="0008245D">
      <w:pPr>
        <w:pStyle w:val="UntitledHeading"/>
        <w:rPr>
          <w:lang w:bidi="ar-SA"/>
        </w:rPr>
      </w:pPr>
      <w:r w:rsidRPr="001C57AA">
        <w:rPr>
          <w:lang w:bidi="ar-SA"/>
        </w:rPr>
        <w:t>Table of Contents</w:t>
      </w:r>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9B53FD">
        <w:fldChar w:fldCharType="begin"/>
      </w:r>
      <w:r w:rsidR="0008245D" w:rsidRPr="001C57AA">
        <w:instrText xml:space="preserve"> TOC \o "1-3" \h \z \u </w:instrText>
      </w:r>
      <w:r w:rsidRPr="009B53FD">
        <w:fldChar w:fldCharType="separate"/>
      </w:r>
      <w:hyperlink w:anchor="_Toc501624684" w:history="1">
        <w:r w:rsidR="008902CA" w:rsidRPr="005D0C6D">
          <w:rPr>
            <w:rStyle w:val="Hyperlink"/>
            <w:noProof/>
            <w:lang w:eastAsia="en-GB"/>
          </w:rPr>
          <w:t>1.</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MODIFICATIONS COMMITTEE RECOMMENDATION</w:t>
        </w:r>
        <w:r w:rsidR="008902CA">
          <w:rPr>
            <w:noProof/>
            <w:webHidden/>
          </w:rPr>
          <w:tab/>
        </w:r>
        <w:r>
          <w:rPr>
            <w:noProof/>
            <w:webHidden/>
          </w:rPr>
          <w:fldChar w:fldCharType="begin"/>
        </w:r>
        <w:r w:rsidR="008902CA">
          <w:rPr>
            <w:noProof/>
            <w:webHidden/>
          </w:rPr>
          <w:instrText xml:space="preserve"> PAGEREF _Toc501624684 \h </w:instrText>
        </w:r>
        <w:r>
          <w:rPr>
            <w:noProof/>
            <w:webHidden/>
          </w:rPr>
        </w:r>
        <w:r>
          <w:rPr>
            <w:noProof/>
            <w:webHidden/>
          </w:rPr>
          <w:fldChar w:fldCharType="separate"/>
        </w:r>
        <w:r w:rsidR="008902CA">
          <w:rPr>
            <w:noProof/>
            <w:webHidden/>
          </w:rPr>
          <w:t>3</w:t>
        </w:r>
        <w:r>
          <w:rPr>
            <w:noProof/>
            <w:webHidden/>
          </w:rPr>
          <w:fldChar w:fldCharType="end"/>
        </w:r>
      </w:hyperlink>
    </w:p>
    <w:p w:rsidR="008902CA" w:rsidRDefault="009B53F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4685" w:history="1">
        <w:r w:rsidR="008902CA" w:rsidRPr="005D0C6D">
          <w:rPr>
            <w:rStyle w:val="Hyperlink"/>
            <w:b/>
            <w:bCs/>
            <w:noProof/>
            <w:spacing w:val="5"/>
          </w:rPr>
          <w:t>Recommended for approval – unanimous Vote</w:t>
        </w:r>
        <w:r w:rsidR="008902CA">
          <w:rPr>
            <w:noProof/>
            <w:webHidden/>
          </w:rPr>
          <w:tab/>
        </w:r>
        <w:r>
          <w:rPr>
            <w:noProof/>
            <w:webHidden/>
          </w:rPr>
          <w:fldChar w:fldCharType="begin"/>
        </w:r>
        <w:r w:rsidR="008902CA">
          <w:rPr>
            <w:noProof/>
            <w:webHidden/>
          </w:rPr>
          <w:instrText xml:space="preserve"> PAGEREF _Toc501624685 \h </w:instrText>
        </w:r>
        <w:r>
          <w:rPr>
            <w:noProof/>
            <w:webHidden/>
          </w:rPr>
        </w:r>
        <w:r>
          <w:rPr>
            <w:noProof/>
            <w:webHidden/>
          </w:rPr>
          <w:fldChar w:fldCharType="separate"/>
        </w:r>
        <w:r w:rsidR="008902CA">
          <w:rPr>
            <w:noProof/>
            <w:webHidden/>
          </w:rPr>
          <w:t>3</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86" w:history="1">
        <w:r w:rsidR="008902CA" w:rsidRPr="005D0C6D">
          <w:rPr>
            <w:rStyle w:val="Hyperlink"/>
            <w:noProof/>
            <w:lang w:eastAsia="en-GB"/>
          </w:rPr>
          <w:t>2.</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Background</w:t>
        </w:r>
        <w:r w:rsidR="008902CA">
          <w:rPr>
            <w:noProof/>
            <w:webHidden/>
          </w:rPr>
          <w:tab/>
        </w:r>
        <w:r>
          <w:rPr>
            <w:noProof/>
            <w:webHidden/>
          </w:rPr>
          <w:fldChar w:fldCharType="begin"/>
        </w:r>
        <w:r w:rsidR="008902CA">
          <w:rPr>
            <w:noProof/>
            <w:webHidden/>
          </w:rPr>
          <w:instrText xml:space="preserve"> PAGEREF _Toc501624686 \h </w:instrText>
        </w:r>
        <w:r>
          <w:rPr>
            <w:noProof/>
            <w:webHidden/>
          </w:rPr>
        </w:r>
        <w:r>
          <w:rPr>
            <w:noProof/>
            <w:webHidden/>
          </w:rPr>
          <w:fldChar w:fldCharType="separate"/>
        </w:r>
        <w:r w:rsidR="008902CA">
          <w:rPr>
            <w:noProof/>
            <w:webHidden/>
          </w:rPr>
          <w:t>3</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87" w:history="1">
        <w:r w:rsidR="008902CA" w:rsidRPr="005D0C6D">
          <w:rPr>
            <w:rStyle w:val="Hyperlink"/>
            <w:noProof/>
            <w:lang w:eastAsia="en-GB"/>
          </w:rPr>
          <w:t>3.</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PURPOSE OF PROPOSED MODIFICATION</w:t>
        </w:r>
        <w:r w:rsidR="008902CA">
          <w:rPr>
            <w:noProof/>
            <w:webHidden/>
          </w:rPr>
          <w:tab/>
        </w:r>
        <w:r>
          <w:rPr>
            <w:noProof/>
            <w:webHidden/>
          </w:rPr>
          <w:fldChar w:fldCharType="begin"/>
        </w:r>
        <w:r w:rsidR="008902CA">
          <w:rPr>
            <w:noProof/>
            <w:webHidden/>
          </w:rPr>
          <w:instrText xml:space="preserve"> PAGEREF _Toc501624687 \h </w:instrText>
        </w:r>
        <w:r>
          <w:rPr>
            <w:noProof/>
            <w:webHidden/>
          </w:rPr>
        </w:r>
        <w:r>
          <w:rPr>
            <w:noProof/>
            <w:webHidden/>
          </w:rPr>
          <w:fldChar w:fldCharType="separate"/>
        </w:r>
        <w:r w:rsidR="008902CA">
          <w:rPr>
            <w:noProof/>
            <w:webHidden/>
          </w:rPr>
          <w:t>3</w:t>
        </w:r>
        <w:r>
          <w:rPr>
            <w:noProof/>
            <w:webHidden/>
          </w:rPr>
          <w:fldChar w:fldCharType="end"/>
        </w:r>
      </w:hyperlink>
    </w:p>
    <w:p w:rsidR="008902CA" w:rsidRDefault="009B53F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4688" w:history="1">
        <w:r w:rsidR="008902CA" w:rsidRPr="005D0C6D">
          <w:rPr>
            <w:rStyle w:val="Hyperlink"/>
            <w:b/>
            <w:bCs/>
            <w:caps/>
            <w:noProof/>
            <w:spacing w:val="5"/>
            <w:lang w:eastAsia="en-GB"/>
          </w:rPr>
          <w:t>3A.) justification of Modification</w:t>
        </w:r>
        <w:r w:rsidR="008902CA">
          <w:rPr>
            <w:noProof/>
            <w:webHidden/>
          </w:rPr>
          <w:tab/>
        </w:r>
        <w:r>
          <w:rPr>
            <w:noProof/>
            <w:webHidden/>
          </w:rPr>
          <w:fldChar w:fldCharType="begin"/>
        </w:r>
        <w:r w:rsidR="008902CA">
          <w:rPr>
            <w:noProof/>
            <w:webHidden/>
          </w:rPr>
          <w:instrText xml:space="preserve"> PAGEREF _Toc501624688 \h </w:instrText>
        </w:r>
        <w:r>
          <w:rPr>
            <w:noProof/>
            <w:webHidden/>
          </w:rPr>
        </w:r>
        <w:r>
          <w:rPr>
            <w:noProof/>
            <w:webHidden/>
          </w:rPr>
          <w:fldChar w:fldCharType="separate"/>
        </w:r>
        <w:r w:rsidR="008902CA">
          <w:rPr>
            <w:noProof/>
            <w:webHidden/>
          </w:rPr>
          <w:t>3</w:t>
        </w:r>
        <w:r>
          <w:rPr>
            <w:noProof/>
            <w:webHidden/>
          </w:rPr>
          <w:fldChar w:fldCharType="end"/>
        </w:r>
      </w:hyperlink>
    </w:p>
    <w:p w:rsidR="008902CA" w:rsidRDefault="009B53F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4689" w:history="1">
        <w:r w:rsidR="008902CA" w:rsidRPr="005D0C6D">
          <w:rPr>
            <w:rStyle w:val="Hyperlink"/>
            <w:b/>
            <w:bCs/>
            <w:caps/>
            <w:noProof/>
            <w:spacing w:val="5"/>
            <w:lang w:eastAsia="en-GB"/>
          </w:rPr>
          <w:t>3B.) Impact of not Implementing a Solution</w:t>
        </w:r>
        <w:r w:rsidR="008902CA">
          <w:rPr>
            <w:noProof/>
            <w:webHidden/>
          </w:rPr>
          <w:tab/>
        </w:r>
        <w:r>
          <w:rPr>
            <w:noProof/>
            <w:webHidden/>
          </w:rPr>
          <w:fldChar w:fldCharType="begin"/>
        </w:r>
        <w:r w:rsidR="008902CA">
          <w:rPr>
            <w:noProof/>
            <w:webHidden/>
          </w:rPr>
          <w:instrText xml:space="preserve"> PAGEREF _Toc501624689 \h </w:instrText>
        </w:r>
        <w:r>
          <w:rPr>
            <w:noProof/>
            <w:webHidden/>
          </w:rPr>
        </w:r>
        <w:r>
          <w:rPr>
            <w:noProof/>
            <w:webHidden/>
          </w:rPr>
          <w:fldChar w:fldCharType="separate"/>
        </w:r>
        <w:r w:rsidR="008902CA">
          <w:rPr>
            <w:noProof/>
            <w:webHidden/>
          </w:rPr>
          <w:t>4</w:t>
        </w:r>
        <w:r>
          <w:rPr>
            <w:noProof/>
            <w:webHidden/>
          </w:rPr>
          <w:fldChar w:fldCharType="end"/>
        </w:r>
      </w:hyperlink>
    </w:p>
    <w:p w:rsidR="008902CA" w:rsidRDefault="009B53F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4690" w:history="1">
        <w:r w:rsidR="008902CA" w:rsidRPr="005D0C6D">
          <w:rPr>
            <w:rStyle w:val="Hyperlink"/>
            <w:b/>
            <w:bCs/>
            <w:caps/>
            <w:noProof/>
            <w:spacing w:val="5"/>
            <w:lang w:eastAsia="en-GB"/>
          </w:rPr>
          <w:t>3c.) Impact on Code Objectives</w:t>
        </w:r>
        <w:r w:rsidR="008902CA">
          <w:rPr>
            <w:noProof/>
            <w:webHidden/>
          </w:rPr>
          <w:tab/>
        </w:r>
        <w:r>
          <w:rPr>
            <w:noProof/>
            <w:webHidden/>
          </w:rPr>
          <w:fldChar w:fldCharType="begin"/>
        </w:r>
        <w:r w:rsidR="008902CA">
          <w:rPr>
            <w:noProof/>
            <w:webHidden/>
          </w:rPr>
          <w:instrText xml:space="preserve"> PAGEREF _Toc501624690 \h </w:instrText>
        </w:r>
        <w:r>
          <w:rPr>
            <w:noProof/>
            <w:webHidden/>
          </w:rPr>
        </w:r>
        <w:r>
          <w:rPr>
            <w:noProof/>
            <w:webHidden/>
          </w:rPr>
          <w:fldChar w:fldCharType="separate"/>
        </w:r>
        <w:r w:rsidR="008902CA">
          <w:rPr>
            <w:noProof/>
            <w:webHidden/>
          </w:rPr>
          <w:t>4</w:t>
        </w:r>
        <w:r>
          <w:rPr>
            <w:noProof/>
            <w:webHidden/>
          </w:rPr>
          <w:fldChar w:fldCharType="end"/>
        </w:r>
      </w:hyperlink>
    </w:p>
    <w:p w:rsidR="008902CA" w:rsidRDefault="009B53FD">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1" w:history="1">
        <w:r w:rsidR="008902CA" w:rsidRPr="005D0C6D">
          <w:rPr>
            <w:rStyle w:val="Hyperlink"/>
            <w:noProof/>
            <w:spacing w:val="15"/>
            <w:lang w:eastAsia="en-GB"/>
          </w:rPr>
          <w:t>4.</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spacing w:val="15"/>
            <w:lang w:eastAsia="en-GB"/>
          </w:rPr>
          <w:t>Assessment of Alternatives</w:t>
        </w:r>
        <w:r w:rsidR="008902CA">
          <w:rPr>
            <w:noProof/>
            <w:webHidden/>
          </w:rPr>
          <w:tab/>
        </w:r>
        <w:r>
          <w:rPr>
            <w:noProof/>
            <w:webHidden/>
          </w:rPr>
          <w:fldChar w:fldCharType="begin"/>
        </w:r>
        <w:r w:rsidR="008902CA">
          <w:rPr>
            <w:noProof/>
            <w:webHidden/>
          </w:rPr>
          <w:instrText xml:space="preserve"> PAGEREF _Toc501624691 \h </w:instrText>
        </w:r>
        <w:r>
          <w:rPr>
            <w:noProof/>
            <w:webHidden/>
          </w:rPr>
        </w:r>
        <w:r>
          <w:rPr>
            <w:noProof/>
            <w:webHidden/>
          </w:rPr>
          <w:fldChar w:fldCharType="separate"/>
        </w:r>
        <w:r w:rsidR="008902CA">
          <w:rPr>
            <w:noProof/>
            <w:webHidden/>
          </w:rPr>
          <w:t>4</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2" w:history="1">
        <w:r w:rsidR="008902CA" w:rsidRPr="005D0C6D">
          <w:rPr>
            <w:rStyle w:val="Hyperlink"/>
            <w:noProof/>
            <w:lang w:eastAsia="en-GB"/>
          </w:rPr>
          <w:t>5.</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Working Group and/or Consultation</w:t>
        </w:r>
        <w:r w:rsidR="008902CA">
          <w:rPr>
            <w:noProof/>
            <w:webHidden/>
          </w:rPr>
          <w:tab/>
        </w:r>
        <w:r>
          <w:rPr>
            <w:noProof/>
            <w:webHidden/>
          </w:rPr>
          <w:fldChar w:fldCharType="begin"/>
        </w:r>
        <w:r w:rsidR="008902CA">
          <w:rPr>
            <w:noProof/>
            <w:webHidden/>
          </w:rPr>
          <w:instrText xml:space="preserve"> PAGEREF _Toc501624692 \h </w:instrText>
        </w:r>
        <w:r>
          <w:rPr>
            <w:noProof/>
            <w:webHidden/>
          </w:rPr>
        </w:r>
        <w:r>
          <w:rPr>
            <w:noProof/>
            <w:webHidden/>
          </w:rPr>
          <w:fldChar w:fldCharType="separate"/>
        </w:r>
        <w:r w:rsidR="008902CA">
          <w:rPr>
            <w:noProof/>
            <w:webHidden/>
          </w:rPr>
          <w:t>4</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3" w:history="1">
        <w:r w:rsidR="008902CA" w:rsidRPr="005D0C6D">
          <w:rPr>
            <w:rStyle w:val="Hyperlink"/>
            <w:noProof/>
            <w:lang w:eastAsia="en-GB"/>
          </w:rPr>
          <w:t>6.</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impact on systems and resources</w:t>
        </w:r>
        <w:r w:rsidR="008902CA">
          <w:rPr>
            <w:noProof/>
            <w:webHidden/>
          </w:rPr>
          <w:tab/>
        </w:r>
        <w:r>
          <w:rPr>
            <w:noProof/>
            <w:webHidden/>
          </w:rPr>
          <w:fldChar w:fldCharType="begin"/>
        </w:r>
        <w:r w:rsidR="008902CA">
          <w:rPr>
            <w:noProof/>
            <w:webHidden/>
          </w:rPr>
          <w:instrText xml:space="preserve"> PAGEREF _Toc501624693 \h </w:instrText>
        </w:r>
        <w:r>
          <w:rPr>
            <w:noProof/>
            <w:webHidden/>
          </w:rPr>
        </w:r>
        <w:r>
          <w:rPr>
            <w:noProof/>
            <w:webHidden/>
          </w:rPr>
          <w:fldChar w:fldCharType="separate"/>
        </w:r>
        <w:r w:rsidR="008902CA">
          <w:rPr>
            <w:noProof/>
            <w:webHidden/>
          </w:rPr>
          <w:t>4</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4" w:history="1">
        <w:r w:rsidR="008902CA" w:rsidRPr="005D0C6D">
          <w:rPr>
            <w:rStyle w:val="Hyperlink"/>
            <w:noProof/>
            <w:lang w:eastAsia="en-GB"/>
          </w:rPr>
          <w:t>7.</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Impact on other Codes/Documents</w:t>
        </w:r>
        <w:r w:rsidR="008902CA">
          <w:rPr>
            <w:noProof/>
            <w:webHidden/>
          </w:rPr>
          <w:tab/>
        </w:r>
        <w:r>
          <w:rPr>
            <w:noProof/>
            <w:webHidden/>
          </w:rPr>
          <w:fldChar w:fldCharType="begin"/>
        </w:r>
        <w:r w:rsidR="008902CA">
          <w:rPr>
            <w:noProof/>
            <w:webHidden/>
          </w:rPr>
          <w:instrText xml:space="preserve"> PAGEREF _Toc501624694 \h </w:instrText>
        </w:r>
        <w:r>
          <w:rPr>
            <w:noProof/>
            <w:webHidden/>
          </w:rPr>
        </w:r>
        <w:r>
          <w:rPr>
            <w:noProof/>
            <w:webHidden/>
          </w:rPr>
          <w:fldChar w:fldCharType="separate"/>
        </w:r>
        <w:r w:rsidR="008902CA">
          <w:rPr>
            <w:noProof/>
            <w:webHidden/>
          </w:rPr>
          <w:t>5</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5" w:history="1">
        <w:r w:rsidR="008902CA" w:rsidRPr="005D0C6D">
          <w:rPr>
            <w:rStyle w:val="Hyperlink"/>
            <w:noProof/>
            <w:lang w:eastAsia="en-GB"/>
          </w:rPr>
          <w:t>8.</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MODIFICATION COMMITTEE VIEWS</w:t>
        </w:r>
        <w:r w:rsidR="008902CA">
          <w:rPr>
            <w:noProof/>
            <w:webHidden/>
          </w:rPr>
          <w:tab/>
        </w:r>
        <w:r>
          <w:rPr>
            <w:noProof/>
            <w:webHidden/>
          </w:rPr>
          <w:fldChar w:fldCharType="begin"/>
        </w:r>
        <w:r w:rsidR="008902CA">
          <w:rPr>
            <w:noProof/>
            <w:webHidden/>
          </w:rPr>
          <w:instrText xml:space="preserve"> PAGEREF _Toc501624695 \h </w:instrText>
        </w:r>
        <w:r>
          <w:rPr>
            <w:noProof/>
            <w:webHidden/>
          </w:rPr>
        </w:r>
        <w:r>
          <w:rPr>
            <w:noProof/>
            <w:webHidden/>
          </w:rPr>
          <w:fldChar w:fldCharType="separate"/>
        </w:r>
        <w:r w:rsidR="008902CA">
          <w:rPr>
            <w:noProof/>
            <w:webHidden/>
          </w:rPr>
          <w:t>5</w:t>
        </w:r>
        <w:r>
          <w:rPr>
            <w:noProof/>
            <w:webHidden/>
          </w:rPr>
          <w:fldChar w:fldCharType="end"/>
        </w:r>
      </w:hyperlink>
    </w:p>
    <w:p w:rsidR="008902CA" w:rsidRDefault="009B53F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4696" w:history="1">
        <w:r w:rsidR="008902CA" w:rsidRPr="005D0C6D">
          <w:rPr>
            <w:rStyle w:val="Hyperlink"/>
            <w:b/>
            <w:bCs/>
            <w:noProof/>
            <w:spacing w:val="5"/>
          </w:rPr>
          <w:t>Meeting  76 – 5 october 2017</w:t>
        </w:r>
        <w:r w:rsidR="008902CA">
          <w:rPr>
            <w:noProof/>
            <w:webHidden/>
          </w:rPr>
          <w:tab/>
        </w:r>
        <w:r>
          <w:rPr>
            <w:noProof/>
            <w:webHidden/>
          </w:rPr>
          <w:fldChar w:fldCharType="begin"/>
        </w:r>
        <w:r w:rsidR="008902CA">
          <w:rPr>
            <w:noProof/>
            <w:webHidden/>
          </w:rPr>
          <w:instrText xml:space="preserve"> PAGEREF _Toc501624696 \h </w:instrText>
        </w:r>
        <w:r>
          <w:rPr>
            <w:noProof/>
            <w:webHidden/>
          </w:rPr>
        </w:r>
        <w:r>
          <w:rPr>
            <w:noProof/>
            <w:webHidden/>
          </w:rPr>
          <w:fldChar w:fldCharType="separate"/>
        </w:r>
        <w:r w:rsidR="008902CA">
          <w:rPr>
            <w:noProof/>
            <w:webHidden/>
          </w:rPr>
          <w:t>5</w:t>
        </w:r>
        <w:r>
          <w:rPr>
            <w:noProof/>
            <w:webHidden/>
          </w:rPr>
          <w:fldChar w:fldCharType="end"/>
        </w:r>
      </w:hyperlink>
    </w:p>
    <w:p w:rsidR="008902CA" w:rsidRDefault="009B53FD">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1624697" w:history="1">
        <w:r w:rsidR="008902CA" w:rsidRPr="005D0C6D">
          <w:rPr>
            <w:rStyle w:val="Hyperlink"/>
            <w:b/>
            <w:bCs/>
            <w:noProof/>
            <w:spacing w:val="5"/>
          </w:rPr>
          <w:t>Meeting  77 – 21 November 2017</w:t>
        </w:r>
        <w:r w:rsidR="008902CA">
          <w:rPr>
            <w:noProof/>
            <w:webHidden/>
          </w:rPr>
          <w:tab/>
        </w:r>
        <w:r>
          <w:rPr>
            <w:noProof/>
            <w:webHidden/>
          </w:rPr>
          <w:fldChar w:fldCharType="begin"/>
        </w:r>
        <w:r w:rsidR="008902CA">
          <w:rPr>
            <w:noProof/>
            <w:webHidden/>
          </w:rPr>
          <w:instrText xml:space="preserve"> PAGEREF _Toc501624697 \h </w:instrText>
        </w:r>
        <w:r>
          <w:rPr>
            <w:noProof/>
            <w:webHidden/>
          </w:rPr>
        </w:r>
        <w:r>
          <w:rPr>
            <w:noProof/>
            <w:webHidden/>
          </w:rPr>
          <w:fldChar w:fldCharType="separate"/>
        </w:r>
        <w:r w:rsidR="008902CA">
          <w:rPr>
            <w:noProof/>
            <w:webHidden/>
          </w:rPr>
          <w:t>5</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8" w:history="1">
        <w:r w:rsidR="008902CA" w:rsidRPr="005D0C6D">
          <w:rPr>
            <w:rStyle w:val="Hyperlink"/>
            <w:noProof/>
            <w:lang w:eastAsia="en-GB"/>
          </w:rPr>
          <w:t>9.</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Proposed Legal Drafting</w:t>
        </w:r>
        <w:r w:rsidR="008902CA">
          <w:rPr>
            <w:noProof/>
            <w:webHidden/>
          </w:rPr>
          <w:tab/>
        </w:r>
        <w:r>
          <w:rPr>
            <w:noProof/>
            <w:webHidden/>
          </w:rPr>
          <w:fldChar w:fldCharType="begin"/>
        </w:r>
        <w:r w:rsidR="008902CA">
          <w:rPr>
            <w:noProof/>
            <w:webHidden/>
          </w:rPr>
          <w:instrText xml:space="preserve"> PAGEREF _Toc501624698 \h </w:instrText>
        </w:r>
        <w:r>
          <w:rPr>
            <w:noProof/>
            <w:webHidden/>
          </w:rPr>
        </w:r>
        <w:r>
          <w:rPr>
            <w:noProof/>
            <w:webHidden/>
          </w:rPr>
          <w:fldChar w:fldCharType="separate"/>
        </w:r>
        <w:r w:rsidR="008902CA">
          <w:rPr>
            <w:noProof/>
            <w:webHidden/>
          </w:rPr>
          <w:t>6</w:t>
        </w:r>
        <w:r>
          <w:rPr>
            <w:noProof/>
            <w:webHidden/>
          </w:rPr>
          <w:fldChar w:fldCharType="end"/>
        </w:r>
      </w:hyperlink>
    </w:p>
    <w:p w:rsidR="008902CA" w:rsidRDefault="009B53FD">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699" w:history="1">
        <w:r w:rsidR="008902CA" w:rsidRPr="005D0C6D">
          <w:rPr>
            <w:rStyle w:val="Hyperlink"/>
            <w:smallCaps/>
            <w:noProof/>
            <w:lang w:eastAsia="en-GB"/>
          </w:rPr>
          <w:t>10.</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smallCaps/>
            <w:noProof/>
            <w:lang w:eastAsia="en-GB"/>
          </w:rPr>
          <w:t>LEGAL REVIEW</w:t>
        </w:r>
        <w:r w:rsidR="008902CA">
          <w:rPr>
            <w:noProof/>
            <w:webHidden/>
          </w:rPr>
          <w:tab/>
        </w:r>
        <w:r>
          <w:rPr>
            <w:noProof/>
            <w:webHidden/>
          </w:rPr>
          <w:fldChar w:fldCharType="begin"/>
        </w:r>
        <w:r w:rsidR="008902CA">
          <w:rPr>
            <w:noProof/>
            <w:webHidden/>
          </w:rPr>
          <w:instrText xml:space="preserve"> PAGEREF _Toc501624699 \h </w:instrText>
        </w:r>
        <w:r>
          <w:rPr>
            <w:noProof/>
            <w:webHidden/>
          </w:rPr>
        </w:r>
        <w:r>
          <w:rPr>
            <w:noProof/>
            <w:webHidden/>
          </w:rPr>
          <w:fldChar w:fldCharType="separate"/>
        </w:r>
        <w:r w:rsidR="008902CA">
          <w:rPr>
            <w:noProof/>
            <w:webHidden/>
          </w:rPr>
          <w:t>6</w:t>
        </w:r>
        <w:r>
          <w:rPr>
            <w:noProof/>
            <w:webHidden/>
          </w:rPr>
          <w:fldChar w:fldCharType="end"/>
        </w:r>
      </w:hyperlink>
    </w:p>
    <w:p w:rsidR="008902CA" w:rsidRDefault="009B53FD">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700" w:history="1">
        <w:r w:rsidR="008902CA" w:rsidRPr="005D0C6D">
          <w:rPr>
            <w:rStyle w:val="Hyperlink"/>
            <w:noProof/>
            <w:lang w:eastAsia="en-GB"/>
          </w:rPr>
          <w:t>11.</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IMPLEMENTATION TIMESCALE</w:t>
        </w:r>
        <w:r w:rsidR="008902CA">
          <w:rPr>
            <w:noProof/>
            <w:webHidden/>
          </w:rPr>
          <w:tab/>
        </w:r>
        <w:r>
          <w:rPr>
            <w:noProof/>
            <w:webHidden/>
          </w:rPr>
          <w:fldChar w:fldCharType="begin"/>
        </w:r>
        <w:r w:rsidR="008902CA">
          <w:rPr>
            <w:noProof/>
            <w:webHidden/>
          </w:rPr>
          <w:instrText xml:space="preserve"> PAGEREF _Toc501624700 \h </w:instrText>
        </w:r>
        <w:r>
          <w:rPr>
            <w:noProof/>
            <w:webHidden/>
          </w:rPr>
        </w:r>
        <w:r>
          <w:rPr>
            <w:noProof/>
            <w:webHidden/>
          </w:rPr>
          <w:fldChar w:fldCharType="separate"/>
        </w:r>
        <w:r w:rsidR="008902CA">
          <w:rPr>
            <w:noProof/>
            <w:webHidden/>
          </w:rPr>
          <w:t>6</w:t>
        </w:r>
        <w:r>
          <w:rPr>
            <w:noProof/>
            <w:webHidden/>
          </w:rPr>
          <w:fldChar w:fldCharType="end"/>
        </w:r>
      </w:hyperlink>
    </w:p>
    <w:p w:rsidR="008902CA" w:rsidRDefault="009B53FD">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1624701" w:history="1">
        <w:r w:rsidR="008902CA" w:rsidRPr="005D0C6D">
          <w:rPr>
            <w:rStyle w:val="Hyperlink"/>
            <w:rFonts w:cs="Arial"/>
            <w:noProof/>
            <w:lang w:val="en-US"/>
          </w:rPr>
          <w:t>1</w:t>
        </w:r>
        <w:r w:rsidR="008902CA">
          <w:rPr>
            <w:rFonts w:asciiTheme="minorHAnsi" w:eastAsiaTheme="minorEastAsia" w:hAnsiTheme="minorHAnsi" w:cstheme="minorBidi"/>
            <w:b w:val="0"/>
            <w:bCs w:val="0"/>
            <w:caps w:val="0"/>
            <w:noProof/>
            <w:sz w:val="22"/>
            <w:szCs w:val="22"/>
            <w:lang w:val="en-IE" w:eastAsia="en-IE" w:bidi="ar-SA"/>
          </w:rPr>
          <w:tab/>
        </w:r>
        <w:r w:rsidR="008902CA" w:rsidRPr="005D0C6D">
          <w:rPr>
            <w:rStyle w:val="Hyperlink"/>
            <w:noProof/>
            <w:lang w:eastAsia="en-GB"/>
          </w:rPr>
          <w:t>Appendix 1: Mod_06_17 version 2.0: Transitional credit cover provisions</w:t>
        </w:r>
        <w:r w:rsidR="008902CA">
          <w:rPr>
            <w:noProof/>
            <w:webHidden/>
          </w:rPr>
          <w:tab/>
        </w:r>
        <w:r>
          <w:rPr>
            <w:noProof/>
            <w:webHidden/>
          </w:rPr>
          <w:fldChar w:fldCharType="begin"/>
        </w:r>
        <w:r w:rsidR="008902CA">
          <w:rPr>
            <w:noProof/>
            <w:webHidden/>
          </w:rPr>
          <w:instrText xml:space="preserve"> PAGEREF _Toc501624701 \h </w:instrText>
        </w:r>
        <w:r>
          <w:rPr>
            <w:noProof/>
            <w:webHidden/>
          </w:rPr>
        </w:r>
        <w:r>
          <w:rPr>
            <w:noProof/>
            <w:webHidden/>
          </w:rPr>
          <w:fldChar w:fldCharType="separate"/>
        </w:r>
        <w:r w:rsidR="008902CA">
          <w:rPr>
            <w:noProof/>
            <w:webHidden/>
          </w:rPr>
          <w:t>7</w:t>
        </w:r>
        <w:r>
          <w:rPr>
            <w:noProof/>
            <w:webHidden/>
          </w:rPr>
          <w:fldChar w:fldCharType="end"/>
        </w:r>
      </w:hyperlink>
    </w:p>
    <w:p w:rsidR="00B74531" w:rsidRPr="00F970B8" w:rsidRDefault="009B53FD" w:rsidP="00D64CA9">
      <w:pPr>
        <w:rPr>
          <w:highlight w:val="yellow"/>
        </w:rPr>
      </w:pPr>
      <w:r w:rsidRPr="001C57AA">
        <w:fldChar w:fldCharType="end"/>
      </w:r>
      <w:r w:rsidR="00645540" w:rsidRPr="00F970B8">
        <w:rPr>
          <w:highlight w:val="yellow"/>
        </w:rPr>
        <w:br w:type="page"/>
      </w:r>
    </w:p>
    <w:p w:rsidR="00D37ABF" w:rsidRPr="001C57AA" w:rsidRDefault="00D37ABF" w:rsidP="0039426D">
      <w:pPr>
        <w:pStyle w:val="Heading1"/>
        <w:pageBreakBefore w:val="0"/>
        <w:numPr>
          <w:ilvl w:val="0"/>
          <w:numId w:val="26"/>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01624684"/>
      <w:r w:rsidRPr="001C57AA">
        <w:rPr>
          <w:lang w:eastAsia="en-GB"/>
        </w:rPr>
        <w:lastRenderedPageBreak/>
        <w:t>MODIF</w:t>
      </w:r>
      <w:r w:rsidR="00D548A0" w:rsidRPr="001C57AA">
        <w:rPr>
          <w:lang w:eastAsia="en-GB"/>
        </w:rPr>
        <w:t>ICATION</w:t>
      </w:r>
      <w:r w:rsidR="00062434" w:rsidRPr="001C57AA">
        <w:rPr>
          <w:lang w:eastAsia="en-GB"/>
        </w:rPr>
        <w:t>S</w:t>
      </w:r>
      <w:r w:rsidR="00D548A0" w:rsidRPr="001C57AA">
        <w:rPr>
          <w:lang w:eastAsia="en-GB"/>
        </w:rPr>
        <w:t xml:space="preserve"> COMMITTEE RECOMMENDATION</w:t>
      </w:r>
      <w:bookmarkEnd w:id="5"/>
      <w:bookmarkEnd w:id="6"/>
      <w:bookmarkEnd w:id="7"/>
      <w:bookmarkEnd w:id="8"/>
      <w:bookmarkEnd w:id="9"/>
      <w:bookmarkEnd w:id="10"/>
      <w:bookmarkEnd w:id="11"/>
    </w:p>
    <w:p w:rsidR="005569FD" w:rsidRPr="001C57AA" w:rsidRDefault="00BE4526" w:rsidP="005569FD">
      <w:pPr>
        <w:pStyle w:val="Heading2"/>
        <w:numPr>
          <w:ilvl w:val="0"/>
          <w:numId w:val="0"/>
        </w:numPr>
        <w:rPr>
          <w:rStyle w:val="IntenseReference"/>
          <w:color w:val="1F497D"/>
          <w:sz w:val="18"/>
          <w:szCs w:val="18"/>
          <w:u w:val="none"/>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01624685"/>
      <w:r w:rsidRPr="001C57AA">
        <w:rPr>
          <w:rStyle w:val="IntenseReference"/>
          <w:color w:val="1F497D"/>
          <w:sz w:val="18"/>
          <w:szCs w:val="18"/>
          <w:u w:val="none"/>
        </w:rPr>
        <w:t xml:space="preserve">Recommended for </w:t>
      </w:r>
      <w:r w:rsidR="00B77C57" w:rsidRPr="001C57AA">
        <w:rPr>
          <w:rStyle w:val="IntenseReference"/>
          <w:color w:val="1F497D"/>
          <w:sz w:val="18"/>
          <w:szCs w:val="18"/>
          <w:u w:val="none"/>
        </w:rPr>
        <w:t>approval</w:t>
      </w:r>
      <w:r w:rsidR="005F1A55" w:rsidRPr="001C57AA">
        <w:rPr>
          <w:rStyle w:val="IntenseReference"/>
          <w:color w:val="1F497D"/>
          <w:sz w:val="18"/>
          <w:szCs w:val="18"/>
          <w:u w:val="none"/>
        </w:rPr>
        <w:t xml:space="preserve"> </w:t>
      </w:r>
      <w:r w:rsidR="00987EFC" w:rsidRPr="001C57AA">
        <w:rPr>
          <w:rStyle w:val="IntenseReference"/>
          <w:color w:val="1F497D"/>
          <w:sz w:val="18"/>
          <w:szCs w:val="18"/>
          <w:u w:val="none"/>
        </w:rPr>
        <w:t xml:space="preserve">– </w:t>
      </w:r>
      <w:r w:rsidR="00B963E0" w:rsidRPr="001C57AA">
        <w:rPr>
          <w:rStyle w:val="IntenseReference"/>
          <w:color w:val="1F497D"/>
          <w:sz w:val="18"/>
          <w:szCs w:val="18"/>
          <w:u w:val="none"/>
        </w:rPr>
        <w:t>unanimous</w:t>
      </w:r>
      <w:r w:rsidR="00987EFC" w:rsidRPr="001C57AA">
        <w:rPr>
          <w:rStyle w:val="IntenseReference"/>
          <w:color w:val="1F497D"/>
          <w:sz w:val="18"/>
          <w:szCs w:val="18"/>
          <w:u w:val="none"/>
        </w:rPr>
        <w:t xml:space="preserve"> Vote</w:t>
      </w:r>
      <w:bookmarkEnd w:id="12"/>
      <w:bookmarkEnd w:id="13"/>
      <w:bookmarkEnd w:id="14"/>
      <w:bookmarkEnd w:id="15"/>
      <w:bookmarkEnd w:id="16"/>
      <w:bookmarkEnd w:id="17"/>
      <w:bookmarkEnd w:id="18"/>
    </w:p>
    <w:p w:rsidR="00416668" w:rsidRDefault="00416668" w:rsidP="00BA48D9">
      <w:pPr>
        <w:rPr>
          <w:lang w:bidi="ar-SA"/>
        </w:rPr>
      </w:pPr>
    </w:p>
    <w:p w:rsidR="00BE0E26" w:rsidRDefault="00BE0E26"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E0E26" w:rsidRPr="00756CCD" w:rsidTr="00BE0E2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E0E26" w:rsidRPr="00756CCD" w:rsidRDefault="00BE0E26" w:rsidP="002E1957">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BE0E26" w:rsidRPr="00164B6B" w:rsidTr="00BE0E26">
        <w:trPr>
          <w:jc w:val="center"/>
        </w:trPr>
        <w:tc>
          <w:tcPr>
            <w:tcW w:w="15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Conor Powell</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Supplier Member</w:t>
            </w:r>
          </w:p>
        </w:tc>
        <w:tc>
          <w:tcPr>
            <w:tcW w:w="1776" w:type="pct"/>
            <w:shd w:val="clear" w:color="auto" w:fill="auto"/>
          </w:tcPr>
          <w:p w:rsidR="00BE0E26" w:rsidRPr="00164B6B" w:rsidRDefault="00BE0E26" w:rsidP="002E1957">
            <w:pPr>
              <w:spacing w:before="40" w:after="40"/>
              <w:rPr>
                <w:sz w:val="16"/>
                <w:szCs w:val="16"/>
              </w:rPr>
            </w:pPr>
            <w:r>
              <w:rPr>
                <w:sz w:val="16"/>
                <w:szCs w:val="16"/>
              </w:rPr>
              <w:t>Approved</w:t>
            </w:r>
          </w:p>
        </w:tc>
      </w:tr>
      <w:tr w:rsidR="00BE0E26" w:rsidTr="00BE0E26">
        <w:trPr>
          <w:jc w:val="center"/>
        </w:trPr>
        <w:tc>
          <w:tcPr>
            <w:tcW w:w="15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Derek Scully</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Generator Alternate</w:t>
            </w:r>
          </w:p>
        </w:tc>
        <w:tc>
          <w:tcPr>
            <w:tcW w:w="1776" w:type="pct"/>
            <w:shd w:val="clear" w:color="auto" w:fill="auto"/>
          </w:tcPr>
          <w:p w:rsidR="00BE0E26" w:rsidRDefault="00BE0E26" w:rsidP="002E1957">
            <w:r w:rsidRPr="002473E0">
              <w:rPr>
                <w:sz w:val="16"/>
                <w:szCs w:val="16"/>
              </w:rPr>
              <w:t>Approved</w:t>
            </w:r>
          </w:p>
        </w:tc>
      </w:tr>
      <w:tr w:rsidR="00BE0E26" w:rsidTr="00BE0E26">
        <w:trPr>
          <w:jc w:val="center"/>
        </w:trPr>
        <w:tc>
          <w:tcPr>
            <w:tcW w:w="1512" w:type="pct"/>
            <w:shd w:val="clear" w:color="auto" w:fill="auto"/>
          </w:tcPr>
          <w:p w:rsidR="00BE0E26" w:rsidRDefault="00BE0E26" w:rsidP="002E1957">
            <w:pPr>
              <w:spacing w:before="40" w:after="40"/>
              <w:rPr>
                <w:rFonts w:cs="Arial"/>
                <w:sz w:val="16"/>
                <w:szCs w:val="16"/>
              </w:rPr>
            </w:pPr>
          </w:p>
          <w:p w:rsidR="00BE0E26" w:rsidRPr="00CE31E6" w:rsidRDefault="00BE0E26" w:rsidP="002E1957">
            <w:pPr>
              <w:spacing w:before="40" w:after="40"/>
              <w:rPr>
                <w:rFonts w:cs="Arial"/>
                <w:sz w:val="16"/>
                <w:szCs w:val="16"/>
              </w:rPr>
            </w:pPr>
            <w:r>
              <w:rPr>
                <w:rFonts w:cs="Arial"/>
                <w:sz w:val="16"/>
                <w:szCs w:val="16"/>
              </w:rPr>
              <w:t>Clive Bowers</w:t>
            </w:r>
          </w:p>
        </w:tc>
        <w:tc>
          <w:tcPr>
            <w:tcW w:w="1712" w:type="pct"/>
            <w:shd w:val="clear" w:color="auto" w:fill="auto"/>
            <w:vAlign w:val="bottom"/>
          </w:tcPr>
          <w:p w:rsidR="00BE0E26" w:rsidRPr="00030699" w:rsidRDefault="00BE0E26" w:rsidP="002E1957">
            <w:pPr>
              <w:spacing w:before="40" w:after="40"/>
              <w:rPr>
                <w:sz w:val="16"/>
                <w:szCs w:val="16"/>
              </w:rPr>
            </w:pPr>
            <w:r>
              <w:rPr>
                <w:sz w:val="16"/>
                <w:szCs w:val="16"/>
              </w:rPr>
              <w:t>Generator Alternate</w:t>
            </w:r>
          </w:p>
        </w:tc>
        <w:tc>
          <w:tcPr>
            <w:tcW w:w="1776" w:type="pct"/>
            <w:shd w:val="clear" w:color="auto" w:fill="auto"/>
          </w:tcPr>
          <w:p w:rsidR="00BE0E26" w:rsidRDefault="00BE0E26" w:rsidP="002E1957">
            <w:r w:rsidRPr="002473E0">
              <w:rPr>
                <w:sz w:val="16"/>
                <w:szCs w:val="16"/>
              </w:rPr>
              <w:t>Approved</w:t>
            </w:r>
          </w:p>
        </w:tc>
      </w:tr>
      <w:tr w:rsidR="00BE0E26" w:rsidTr="00BE0E26">
        <w:trPr>
          <w:jc w:val="center"/>
        </w:trPr>
        <w:tc>
          <w:tcPr>
            <w:tcW w:w="1512" w:type="pct"/>
            <w:shd w:val="clear" w:color="auto" w:fill="auto"/>
          </w:tcPr>
          <w:p w:rsidR="00BE0E26" w:rsidRPr="00CE31E6" w:rsidRDefault="00BE0E26" w:rsidP="002E1957">
            <w:pPr>
              <w:spacing w:before="40" w:after="40"/>
              <w:rPr>
                <w:rFonts w:cs="Arial"/>
                <w:sz w:val="16"/>
                <w:szCs w:val="16"/>
              </w:rPr>
            </w:pPr>
            <w:r>
              <w:rPr>
                <w:rFonts w:cs="Arial"/>
                <w:sz w:val="16"/>
                <w:szCs w:val="16"/>
              </w:rPr>
              <w:t>Jim Wynne</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Supplier Member</w:t>
            </w:r>
          </w:p>
        </w:tc>
        <w:tc>
          <w:tcPr>
            <w:tcW w:w="1776" w:type="pct"/>
            <w:shd w:val="clear" w:color="auto" w:fill="auto"/>
          </w:tcPr>
          <w:p w:rsidR="00BE0E26" w:rsidRDefault="00BE0E26" w:rsidP="002E1957">
            <w:r w:rsidRPr="002473E0">
              <w:rPr>
                <w:sz w:val="16"/>
                <w:szCs w:val="16"/>
              </w:rPr>
              <w:t>Approved</w:t>
            </w:r>
          </w:p>
        </w:tc>
      </w:tr>
      <w:tr w:rsidR="00BE0E26" w:rsidTr="00BE0E26">
        <w:trPr>
          <w:jc w:val="center"/>
        </w:trPr>
        <w:tc>
          <w:tcPr>
            <w:tcW w:w="15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David Gascon</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Generator Alternate</w:t>
            </w:r>
          </w:p>
        </w:tc>
        <w:tc>
          <w:tcPr>
            <w:tcW w:w="1776" w:type="pct"/>
            <w:shd w:val="clear" w:color="auto" w:fill="auto"/>
          </w:tcPr>
          <w:p w:rsidR="00BE0E26" w:rsidRDefault="00BE0E26" w:rsidP="002E1957">
            <w:r w:rsidRPr="002473E0">
              <w:rPr>
                <w:sz w:val="16"/>
                <w:szCs w:val="16"/>
              </w:rPr>
              <w:t>Approved</w:t>
            </w:r>
          </w:p>
        </w:tc>
      </w:tr>
      <w:tr w:rsidR="00BE0E26" w:rsidTr="00BE0E26">
        <w:trPr>
          <w:jc w:val="center"/>
        </w:trPr>
        <w:tc>
          <w:tcPr>
            <w:tcW w:w="15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Brian Mongan</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Generator Member</w:t>
            </w:r>
          </w:p>
        </w:tc>
        <w:tc>
          <w:tcPr>
            <w:tcW w:w="1776" w:type="pct"/>
            <w:shd w:val="clear" w:color="auto" w:fill="auto"/>
          </w:tcPr>
          <w:p w:rsidR="00BE0E26" w:rsidRDefault="00BE0E26" w:rsidP="002E1957">
            <w:r w:rsidRPr="002473E0">
              <w:rPr>
                <w:sz w:val="16"/>
                <w:szCs w:val="16"/>
              </w:rPr>
              <w:t>Approved</w:t>
            </w:r>
          </w:p>
        </w:tc>
      </w:tr>
      <w:tr w:rsidR="00BE0E26" w:rsidTr="00BE0E26">
        <w:trPr>
          <w:jc w:val="center"/>
        </w:trPr>
        <w:tc>
          <w:tcPr>
            <w:tcW w:w="15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Philip Carson</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 xml:space="preserve">Supplier </w:t>
            </w:r>
            <w:r w:rsidR="00915F97">
              <w:rPr>
                <w:rFonts w:cs="Arial"/>
                <w:sz w:val="16"/>
                <w:szCs w:val="16"/>
              </w:rPr>
              <w:t>Alternate</w:t>
            </w:r>
          </w:p>
        </w:tc>
        <w:tc>
          <w:tcPr>
            <w:tcW w:w="1776" w:type="pct"/>
            <w:shd w:val="clear" w:color="auto" w:fill="auto"/>
          </w:tcPr>
          <w:p w:rsidR="00BE0E26" w:rsidRDefault="00BE0E26" w:rsidP="002E1957">
            <w:r w:rsidRPr="002473E0">
              <w:rPr>
                <w:sz w:val="16"/>
                <w:szCs w:val="16"/>
              </w:rPr>
              <w:t>Approved</w:t>
            </w:r>
          </w:p>
        </w:tc>
      </w:tr>
      <w:tr w:rsidR="00BE0E26" w:rsidTr="00BE0E26">
        <w:trPr>
          <w:jc w:val="center"/>
        </w:trPr>
        <w:tc>
          <w:tcPr>
            <w:tcW w:w="15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Julie-Anne Hannon</w:t>
            </w:r>
          </w:p>
        </w:tc>
        <w:tc>
          <w:tcPr>
            <w:tcW w:w="1712" w:type="pct"/>
            <w:shd w:val="clear" w:color="auto" w:fill="auto"/>
            <w:vAlign w:val="bottom"/>
          </w:tcPr>
          <w:p w:rsidR="00BE0E26" w:rsidRPr="00CE31E6" w:rsidRDefault="00BE0E26" w:rsidP="002E1957">
            <w:pPr>
              <w:spacing w:before="40" w:after="40"/>
              <w:rPr>
                <w:rFonts w:cs="Arial"/>
                <w:sz w:val="16"/>
                <w:szCs w:val="16"/>
              </w:rPr>
            </w:pPr>
            <w:r>
              <w:rPr>
                <w:rFonts w:cs="Arial"/>
                <w:sz w:val="16"/>
                <w:szCs w:val="16"/>
              </w:rPr>
              <w:t>Supplier Member (Chair)</w:t>
            </w:r>
          </w:p>
        </w:tc>
        <w:tc>
          <w:tcPr>
            <w:tcW w:w="1776" w:type="pct"/>
            <w:shd w:val="clear" w:color="auto" w:fill="auto"/>
          </w:tcPr>
          <w:p w:rsidR="00BE0E26" w:rsidRDefault="00BE0E26" w:rsidP="002E1957">
            <w:r w:rsidRPr="002473E0">
              <w:rPr>
                <w:sz w:val="16"/>
                <w:szCs w:val="16"/>
              </w:rPr>
              <w:t>Approved</w:t>
            </w:r>
          </w:p>
        </w:tc>
      </w:tr>
    </w:tbl>
    <w:p w:rsidR="00FC3FEE" w:rsidRDefault="00FC3FEE" w:rsidP="00727BBB">
      <w:pPr>
        <w:pStyle w:val="Bullet1"/>
        <w:numPr>
          <w:ilvl w:val="0"/>
          <w:numId w:val="0"/>
        </w:numPr>
      </w:pPr>
    </w:p>
    <w:p w:rsidR="00BE0E26" w:rsidRPr="001C57AA" w:rsidRDefault="00BE0E26" w:rsidP="00727BBB">
      <w:pPr>
        <w:pStyle w:val="Bullet1"/>
        <w:numPr>
          <w:ilvl w:val="0"/>
          <w:numId w:val="0"/>
        </w:numPr>
      </w:pPr>
    </w:p>
    <w:p w:rsidR="009408DE" w:rsidRPr="001C57AA" w:rsidRDefault="003E7F8C" w:rsidP="0039426D">
      <w:pPr>
        <w:pStyle w:val="Heading1"/>
        <w:pageBreakBefore w:val="0"/>
        <w:numPr>
          <w:ilvl w:val="0"/>
          <w:numId w:val="26"/>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01624686"/>
      <w:r w:rsidRPr="001C57AA">
        <w:rPr>
          <w:lang w:eastAsia="en-GB"/>
        </w:rPr>
        <w:t>Background</w:t>
      </w:r>
      <w:bookmarkEnd w:id="19"/>
      <w:bookmarkEnd w:id="20"/>
      <w:bookmarkEnd w:id="21"/>
      <w:bookmarkEnd w:id="22"/>
      <w:bookmarkEnd w:id="23"/>
      <w:bookmarkEnd w:id="24"/>
      <w:bookmarkEnd w:id="25"/>
    </w:p>
    <w:p w:rsidR="00B8262C" w:rsidRPr="00B8262C" w:rsidRDefault="00581DAD" w:rsidP="00B8262C">
      <w:pPr>
        <w:jc w:val="both"/>
        <w:rPr>
          <w:rFonts w:cs="Arial"/>
          <w:lang w:val="en-IE"/>
        </w:rPr>
      </w:pPr>
      <w:r w:rsidRPr="001C57AA">
        <w:t>This Modification Proposal was raised by</w:t>
      </w:r>
      <w:r w:rsidR="002E4B16" w:rsidRPr="001C57AA">
        <w:t xml:space="preserve"> </w:t>
      </w:r>
      <w:r w:rsidR="00BE0E26">
        <w:t>SEMO</w:t>
      </w:r>
      <w:r w:rsidR="00EF16B0" w:rsidRPr="001C57AA">
        <w:t xml:space="preserve"> and was received by the Secretariat</w:t>
      </w:r>
      <w:r w:rsidR="00144A17" w:rsidRPr="001C57AA">
        <w:t xml:space="preserve"> on </w:t>
      </w:r>
      <w:r w:rsidR="00BE0E26">
        <w:t>5 October 2017</w:t>
      </w:r>
      <w:r w:rsidR="002F5D26" w:rsidRPr="001C57AA">
        <w:rPr>
          <w:rFonts w:cs="Arial"/>
        </w:rPr>
        <w:t>.</w:t>
      </w:r>
      <w:r w:rsidR="008110AF" w:rsidRPr="001C57AA">
        <w:rPr>
          <w:rFonts w:cs="Arial"/>
        </w:rPr>
        <w:t xml:space="preserve"> </w:t>
      </w:r>
      <w:r w:rsidR="00B8262C" w:rsidRPr="00B8262C">
        <w:rPr>
          <w:rFonts w:cs="Arial"/>
          <w:lang w:val="en-AU"/>
        </w:rPr>
        <w:t xml:space="preserve">This proposed change seeks to provide a workable solution to how credit cover will be managed during the transition from the TSC Part A (SEM) to the TSC Part B (I-SEM) arrangements.  It seeks to </w:t>
      </w:r>
      <w:r w:rsidR="00B8262C" w:rsidRPr="00B8262C">
        <w:rPr>
          <w:rFonts w:cs="Arial"/>
          <w:lang w:val="en-IE"/>
        </w:rPr>
        <w:t xml:space="preserve">clarify the timelines, activities, methodologies and credit cover calculations </w:t>
      </w:r>
      <w:r w:rsidR="00B8262C">
        <w:rPr>
          <w:rFonts w:cs="Arial"/>
          <w:lang w:val="en-IE"/>
        </w:rPr>
        <w:t xml:space="preserve">for this transition. </w:t>
      </w:r>
    </w:p>
    <w:p w:rsidR="00B8262C" w:rsidRPr="00B8262C" w:rsidRDefault="00B8262C" w:rsidP="00B8262C">
      <w:pPr>
        <w:jc w:val="both"/>
        <w:rPr>
          <w:rFonts w:cs="Arial"/>
          <w:lang w:val="en-AU"/>
        </w:rPr>
      </w:pPr>
      <w:r w:rsidRPr="00B8262C">
        <w:rPr>
          <w:rFonts w:cs="Arial"/>
          <w:lang w:val="en-IE"/>
        </w:rPr>
        <w:t xml:space="preserve">The term </w:t>
      </w:r>
      <w:r w:rsidRPr="00B8262C">
        <w:rPr>
          <w:rFonts w:cs="Arial"/>
          <w:lang w:val="en-AU"/>
        </w:rPr>
        <w:t>‘Transitional Credit Cover Provisions’ is used throughout this modification proposal to refer the transitional arrangements for credit cover.</w:t>
      </w:r>
    </w:p>
    <w:p w:rsidR="00B8262C" w:rsidRPr="00B8262C" w:rsidRDefault="00B8262C" w:rsidP="00B8262C">
      <w:pPr>
        <w:jc w:val="both"/>
        <w:rPr>
          <w:rFonts w:cs="Arial"/>
          <w:lang w:val="en-AU"/>
        </w:rPr>
      </w:pPr>
      <w:r w:rsidRPr="00B8262C">
        <w:rPr>
          <w:rFonts w:cs="Arial"/>
          <w:lang w:val="en-AU"/>
        </w:rPr>
        <w:t>The proposal aims to ensure:</w:t>
      </w:r>
    </w:p>
    <w:p w:rsidR="00B8262C" w:rsidRPr="00B8262C" w:rsidRDefault="00B8262C" w:rsidP="00B8262C">
      <w:pPr>
        <w:numPr>
          <w:ilvl w:val="0"/>
          <w:numId w:val="45"/>
        </w:numPr>
        <w:jc w:val="both"/>
        <w:rPr>
          <w:rFonts w:cs="Arial"/>
          <w:lang w:val="en-US"/>
        </w:rPr>
      </w:pPr>
      <w:r w:rsidRPr="00B8262C">
        <w:rPr>
          <w:rFonts w:cs="Arial"/>
          <w:lang w:val="en-US"/>
        </w:rPr>
        <w:t>The appropriate levels of credit cover are maintained, in line with the full collateralisation principles of the SEM.</w:t>
      </w:r>
    </w:p>
    <w:p w:rsidR="00B8262C" w:rsidRPr="00B8262C" w:rsidRDefault="00B8262C" w:rsidP="00B8262C">
      <w:pPr>
        <w:numPr>
          <w:ilvl w:val="0"/>
          <w:numId w:val="45"/>
        </w:numPr>
        <w:jc w:val="both"/>
        <w:rPr>
          <w:rFonts w:cs="Arial"/>
          <w:lang w:val="en-US"/>
        </w:rPr>
      </w:pPr>
      <w:r w:rsidRPr="00B8262C">
        <w:rPr>
          <w:rFonts w:cs="Arial"/>
          <w:lang w:val="en-US"/>
        </w:rPr>
        <w:t>That practical and plausible implementation of the transitional arrangements is achieved given the timelines, effort and legal considerations.</w:t>
      </w:r>
    </w:p>
    <w:p w:rsidR="00E66BE1" w:rsidRPr="00BC6EF8" w:rsidRDefault="00B8262C" w:rsidP="00E66BE1">
      <w:pPr>
        <w:numPr>
          <w:ilvl w:val="0"/>
          <w:numId w:val="45"/>
        </w:numPr>
        <w:jc w:val="both"/>
        <w:rPr>
          <w:rFonts w:cs="Arial"/>
          <w:b/>
          <w:lang w:val="en-US"/>
        </w:rPr>
      </w:pPr>
      <w:r w:rsidRPr="00B8262C">
        <w:rPr>
          <w:rFonts w:cs="Arial"/>
          <w:lang w:val="en-US"/>
        </w:rPr>
        <w:t>That Participants have a clear understanding of how transitional credit cover requirements will be determined, and how and when they will be need to take actions in order to meet these requirements.</w:t>
      </w:r>
    </w:p>
    <w:p w:rsidR="001D4928" w:rsidRDefault="00B4753A" w:rsidP="0058374C">
      <w:pPr>
        <w:jc w:val="both"/>
      </w:pPr>
      <w:r w:rsidRPr="001C57AA">
        <w:t>The</w:t>
      </w:r>
      <w:r w:rsidR="00596F65" w:rsidRPr="001C57AA">
        <w:t xml:space="preserve"> Modification </w:t>
      </w:r>
      <w:r w:rsidR="009F170F" w:rsidRPr="001C57AA">
        <w:t xml:space="preserve">Proposal </w:t>
      </w:r>
      <w:r w:rsidR="00596F65" w:rsidRPr="001C57AA">
        <w:t xml:space="preserve">was </w:t>
      </w:r>
      <w:r w:rsidR="00335A99" w:rsidRPr="001C57AA">
        <w:t>di</w:t>
      </w:r>
      <w:r w:rsidR="00BC6EF8">
        <w:t>scussed</w:t>
      </w:r>
      <w:r w:rsidR="00B8262C">
        <w:t xml:space="preserve"> at Meeting 76 on 5 October and then</w:t>
      </w:r>
      <w:r w:rsidR="00BE0E26">
        <w:t xml:space="preserve"> voted </w:t>
      </w:r>
      <w:r w:rsidR="00335A99" w:rsidRPr="001C57AA">
        <w:t>at Meeting</w:t>
      </w:r>
      <w:r w:rsidR="00B8262C">
        <w:t xml:space="preserve"> 77</w:t>
      </w:r>
      <w:r w:rsidR="00123EC6" w:rsidRPr="001C57AA">
        <w:t xml:space="preserve"> </w:t>
      </w:r>
      <w:r w:rsidR="00335A99" w:rsidRPr="001C57AA">
        <w:t xml:space="preserve">on </w:t>
      </w:r>
      <w:r w:rsidR="00B8262C">
        <w:t>21 November</w:t>
      </w:r>
      <w:r w:rsidR="009F170F" w:rsidRPr="001C57AA">
        <w:t xml:space="preserve"> where it was </w:t>
      </w:r>
      <w:r w:rsidR="00EA3B42" w:rsidRPr="001C57AA">
        <w:t>voted on.</w:t>
      </w:r>
    </w:p>
    <w:p w:rsidR="00BE0E26" w:rsidRPr="001C57AA" w:rsidRDefault="00BE0E26" w:rsidP="0058374C">
      <w:pPr>
        <w:jc w:val="both"/>
        <w:rPr>
          <w:rFonts w:ascii="Calibri" w:hAnsi="Calibri" w:cs="Arial"/>
          <w:lang w:val="en-IE"/>
        </w:rPr>
      </w:pPr>
    </w:p>
    <w:p w:rsidR="009C65C6" w:rsidRPr="001C57AA" w:rsidRDefault="009408DE" w:rsidP="0039426D">
      <w:pPr>
        <w:pStyle w:val="Heading1"/>
        <w:pageBreakBefore w:val="0"/>
        <w:numPr>
          <w:ilvl w:val="0"/>
          <w:numId w:val="26"/>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01624687"/>
      <w:r w:rsidRPr="001C57AA">
        <w:rPr>
          <w:lang w:eastAsia="en-GB"/>
        </w:rPr>
        <w:t>PURPOSE OF PROPOSED MODIFICATION</w:t>
      </w:r>
      <w:bookmarkEnd w:id="26"/>
      <w:bookmarkEnd w:id="27"/>
      <w:bookmarkEnd w:id="28"/>
      <w:bookmarkEnd w:id="29"/>
      <w:bookmarkEnd w:id="30"/>
      <w:bookmarkEnd w:id="31"/>
      <w:bookmarkEnd w:id="32"/>
    </w:p>
    <w:p w:rsidR="00E41097" w:rsidRPr="001C57AA"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01624688"/>
      <w:bookmarkStart w:id="41" w:name="_Toc313526633"/>
      <w:bookmarkStart w:id="42" w:name="_Toc313526774"/>
      <w:bookmarkStart w:id="43" w:name="_Toc313526828"/>
      <w:bookmarkStart w:id="44" w:name="_Toc313526914"/>
      <w:bookmarkStart w:id="45" w:name="_Toc313527003"/>
      <w:bookmarkStart w:id="46" w:name="_Toc313527113"/>
      <w:r w:rsidRPr="001C57AA">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CD48B2" w:rsidRPr="001C57AA" w:rsidRDefault="00CD48B2" w:rsidP="00CD48B2">
      <w:pPr>
        <w:overflowPunct w:val="0"/>
        <w:autoSpaceDE w:val="0"/>
        <w:autoSpaceDN w:val="0"/>
        <w:adjustRightInd w:val="0"/>
        <w:spacing w:before="0" w:after="0" w:line="240" w:lineRule="auto"/>
        <w:textAlignment w:val="baseline"/>
      </w:pPr>
    </w:p>
    <w:p w:rsidR="00B8262C" w:rsidRPr="00B8262C" w:rsidRDefault="00B8262C" w:rsidP="00B8262C">
      <w:pPr>
        <w:spacing w:before="120" w:after="120" w:line="240" w:lineRule="auto"/>
        <w:jc w:val="both"/>
        <w:rPr>
          <w:rFonts w:cs="Arial"/>
          <w:lang w:val="en-IE"/>
        </w:rPr>
      </w:pPr>
      <w:r w:rsidRPr="00B8262C">
        <w:rPr>
          <w:rFonts w:cs="Arial"/>
          <w:lang w:val="en-IE"/>
        </w:rPr>
        <w:lastRenderedPageBreak/>
        <w:t>With the focus on the completion and approval of the main body of the TSC Part B (I-SEM arrangements) combined with, at the time, a lack of clarity on the transitional arrangements for credit cover, there is limited detail provided in the TSC on how SEM credit cover requirements will be managed during the transition from the TSC Part A (SEM) to TSC Part B (I-SEM) arrangements.</w:t>
      </w:r>
    </w:p>
    <w:p w:rsidR="00B8262C" w:rsidRPr="00B8262C" w:rsidRDefault="00B8262C" w:rsidP="00B8262C">
      <w:pPr>
        <w:spacing w:before="120" w:after="120" w:line="240" w:lineRule="auto"/>
        <w:jc w:val="both"/>
        <w:rPr>
          <w:rFonts w:cs="Arial"/>
          <w:lang w:val="en-IE"/>
        </w:rPr>
      </w:pPr>
    </w:p>
    <w:p w:rsidR="00B8262C" w:rsidRPr="00B8262C" w:rsidRDefault="00B8262C" w:rsidP="00B8262C">
      <w:pPr>
        <w:spacing w:before="120" w:after="120" w:line="240" w:lineRule="auto"/>
        <w:jc w:val="both"/>
        <w:rPr>
          <w:rFonts w:cs="Arial"/>
          <w:lang w:val="en-IE"/>
        </w:rPr>
      </w:pPr>
      <w:r w:rsidRPr="00B8262C">
        <w:rPr>
          <w:rFonts w:cs="Arial"/>
          <w:lang w:val="en-IE"/>
        </w:rPr>
        <w:t>There are certain elements of the enduring TSC that do not provide for the efficient transition of collateral requirements from the SEM to the I-SEM. For example, if enduring TSC rules were followed there would be a duplication of the collateral requirements and the need for separate cash collateral accounts and Letters of Credit to be setup for SEM and I-SEM Participants.</w:t>
      </w:r>
    </w:p>
    <w:p w:rsidR="00B8262C" w:rsidRPr="00B8262C" w:rsidRDefault="00B8262C" w:rsidP="00B8262C">
      <w:pPr>
        <w:spacing w:before="120" w:after="120" w:line="240" w:lineRule="auto"/>
        <w:jc w:val="both"/>
        <w:rPr>
          <w:rFonts w:cs="Arial"/>
          <w:lang w:val="en-IE"/>
        </w:rPr>
      </w:pPr>
    </w:p>
    <w:p w:rsidR="00B8262C" w:rsidRPr="00B8262C" w:rsidRDefault="00B8262C" w:rsidP="00B8262C">
      <w:pPr>
        <w:spacing w:before="120" w:after="120" w:line="240" w:lineRule="auto"/>
        <w:jc w:val="both"/>
        <w:rPr>
          <w:rFonts w:cs="Arial"/>
          <w:lang w:val="en-IE"/>
        </w:rPr>
      </w:pPr>
      <w:r w:rsidRPr="00B8262C">
        <w:rPr>
          <w:rFonts w:cs="Arial"/>
          <w:lang w:val="en-IE"/>
        </w:rPr>
        <w:t>In addition, there are certain elements of the enduring TSC that do not cater for the initial start of the I-SEM arrangements when certain information may not be available. For example, use of historical Imbalance Prices for the calculation of the Credit Assessment Price.</w:t>
      </w:r>
    </w:p>
    <w:p w:rsidR="00B8262C" w:rsidRPr="00B8262C" w:rsidRDefault="00B8262C" w:rsidP="00B8262C">
      <w:pPr>
        <w:spacing w:before="120" w:after="120" w:line="240" w:lineRule="auto"/>
        <w:jc w:val="both"/>
        <w:rPr>
          <w:rFonts w:cs="Arial"/>
          <w:lang w:val="en-IE"/>
        </w:rPr>
      </w:pPr>
      <w:r w:rsidRPr="00B8262C">
        <w:rPr>
          <w:rFonts w:cs="Arial"/>
          <w:lang w:val="en-IE"/>
        </w:rPr>
        <w:t>Participants have also become increasingly interested in what the Transitional Credit Cover Provisions are going to be in order to allow planning, preparation and compliance with the requirements.</w:t>
      </w:r>
    </w:p>
    <w:p w:rsidR="00B8262C" w:rsidRPr="00B8262C" w:rsidRDefault="00B8262C" w:rsidP="00B8262C">
      <w:pPr>
        <w:spacing w:before="120" w:after="120" w:line="240" w:lineRule="auto"/>
        <w:jc w:val="both"/>
        <w:rPr>
          <w:rFonts w:cs="Arial"/>
          <w:lang w:val="en-IE"/>
        </w:rPr>
      </w:pPr>
    </w:p>
    <w:p w:rsidR="00B8262C" w:rsidRPr="00B8262C" w:rsidRDefault="00B8262C" w:rsidP="00B8262C">
      <w:pPr>
        <w:spacing w:before="120" w:after="120" w:line="240" w:lineRule="auto"/>
        <w:jc w:val="both"/>
        <w:rPr>
          <w:rFonts w:cs="Arial"/>
          <w:lang w:val="en-IE"/>
        </w:rPr>
      </w:pPr>
      <w:r w:rsidRPr="00B8262C">
        <w:rPr>
          <w:rFonts w:cs="Arial"/>
          <w:lang w:val="en-IE"/>
        </w:rPr>
        <w:t>This modification provides a proposal to clarify the timelines, activities, methodologies and credit cover calculations over the transitional period.</w:t>
      </w:r>
    </w:p>
    <w:p w:rsidR="004A31C1" w:rsidRPr="001C57AA" w:rsidRDefault="004A31C1" w:rsidP="00CD48B2">
      <w:pPr>
        <w:spacing w:before="120" w:after="120" w:line="240" w:lineRule="auto"/>
        <w:jc w:val="both"/>
      </w:pPr>
    </w:p>
    <w:p w:rsidR="004A31C1" w:rsidRPr="001C57AA"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7" w:name="_Toc334796302"/>
      <w:bookmarkStart w:id="48" w:name="_Toc501624689"/>
      <w:r w:rsidRPr="001C57AA">
        <w:rPr>
          <w:b/>
          <w:bCs/>
          <w:caps/>
          <w:smallCaps/>
          <w:color w:val="1F497D"/>
          <w:spacing w:val="5"/>
          <w:sz w:val="22"/>
          <w:szCs w:val="22"/>
          <w:u w:val="single"/>
          <w:lang w:eastAsia="en-GB" w:bidi="ar-SA"/>
        </w:rPr>
        <w:t>3B.) Impact of not Implementing a Solution</w:t>
      </w:r>
      <w:bookmarkEnd w:id="47"/>
      <w:bookmarkEnd w:id="48"/>
    </w:p>
    <w:p w:rsidR="00B8262C" w:rsidRPr="00B8262C" w:rsidRDefault="00B8262C" w:rsidP="00B8262C">
      <w:pPr>
        <w:spacing w:before="120" w:after="120" w:line="240" w:lineRule="auto"/>
        <w:jc w:val="both"/>
        <w:rPr>
          <w:rFonts w:cs="Arial"/>
          <w:lang w:val="en-US"/>
        </w:rPr>
      </w:pPr>
      <w:r w:rsidRPr="00B8262C">
        <w:rPr>
          <w:rFonts w:cs="Arial"/>
          <w:lang w:val="en-US"/>
        </w:rPr>
        <w:t>The implications of not implementing transitional arrangements include:</w:t>
      </w:r>
    </w:p>
    <w:p w:rsidR="00B8262C" w:rsidRPr="00B8262C" w:rsidRDefault="00B8262C" w:rsidP="00B8262C">
      <w:pPr>
        <w:numPr>
          <w:ilvl w:val="0"/>
          <w:numId w:val="42"/>
        </w:numPr>
        <w:spacing w:before="120" w:after="120" w:line="240" w:lineRule="auto"/>
        <w:jc w:val="both"/>
        <w:rPr>
          <w:rFonts w:cs="Arial"/>
          <w:lang w:val="en-US"/>
        </w:rPr>
      </w:pPr>
      <w:r w:rsidRPr="00B8262C">
        <w:rPr>
          <w:rFonts w:cs="Arial"/>
          <w:lang w:val="en-US"/>
        </w:rPr>
        <w:t>Participants will need to maintain SEM collateral at levels higher than what is actually needed</w:t>
      </w:r>
    </w:p>
    <w:p w:rsidR="00B8262C" w:rsidRPr="00B8262C" w:rsidRDefault="00B8262C" w:rsidP="00B8262C">
      <w:pPr>
        <w:numPr>
          <w:ilvl w:val="0"/>
          <w:numId w:val="42"/>
        </w:numPr>
        <w:spacing w:before="120" w:after="120" w:line="240" w:lineRule="auto"/>
        <w:jc w:val="both"/>
        <w:rPr>
          <w:rFonts w:cs="Arial"/>
          <w:lang w:val="en-US"/>
        </w:rPr>
      </w:pPr>
      <w:r w:rsidRPr="00B8262C">
        <w:rPr>
          <w:rFonts w:cs="Arial"/>
          <w:lang w:val="en-US"/>
        </w:rPr>
        <w:t>The I-SEM may not be collateralized appropriately (given Credit Assessment Prices will not be able to be calculated as historical Imbalance Prices are not available) leading to increased risks of bad debt to Participants</w:t>
      </w:r>
    </w:p>
    <w:p w:rsidR="004A31C1" w:rsidRPr="001C57AA" w:rsidRDefault="00B8262C" w:rsidP="00B8262C">
      <w:pPr>
        <w:spacing w:before="120" w:after="120" w:line="240" w:lineRule="auto"/>
        <w:jc w:val="both"/>
      </w:pPr>
      <w:r w:rsidRPr="00B8262C">
        <w:rPr>
          <w:rFonts w:cs="Arial"/>
          <w:lang w:val="en-AU"/>
        </w:rPr>
        <w:t>Participants having limited time to put in place Initial Credit Cover Requirements for the I-SEM arrangements</w:t>
      </w:r>
    </w:p>
    <w:p w:rsidR="00E41097" w:rsidRPr="001C57AA"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9" w:name="_Toc334796303"/>
      <w:bookmarkStart w:id="50" w:name="_Toc501624690"/>
      <w:r w:rsidRPr="001C57AA">
        <w:rPr>
          <w:b/>
          <w:bCs/>
          <w:caps/>
          <w:smallCaps/>
          <w:color w:val="1F497D"/>
          <w:spacing w:val="5"/>
          <w:sz w:val="22"/>
          <w:szCs w:val="22"/>
          <w:u w:val="single"/>
          <w:lang w:eastAsia="en-GB" w:bidi="ar-SA"/>
        </w:rPr>
        <w:t>3c.) Impact on Code Objectives</w:t>
      </w:r>
      <w:bookmarkEnd w:id="49"/>
      <w:bookmarkEnd w:id="50"/>
    </w:p>
    <w:p w:rsidR="00B8262C" w:rsidRDefault="00B8262C" w:rsidP="00B8262C">
      <w:pPr>
        <w:overflowPunct w:val="0"/>
        <w:autoSpaceDE w:val="0"/>
        <w:autoSpaceDN w:val="0"/>
        <w:adjustRightInd w:val="0"/>
        <w:spacing w:before="0" w:after="0" w:line="240" w:lineRule="auto"/>
        <w:textAlignment w:val="baseline"/>
        <w:rPr>
          <w:rFonts w:cs="Arial"/>
          <w:lang w:val="en-US"/>
        </w:rPr>
      </w:pPr>
    </w:p>
    <w:p w:rsidR="00B8262C" w:rsidRPr="00B8262C" w:rsidRDefault="00B8262C" w:rsidP="00B8262C">
      <w:pPr>
        <w:overflowPunct w:val="0"/>
        <w:autoSpaceDE w:val="0"/>
        <w:autoSpaceDN w:val="0"/>
        <w:adjustRightInd w:val="0"/>
        <w:spacing w:before="0" w:after="0" w:line="240" w:lineRule="auto"/>
        <w:textAlignment w:val="baseline"/>
        <w:rPr>
          <w:rFonts w:cs="Arial"/>
          <w:lang w:val="en-US"/>
        </w:rPr>
      </w:pPr>
      <w:r w:rsidRPr="00B8262C">
        <w:rPr>
          <w:rFonts w:cs="Arial"/>
          <w:lang w:val="en-US"/>
        </w:rPr>
        <w:t>The implications of not implementing transitional arrangements include:</w:t>
      </w:r>
    </w:p>
    <w:p w:rsidR="00B8262C" w:rsidRPr="00B8262C" w:rsidRDefault="00B8262C" w:rsidP="00B8262C">
      <w:pPr>
        <w:numPr>
          <w:ilvl w:val="0"/>
          <w:numId w:val="48"/>
        </w:numPr>
        <w:spacing w:before="0" w:after="0" w:line="240" w:lineRule="auto"/>
        <w:rPr>
          <w:rFonts w:cs="Arial"/>
          <w:lang w:val="en-US"/>
        </w:rPr>
      </w:pPr>
      <w:r w:rsidRPr="00B8262C">
        <w:rPr>
          <w:rFonts w:cs="Arial"/>
          <w:lang w:val="en-US"/>
        </w:rPr>
        <w:t>Participants will need to maintain SEM collateral at levels higher than what is actually needed</w:t>
      </w:r>
    </w:p>
    <w:p w:rsidR="00B8262C" w:rsidRPr="00B8262C" w:rsidRDefault="00B8262C" w:rsidP="00B8262C">
      <w:pPr>
        <w:numPr>
          <w:ilvl w:val="0"/>
          <w:numId w:val="48"/>
        </w:numPr>
        <w:spacing w:before="0" w:after="0" w:line="240" w:lineRule="auto"/>
        <w:rPr>
          <w:rFonts w:cs="Arial"/>
          <w:lang w:val="en-US"/>
        </w:rPr>
      </w:pPr>
      <w:r w:rsidRPr="00B8262C">
        <w:rPr>
          <w:rFonts w:cs="Arial"/>
          <w:lang w:val="en-US"/>
        </w:rPr>
        <w:t>The I-SEM may not be collateralized appropriately (given Credit Assessment Prices will not be able to be calculated as historical Imbalance Prices are not available) leading to increased risks of bad debt to Participants</w:t>
      </w:r>
    </w:p>
    <w:p w:rsidR="00B8262C" w:rsidRPr="00B8262C" w:rsidRDefault="00B8262C" w:rsidP="00783D7D">
      <w:pPr>
        <w:spacing w:before="120" w:after="120" w:line="240" w:lineRule="auto"/>
        <w:jc w:val="both"/>
        <w:rPr>
          <w:rFonts w:cs="Arial"/>
          <w:lang w:val="en-US"/>
        </w:rPr>
      </w:pPr>
      <w:r w:rsidRPr="00B8262C">
        <w:rPr>
          <w:rFonts w:cs="Arial"/>
          <w:lang w:val="en-US"/>
        </w:rPr>
        <w:t>Participants having limited time to put in place Initial Credit Cover Requirements for the I-SEM arrangements</w:t>
      </w:r>
      <w:r>
        <w:rPr>
          <w:rFonts w:cs="Arial"/>
          <w:lang w:val="en-US"/>
        </w:rPr>
        <w:t>.</w:t>
      </w:r>
    </w:p>
    <w:p w:rsidR="00B74EB5" w:rsidRPr="001C57AA"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bookmarkStart w:id="59" w:name="_Toc501624691"/>
      <w:r w:rsidRPr="001C57AA">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1C57AA" w:rsidRDefault="005C7197" w:rsidP="00B74EB5">
      <w:r w:rsidRPr="001C57AA">
        <w:t>N/A</w:t>
      </w:r>
    </w:p>
    <w:p w:rsidR="00425E05" w:rsidRPr="001C57AA" w:rsidRDefault="00425E05" w:rsidP="00B74EB5">
      <w:pPr>
        <w:pStyle w:val="Heading1"/>
        <w:pageBreakBefore w:val="0"/>
        <w:numPr>
          <w:ilvl w:val="0"/>
          <w:numId w:val="29"/>
        </w:numPr>
        <w:rPr>
          <w:lang w:eastAsia="en-GB"/>
        </w:rPr>
      </w:pPr>
      <w:bookmarkStart w:id="60" w:name="_Toc501624692"/>
      <w:r w:rsidRPr="001C57AA">
        <w:rPr>
          <w:lang w:eastAsia="en-GB"/>
        </w:rPr>
        <w:t>Working Group and/or Consultation</w:t>
      </w:r>
      <w:bookmarkEnd w:id="41"/>
      <w:bookmarkEnd w:id="42"/>
      <w:bookmarkEnd w:id="43"/>
      <w:bookmarkEnd w:id="44"/>
      <w:bookmarkEnd w:id="45"/>
      <w:bookmarkEnd w:id="46"/>
      <w:bookmarkEnd w:id="60"/>
    </w:p>
    <w:p w:rsidR="00425E05" w:rsidRPr="001C57AA" w:rsidRDefault="00425E05" w:rsidP="00511493">
      <w:pPr>
        <w:jc w:val="both"/>
      </w:pPr>
      <w:r w:rsidRPr="001C57AA">
        <w:t>N/A</w:t>
      </w:r>
    </w:p>
    <w:p w:rsidR="00CD48B2" w:rsidRPr="001C57AA" w:rsidRDefault="00024548" w:rsidP="00CD48B2">
      <w:pPr>
        <w:pStyle w:val="Heading1"/>
        <w:pageBreakBefore w:val="0"/>
        <w:numPr>
          <w:ilvl w:val="0"/>
          <w:numId w:val="29"/>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01624693"/>
      <w:r w:rsidRPr="001C57AA">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D92A7D" w:rsidRPr="001C57AA" w:rsidRDefault="00D92A7D" w:rsidP="00D92A7D">
      <w:pPr>
        <w:jc w:val="both"/>
      </w:pPr>
      <w:r w:rsidRPr="001C57AA">
        <w:t>N/A</w:t>
      </w:r>
    </w:p>
    <w:p w:rsidR="00425E05" w:rsidRPr="001C57AA" w:rsidRDefault="00425E05" w:rsidP="00B74EB5">
      <w:pPr>
        <w:pStyle w:val="Heading1"/>
        <w:pageBreakBefore w:val="0"/>
        <w:numPr>
          <w:ilvl w:val="0"/>
          <w:numId w:val="29"/>
        </w:numPr>
        <w:rPr>
          <w:lang w:eastAsia="en-GB"/>
        </w:rPr>
      </w:pPr>
      <w:bookmarkStart w:id="74" w:name="_Toc501624694"/>
      <w:r w:rsidRPr="001C57AA">
        <w:rPr>
          <w:lang w:eastAsia="en-GB"/>
        </w:rPr>
        <w:lastRenderedPageBreak/>
        <w:t>Impact on other Codes/Documents</w:t>
      </w:r>
      <w:bookmarkEnd w:id="68"/>
      <w:bookmarkEnd w:id="69"/>
      <w:bookmarkEnd w:id="70"/>
      <w:bookmarkEnd w:id="71"/>
      <w:bookmarkEnd w:id="72"/>
      <w:bookmarkEnd w:id="73"/>
      <w:bookmarkEnd w:id="74"/>
    </w:p>
    <w:p w:rsidR="00425E05" w:rsidRPr="001C57AA" w:rsidRDefault="00425E05" w:rsidP="00511493">
      <w:pPr>
        <w:jc w:val="both"/>
      </w:pPr>
      <w:r w:rsidRPr="001C57AA">
        <w:t>N/A</w:t>
      </w:r>
    </w:p>
    <w:p w:rsidR="00F82A51" w:rsidRPr="001C57AA" w:rsidRDefault="00F82A51" w:rsidP="00B74EB5">
      <w:pPr>
        <w:pStyle w:val="Heading1"/>
        <w:pageBreakBefore w:val="0"/>
        <w:numPr>
          <w:ilvl w:val="0"/>
          <w:numId w:val="29"/>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01624695"/>
      <w:r w:rsidRPr="001C57AA">
        <w:rPr>
          <w:lang w:eastAsia="en-GB"/>
        </w:rPr>
        <w:t>MODIFICATION COMMITTEE VIEWS</w:t>
      </w:r>
      <w:bookmarkEnd w:id="75"/>
      <w:bookmarkEnd w:id="76"/>
      <w:bookmarkEnd w:id="77"/>
      <w:bookmarkEnd w:id="78"/>
      <w:bookmarkEnd w:id="79"/>
      <w:bookmarkEnd w:id="80"/>
      <w:bookmarkEnd w:id="81"/>
    </w:p>
    <w:p w:rsidR="002142FA" w:rsidRPr="001C57AA" w:rsidRDefault="002142FA" w:rsidP="002142FA">
      <w:pPr>
        <w:pStyle w:val="Heading2"/>
        <w:numPr>
          <w:ilvl w:val="0"/>
          <w:numId w:val="0"/>
        </w:numPr>
        <w:ind w:left="576" w:hanging="576"/>
        <w:rPr>
          <w:rStyle w:val="IntenseReference"/>
          <w:color w:val="1F497D"/>
        </w:rPr>
      </w:pPr>
      <w:bookmarkStart w:id="82" w:name="_Toc501624696"/>
      <w:bookmarkStart w:id="83" w:name="_Toc313526639"/>
      <w:bookmarkStart w:id="84" w:name="_Toc313526780"/>
      <w:bookmarkStart w:id="85" w:name="_Toc313526834"/>
      <w:bookmarkStart w:id="86" w:name="_Toc313526920"/>
      <w:bookmarkStart w:id="87" w:name="_Toc313527009"/>
      <w:bookmarkStart w:id="88" w:name="_Toc313527119"/>
      <w:r w:rsidRPr="001C57AA">
        <w:rPr>
          <w:rStyle w:val="IntenseReference"/>
          <w:color w:val="1F497D"/>
        </w:rPr>
        <w:t>Meetin</w:t>
      </w:r>
      <w:r w:rsidR="00E27504" w:rsidRPr="001C57AA">
        <w:rPr>
          <w:rStyle w:val="IntenseReference"/>
          <w:color w:val="1F497D"/>
        </w:rPr>
        <w:t xml:space="preserve">g </w:t>
      </w:r>
      <w:r w:rsidR="00E27504" w:rsidRPr="001C57AA">
        <w:rPr>
          <w:b/>
          <w:bCs/>
          <w:smallCaps/>
          <w:color w:val="1F497D"/>
          <w:spacing w:val="5"/>
          <w:u w:val="single"/>
        </w:rPr>
        <w:t xml:space="preserve"> </w:t>
      </w:r>
      <w:r w:rsidR="002E1957">
        <w:rPr>
          <w:b/>
          <w:bCs/>
          <w:smallCaps/>
          <w:color w:val="1F497D"/>
          <w:spacing w:val="5"/>
          <w:u w:val="single"/>
        </w:rPr>
        <w:t>76 – 5 october 2017</w:t>
      </w:r>
      <w:bookmarkEnd w:id="82"/>
    </w:p>
    <w:p w:rsidR="002E1957" w:rsidRDefault="002E1957" w:rsidP="002E1957">
      <w:pPr>
        <w:rPr>
          <w:lang w:eastAsia="en-GB"/>
        </w:rPr>
      </w:pPr>
    </w:p>
    <w:p w:rsidR="000C324B" w:rsidRDefault="000C324B" w:rsidP="000C324B">
      <w:pPr>
        <w:pStyle w:val="Bullet1"/>
        <w:numPr>
          <w:ilvl w:val="0"/>
          <w:numId w:val="0"/>
        </w:numPr>
      </w:pPr>
      <w:r>
        <w:t xml:space="preserve">Proposer delivered a </w:t>
      </w:r>
      <w:hyperlink r:id="rId12" w:history="1">
        <w:r w:rsidRPr="000A18AF">
          <w:rPr>
            <w:rStyle w:val="Hyperlink"/>
          </w:rPr>
          <w:t>presentation</w:t>
        </w:r>
      </w:hyperlink>
      <w:r>
        <w:t xml:space="preserve"> summarising the requirement for this proposal.</w:t>
      </w:r>
    </w:p>
    <w:p w:rsidR="000C324B" w:rsidRDefault="000C324B" w:rsidP="000C324B">
      <w:pPr>
        <w:pStyle w:val="Bullet1"/>
        <w:numPr>
          <w:ilvl w:val="0"/>
          <w:numId w:val="0"/>
        </w:numPr>
      </w:pPr>
    </w:p>
    <w:p w:rsidR="000C324B" w:rsidRDefault="000C324B" w:rsidP="000C324B">
      <w:pPr>
        <w:pStyle w:val="Bullet1"/>
        <w:numPr>
          <w:ilvl w:val="0"/>
          <w:numId w:val="0"/>
        </w:numPr>
        <w:tabs>
          <w:tab w:val="left" w:pos="720"/>
        </w:tabs>
      </w:pPr>
      <w:r>
        <w:t>The proposer discussed the background to why the modification was being raised and the need for it - specifically the need to have transitional arrangements in place for credit cover requirements in the transition from SEM to I-SEM. They described how the modification had developed further since submission on 5</w:t>
      </w:r>
      <w:r>
        <w:rPr>
          <w:vertAlign w:val="superscript"/>
        </w:rPr>
        <w:t>th</w:t>
      </w:r>
      <w:r>
        <w:t xml:space="preserve"> October - in order to further mitigate concerns about duplication of collateral, administrative burdens of the transition, and concerns over treatment of posted collateral in bad debt scenarios. The proposer then provided details of the ‘enhanced’ modification and how it improved the original modification proposal. The proposer then requested the modifications committee to confirm the modification was developing, in principle,  in the right direction before undertaking the detailed legal drafting. Next steps were to provide the updated modification, with the enhanced details and the legal text drafting, before the next modifications committee meeting in November. </w:t>
      </w:r>
    </w:p>
    <w:p w:rsidR="000C324B" w:rsidRDefault="000C324B" w:rsidP="000C324B">
      <w:pPr>
        <w:pStyle w:val="Bullet1"/>
        <w:numPr>
          <w:ilvl w:val="0"/>
          <w:numId w:val="0"/>
        </w:numPr>
      </w:pPr>
    </w:p>
    <w:p w:rsidR="000C324B" w:rsidRDefault="000C324B" w:rsidP="000C324B">
      <w:pPr>
        <w:pStyle w:val="Bullet1"/>
        <w:numPr>
          <w:ilvl w:val="0"/>
          <w:numId w:val="0"/>
        </w:numPr>
      </w:pPr>
      <w:r>
        <w:t>Chair confirmed that the committee felt the proposal was being developed in the right direction with all members welcoming a reduction in collateral requirements but asked if the issue of due diligence could be further clarified.  It was noted that a week review period would be sought for the revised proposal and all members were asked to take the proposal in house and discuss with a view to progressing the proposal at the next meeting.</w:t>
      </w:r>
    </w:p>
    <w:p w:rsidR="000C324B" w:rsidRDefault="000C324B" w:rsidP="000C324B">
      <w:pPr>
        <w:pStyle w:val="Bullet1"/>
        <w:numPr>
          <w:ilvl w:val="0"/>
          <w:numId w:val="0"/>
        </w:numPr>
      </w:pPr>
    </w:p>
    <w:p w:rsidR="000C324B" w:rsidRPr="00806B69" w:rsidRDefault="000C324B" w:rsidP="000C324B">
      <w:pPr>
        <w:pStyle w:val="Bullet1"/>
        <w:numPr>
          <w:ilvl w:val="0"/>
          <w:numId w:val="0"/>
        </w:numPr>
        <w:ind w:left="1080"/>
        <w:jc w:val="both"/>
      </w:pPr>
      <w:r w:rsidRPr="00806B69">
        <w:rPr>
          <w:b/>
        </w:rPr>
        <w:t>Actions :</w:t>
      </w:r>
      <w:r w:rsidRPr="00806B69">
        <w:t xml:space="preserve"> </w:t>
      </w:r>
    </w:p>
    <w:p w:rsidR="000C324B" w:rsidRPr="000C324B" w:rsidRDefault="000C324B" w:rsidP="000C324B">
      <w:pPr>
        <w:pStyle w:val="Bullet1"/>
        <w:numPr>
          <w:ilvl w:val="0"/>
          <w:numId w:val="24"/>
        </w:numPr>
        <w:jc w:val="both"/>
      </w:pPr>
      <w:r>
        <w:t xml:space="preserve">Members to review the additional detail provided in the presentation and submit any questions or feedback to </w:t>
      </w:r>
      <w:hyperlink r:id="rId13" w:history="1">
        <w:r w:rsidRPr="00964829">
          <w:rPr>
            <w:rStyle w:val="Hyperlink"/>
          </w:rPr>
          <w:t>modifications@sem-o.com</w:t>
        </w:r>
      </w:hyperlink>
      <w:r>
        <w:t xml:space="preserve"> for inclusion in the development of version 2.0 of the proposal – </w:t>
      </w:r>
      <w:r w:rsidR="00444D2E">
        <w:rPr>
          <w:b/>
        </w:rPr>
        <w:t>Closed</w:t>
      </w:r>
    </w:p>
    <w:p w:rsidR="00D92A7D" w:rsidRDefault="000C324B" w:rsidP="000C324B">
      <w:pPr>
        <w:pStyle w:val="Bullet1"/>
        <w:numPr>
          <w:ilvl w:val="0"/>
          <w:numId w:val="24"/>
        </w:numPr>
        <w:jc w:val="both"/>
      </w:pPr>
      <w:r w:rsidRPr="000C324B">
        <w:t xml:space="preserve">Proposer to develop version 2.0 of the proposal and issue to the committee for a 1 week review in advance of the next meeting - </w:t>
      </w:r>
      <w:r w:rsidR="00444D2E">
        <w:rPr>
          <w:b/>
        </w:rPr>
        <w:t>Closed</w:t>
      </w:r>
    </w:p>
    <w:p w:rsidR="000C324B" w:rsidRDefault="000C324B" w:rsidP="002E1957">
      <w:pPr>
        <w:rPr>
          <w:lang w:eastAsia="en-GB"/>
        </w:rPr>
      </w:pPr>
      <w:r>
        <w:rPr>
          <w:lang w:eastAsia="en-GB"/>
        </w:rPr>
        <w:t>The proposal was deferred.</w:t>
      </w:r>
    </w:p>
    <w:p w:rsidR="000C324B" w:rsidRPr="001C57AA" w:rsidRDefault="000C324B" w:rsidP="000C324B">
      <w:pPr>
        <w:pStyle w:val="Heading2"/>
        <w:numPr>
          <w:ilvl w:val="0"/>
          <w:numId w:val="0"/>
        </w:numPr>
        <w:ind w:left="576" w:hanging="576"/>
        <w:rPr>
          <w:rStyle w:val="IntenseReference"/>
          <w:color w:val="1F497D"/>
        </w:rPr>
      </w:pPr>
      <w:bookmarkStart w:id="89" w:name="_Toc501624697"/>
      <w:r w:rsidRPr="001C57AA">
        <w:rPr>
          <w:rStyle w:val="IntenseReference"/>
          <w:color w:val="1F497D"/>
        </w:rPr>
        <w:t xml:space="preserve">Meeting </w:t>
      </w:r>
      <w:r w:rsidRPr="001C57AA">
        <w:rPr>
          <w:b/>
          <w:bCs/>
          <w:smallCaps/>
          <w:color w:val="1F497D"/>
          <w:spacing w:val="5"/>
          <w:u w:val="single"/>
        </w:rPr>
        <w:t xml:space="preserve"> </w:t>
      </w:r>
      <w:r>
        <w:rPr>
          <w:b/>
          <w:bCs/>
          <w:smallCaps/>
          <w:color w:val="1F497D"/>
          <w:spacing w:val="5"/>
          <w:u w:val="single"/>
        </w:rPr>
        <w:t>77 – 21 November 2017</w:t>
      </w:r>
      <w:bookmarkEnd w:id="89"/>
    </w:p>
    <w:p w:rsidR="000C324B" w:rsidRDefault="000C324B" w:rsidP="002E1957">
      <w:pPr>
        <w:rPr>
          <w:lang w:eastAsia="en-GB"/>
        </w:rPr>
      </w:pPr>
    </w:p>
    <w:p w:rsidR="00132121" w:rsidRDefault="00132121" w:rsidP="00132121">
      <w:r>
        <w:t>Proposer delivered a presentation covering areas such as the possible magnitude of credit required and the beneficial rationale for removing duplication of collateral requirements.  There was unanimous support for the proposal however further clarification remains sought in the following areas –</w:t>
      </w:r>
    </w:p>
    <w:p w:rsidR="00132121" w:rsidRDefault="00132121" w:rsidP="00132121">
      <w:pPr>
        <w:pStyle w:val="ListParagraph"/>
        <w:numPr>
          <w:ilvl w:val="0"/>
          <w:numId w:val="39"/>
        </w:numPr>
        <w:spacing w:before="0" w:after="0" w:line="240" w:lineRule="auto"/>
      </w:pPr>
      <w:r w:rsidRPr="00C434D2">
        <w:t>Legal implications  of deed of charge references to Part A</w:t>
      </w:r>
    </w:p>
    <w:p w:rsidR="00444D2E" w:rsidRPr="00444D2E" w:rsidRDefault="00444D2E" w:rsidP="00444D2E">
      <w:pPr>
        <w:pStyle w:val="ListParagraph"/>
        <w:rPr>
          <w:rFonts w:cs="Arial"/>
          <w:color w:val="4F81BD"/>
        </w:rPr>
      </w:pPr>
      <w:r>
        <w:rPr>
          <w:rFonts w:cs="Arial"/>
          <w:color w:val="4F81BD"/>
        </w:rPr>
        <w:t>The deed of charge does not need to be amended or renewed should Part A of the Code be removed. The deeds would still be enforceable.</w:t>
      </w:r>
    </w:p>
    <w:p w:rsidR="00132121" w:rsidRDefault="00132121" w:rsidP="00132121">
      <w:pPr>
        <w:pStyle w:val="ListParagraph"/>
        <w:numPr>
          <w:ilvl w:val="0"/>
          <w:numId w:val="39"/>
        </w:numPr>
        <w:spacing w:before="0" w:after="0" w:line="240" w:lineRule="auto"/>
      </w:pPr>
      <w:r w:rsidRPr="00C434D2">
        <w:t>Query as to whether older deeds can be released once new deed implemented</w:t>
      </w:r>
    </w:p>
    <w:p w:rsidR="00444D2E" w:rsidRPr="00C434D2" w:rsidRDefault="00444D2E" w:rsidP="00444D2E">
      <w:pPr>
        <w:pStyle w:val="ListParagraph"/>
        <w:spacing w:before="0" w:after="0" w:line="240" w:lineRule="auto"/>
      </w:pPr>
      <w:r>
        <w:rPr>
          <w:rFonts w:cs="Arial"/>
          <w:color w:val="4F81BD"/>
        </w:rPr>
        <w:t>Older deeds could be released, but there is a significant cost associated with these. ~100-200 Euro per Deed</w:t>
      </w:r>
    </w:p>
    <w:p w:rsidR="00132121" w:rsidRDefault="00132121" w:rsidP="00132121">
      <w:pPr>
        <w:pStyle w:val="ListParagraph"/>
        <w:numPr>
          <w:ilvl w:val="0"/>
          <w:numId w:val="39"/>
        </w:numPr>
        <w:spacing w:before="0" w:after="0" w:line="240" w:lineRule="auto"/>
      </w:pPr>
      <w:r w:rsidRPr="00C434D2">
        <w:t>Document requested to provide clarity regarding mapping of IDs from SEM to I-SEM</w:t>
      </w:r>
    </w:p>
    <w:p w:rsidR="00444D2E" w:rsidRPr="00444D2E" w:rsidRDefault="00444D2E" w:rsidP="00444D2E">
      <w:pPr>
        <w:pStyle w:val="ListParagraph"/>
        <w:numPr>
          <w:ilvl w:val="0"/>
          <w:numId w:val="39"/>
        </w:numPr>
        <w:rPr>
          <w:rFonts w:cs="Arial"/>
          <w:color w:val="4F81BD"/>
        </w:rPr>
      </w:pPr>
      <w:r w:rsidRPr="00444D2E">
        <w:rPr>
          <w:rFonts w:cs="Arial"/>
          <w:color w:val="4F81BD"/>
        </w:rPr>
        <w:lastRenderedPageBreak/>
        <w:t>This will be provided to Parties on request as part of the process of signing up for the interim transfer facility</w:t>
      </w:r>
    </w:p>
    <w:p w:rsidR="00132121" w:rsidRDefault="00132121" w:rsidP="00132121">
      <w:pPr>
        <w:pStyle w:val="ListParagraph"/>
        <w:numPr>
          <w:ilvl w:val="0"/>
          <w:numId w:val="39"/>
        </w:numPr>
        <w:spacing w:before="0" w:after="0" w:line="240" w:lineRule="auto"/>
      </w:pPr>
      <w:r w:rsidRPr="00C434D2">
        <w:t>Check</w:t>
      </w:r>
      <w:r>
        <w:t>/amend</w:t>
      </w:r>
      <w:r w:rsidRPr="00C434D2">
        <w:t xml:space="preserve"> typo error in legal text</w:t>
      </w:r>
      <w:r>
        <w:t xml:space="preserve"> of summation subscript clause 11.3.4 </w:t>
      </w:r>
    </w:p>
    <w:p w:rsidR="00444D2E" w:rsidRPr="00444D2E" w:rsidRDefault="00444D2E" w:rsidP="00444D2E">
      <w:pPr>
        <w:pStyle w:val="ListParagraph"/>
        <w:rPr>
          <w:rFonts w:cs="Arial"/>
          <w:color w:val="4F81BD"/>
        </w:rPr>
      </w:pPr>
      <w:r>
        <w:rPr>
          <w:rFonts w:cs="Arial"/>
          <w:color w:val="4F81BD"/>
        </w:rPr>
        <w:t>This will be confirmed as corrected as part of the final version published with the FRR.</w:t>
      </w:r>
    </w:p>
    <w:p w:rsidR="00132121" w:rsidRDefault="00132121" w:rsidP="00132121">
      <w:pPr>
        <w:pStyle w:val="ListParagraph"/>
        <w:numPr>
          <w:ilvl w:val="0"/>
          <w:numId w:val="39"/>
        </w:numPr>
        <w:spacing w:before="0" w:after="0" w:line="240" w:lineRule="auto"/>
      </w:pPr>
      <w:r>
        <w:t>Provide document summarising business process with timelines</w:t>
      </w:r>
    </w:p>
    <w:p w:rsidR="00444D2E" w:rsidRPr="001C57AA" w:rsidRDefault="00444D2E" w:rsidP="00444D2E">
      <w:pPr>
        <w:pStyle w:val="ListParagraph"/>
        <w:spacing w:before="0" w:after="0" w:line="240" w:lineRule="auto"/>
      </w:pPr>
      <w:r w:rsidRPr="00444D2E">
        <w:rPr>
          <w:rFonts w:cs="Arial"/>
          <w:color w:val="4F81BD"/>
        </w:rPr>
        <w:t>This will be provided to as part of the ‘application pack’ for the interim transfer facility which will be issued in December</w:t>
      </w:r>
      <w:r>
        <w:rPr>
          <w:rFonts w:cs="Arial"/>
          <w:color w:val="4F81BD"/>
        </w:rPr>
        <w:t>.</w:t>
      </w:r>
    </w:p>
    <w:p w:rsidR="00444D2E" w:rsidRPr="00C434D2" w:rsidRDefault="00444D2E" w:rsidP="00444D2E">
      <w:pPr>
        <w:pStyle w:val="ListParagraph"/>
        <w:spacing w:before="0" w:after="0" w:line="240" w:lineRule="auto"/>
      </w:pPr>
    </w:p>
    <w:p w:rsidR="00132121" w:rsidRDefault="00132121" w:rsidP="00132121">
      <w:r>
        <w:t xml:space="preserve">Committee were happy to vote subject to satisfactory resolution of the queries stated above.  Proposer to resolve </w:t>
      </w:r>
      <w:r w:rsidR="00BC6EF8">
        <w:t>all queries as soon as possible.</w:t>
      </w:r>
    </w:p>
    <w:p w:rsidR="00132121" w:rsidRDefault="00132121" w:rsidP="00132121">
      <w:pPr>
        <w:pStyle w:val="Bullet1"/>
        <w:numPr>
          <w:ilvl w:val="0"/>
          <w:numId w:val="0"/>
        </w:numPr>
        <w:spacing w:line="360" w:lineRule="auto"/>
        <w:ind w:left="360" w:hanging="360"/>
        <w:jc w:val="both"/>
      </w:pPr>
    </w:p>
    <w:p w:rsidR="000C324B" w:rsidRPr="00BC6EF8" w:rsidRDefault="00132121" w:rsidP="00BC6EF8">
      <w:pPr>
        <w:pStyle w:val="Bullet1"/>
        <w:numPr>
          <w:ilvl w:val="0"/>
          <w:numId w:val="0"/>
        </w:numPr>
        <w:spacing w:line="360" w:lineRule="auto"/>
        <w:ind w:left="360" w:hanging="360"/>
        <w:jc w:val="both"/>
      </w:pPr>
      <w:r>
        <w:t>The proposal was Recommended for Approval.</w:t>
      </w:r>
    </w:p>
    <w:p w:rsidR="00D92A7D" w:rsidRPr="001C57AA" w:rsidRDefault="00D92A7D" w:rsidP="00D92A7D">
      <w:pPr>
        <w:jc w:val="both"/>
        <w:rPr>
          <w:lang w:eastAsia="en-GB"/>
        </w:rPr>
      </w:pPr>
    </w:p>
    <w:p w:rsidR="001D05B9" w:rsidRPr="001C57AA" w:rsidRDefault="00425E05" w:rsidP="00B74EB5">
      <w:pPr>
        <w:pStyle w:val="Heading1"/>
        <w:pageBreakBefore w:val="0"/>
        <w:numPr>
          <w:ilvl w:val="0"/>
          <w:numId w:val="29"/>
        </w:numPr>
        <w:rPr>
          <w:lang w:eastAsia="en-GB"/>
        </w:rPr>
      </w:pPr>
      <w:bookmarkStart w:id="90" w:name="_Toc501624698"/>
      <w:r w:rsidRPr="001C57AA">
        <w:rPr>
          <w:lang w:eastAsia="en-GB"/>
        </w:rPr>
        <w:t>Proposed Legal Drafting</w:t>
      </w:r>
      <w:bookmarkStart w:id="91" w:name="_Toc313526640"/>
      <w:bookmarkStart w:id="92" w:name="_Toc313526781"/>
      <w:bookmarkStart w:id="93" w:name="_Toc313526835"/>
      <w:bookmarkStart w:id="94" w:name="_Toc313526921"/>
      <w:bookmarkStart w:id="95" w:name="_Toc313527010"/>
      <w:bookmarkStart w:id="96" w:name="_Toc313527120"/>
      <w:bookmarkStart w:id="97" w:name="_Toc313527138"/>
      <w:bookmarkEnd w:id="83"/>
      <w:bookmarkEnd w:id="84"/>
      <w:bookmarkEnd w:id="85"/>
      <w:bookmarkEnd w:id="86"/>
      <w:bookmarkEnd w:id="87"/>
      <w:bookmarkEnd w:id="88"/>
      <w:bookmarkEnd w:id="90"/>
    </w:p>
    <w:p w:rsidR="001A5943" w:rsidRPr="001C57AA" w:rsidRDefault="007B579F" w:rsidP="00A42814">
      <w:pPr>
        <w:jc w:val="both"/>
      </w:pPr>
      <w:r w:rsidRPr="001C57AA">
        <w:t>As</w:t>
      </w:r>
      <w:r w:rsidR="003131F6" w:rsidRPr="001C57AA">
        <w:t xml:space="preserve"> </w:t>
      </w:r>
      <w:r w:rsidR="00C05C07" w:rsidRPr="001C57AA">
        <w:t xml:space="preserve">set out </w:t>
      </w:r>
      <w:r w:rsidR="009D7D22" w:rsidRPr="001C57AA">
        <w:t>in Appendix 1</w:t>
      </w:r>
      <w:r w:rsidR="00633688">
        <w:t xml:space="preserve"> </w:t>
      </w:r>
      <w:r w:rsidR="009D7D22" w:rsidRPr="001C57AA">
        <w:t>below.</w:t>
      </w:r>
    </w:p>
    <w:p w:rsidR="00132649" w:rsidRPr="001C57AA" w:rsidRDefault="00F62FEB" w:rsidP="00B74EB5">
      <w:pPr>
        <w:pStyle w:val="Heading1"/>
        <w:pageBreakBefore w:val="0"/>
        <w:numPr>
          <w:ilvl w:val="0"/>
          <w:numId w:val="29"/>
        </w:numPr>
        <w:rPr>
          <w:bCs w:val="0"/>
          <w:smallCaps/>
          <w:lang w:eastAsia="en-GB"/>
        </w:rPr>
      </w:pPr>
      <w:bookmarkStart w:id="98" w:name="_Toc334022099"/>
      <w:bookmarkEnd w:id="98"/>
      <w:r w:rsidRPr="001C57AA">
        <w:rPr>
          <w:bCs w:val="0"/>
          <w:smallCaps/>
          <w:lang w:eastAsia="en-GB"/>
        </w:rPr>
        <w:t xml:space="preserve"> </w:t>
      </w:r>
      <w:bookmarkStart w:id="99" w:name="_Toc501624699"/>
      <w:r w:rsidR="00132649" w:rsidRPr="001C57AA">
        <w:rPr>
          <w:bCs w:val="0"/>
          <w:smallCaps/>
          <w:lang w:eastAsia="en-GB"/>
        </w:rPr>
        <w:t>LEGAL REVIEW</w:t>
      </w:r>
      <w:bookmarkEnd w:id="91"/>
      <w:bookmarkEnd w:id="92"/>
      <w:bookmarkEnd w:id="93"/>
      <w:bookmarkEnd w:id="94"/>
      <w:bookmarkEnd w:id="95"/>
      <w:bookmarkEnd w:id="96"/>
      <w:bookmarkEnd w:id="97"/>
      <w:bookmarkEnd w:id="99"/>
    </w:p>
    <w:p w:rsidR="00E27EE5" w:rsidRPr="001C57AA" w:rsidRDefault="00101D9E" w:rsidP="009C65C6">
      <w:pPr>
        <w:pStyle w:val="Bullet1"/>
        <w:numPr>
          <w:ilvl w:val="0"/>
          <w:numId w:val="0"/>
        </w:numPr>
        <w:jc w:val="both"/>
        <w:rPr>
          <w:color w:val="000000"/>
        </w:rPr>
      </w:pPr>
      <w:r>
        <w:rPr>
          <w:color w:val="000000"/>
        </w:rPr>
        <w:t>N/A</w:t>
      </w:r>
    </w:p>
    <w:p w:rsidR="005726DA" w:rsidRPr="00B1435D" w:rsidRDefault="0095699F" w:rsidP="00B74EB5">
      <w:pPr>
        <w:pStyle w:val="Heading1"/>
        <w:pageBreakBefore w:val="0"/>
        <w:numPr>
          <w:ilvl w:val="0"/>
          <w:numId w:val="29"/>
        </w:numPr>
        <w:rPr>
          <w:lang w:eastAsia="en-GB"/>
        </w:rPr>
      </w:pPr>
      <w:bookmarkStart w:id="100" w:name="_Toc313526641"/>
      <w:bookmarkStart w:id="101" w:name="_Toc313526782"/>
      <w:bookmarkStart w:id="102" w:name="_Toc313526836"/>
      <w:bookmarkStart w:id="103" w:name="_Toc313526922"/>
      <w:bookmarkStart w:id="104" w:name="_Toc313527011"/>
      <w:bookmarkStart w:id="105" w:name="_Toc313527121"/>
      <w:bookmarkStart w:id="106" w:name="_Toc501624700"/>
      <w:r w:rsidRPr="0095699F">
        <w:rPr>
          <w:lang w:eastAsia="en-GB"/>
        </w:rPr>
        <w:t>IMPLEMENTATION TIMESCALE</w:t>
      </w:r>
      <w:bookmarkEnd w:id="100"/>
      <w:bookmarkEnd w:id="101"/>
      <w:bookmarkEnd w:id="102"/>
      <w:bookmarkEnd w:id="103"/>
      <w:bookmarkEnd w:id="104"/>
      <w:bookmarkEnd w:id="105"/>
      <w:bookmarkEnd w:id="106"/>
    </w:p>
    <w:p w:rsidR="00712760" w:rsidRPr="005746C3" w:rsidRDefault="00712760" w:rsidP="00712760">
      <w:pPr>
        <w:jc w:val="both"/>
        <w:rPr>
          <w:rFonts w:cs="Arial"/>
          <w:color w:val="000000"/>
        </w:rPr>
      </w:pPr>
      <w:r w:rsidRPr="005746C3">
        <w:rPr>
          <w:rFonts w:cs="Arial"/>
          <w:color w:val="000000"/>
        </w:rPr>
        <w:t>It is proposed that this Modification</w:t>
      </w:r>
      <w:r>
        <w:rPr>
          <w:rFonts w:cs="Arial"/>
          <w:color w:val="000000"/>
        </w:rPr>
        <w:t xml:space="preserve"> is implemented on a Trading </w:t>
      </w:r>
      <w:r w:rsidRPr="005746C3">
        <w:rPr>
          <w:rFonts w:cs="Arial"/>
          <w:color w:val="000000"/>
        </w:rPr>
        <w:t xml:space="preserve">Day basis with effect from one Working Day after an RA Decision. </w:t>
      </w:r>
    </w:p>
    <w:p w:rsidR="004E6B18" w:rsidRDefault="004E6B18" w:rsidP="00E45BBF">
      <w:pPr>
        <w:spacing w:before="0" w:after="0" w:line="240" w:lineRule="auto"/>
      </w:pPr>
    </w:p>
    <w:p w:rsidR="00847E74" w:rsidRDefault="00EF13E3" w:rsidP="00E45BBF">
      <w:pPr>
        <w:pStyle w:val="Heading1"/>
        <w:spacing w:after="200"/>
        <w:rPr>
          <w:rFonts w:cs="Arial"/>
          <w:sz w:val="16"/>
          <w:szCs w:val="16"/>
          <w:lang w:val="en-US"/>
        </w:rPr>
      </w:pPr>
      <w:bookmarkStart w:id="107" w:name="_Toc359934986"/>
      <w:bookmarkStart w:id="108" w:name="_Toc380138275"/>
      <w:bookmarkStart w:id="109" w:name="_Toc501624701"/>
      <w:r w:rsidRPr="001C57AA">
        <w:rPr>
          <w:lang w:eastAsia="en-GB"/>
        </w:rPr>
        <w:lastRenderedPageBreak/>
        <w:t xml:space="preserve">Appendix 1: </w:t>
      </w:r>
      <w:bookmarkEnd w:id="107"/>
      <w:bookmarkEnd w:id="108"/>
      <w:r w:rsidR="00E45BBF" w:rsidRPr="001C57AA">
        <w:rPr>
          <w:lang w:eastAsia="en-GB"/>
        </w:rPr>
        <w:t>Mod_</w:t>
      </w:r>
      <w:r w:rsidR="000C324B">
        <w:rPr>
          <w:lang w:eastAsia="en-GB"/>
        </w:rPr>
        <w:t>06</w:t>
      </w:r>
      <w:r w:rsidR="001C57AA">
        <w:rPr>
          <w:lang w:eastAsia="en-GB"/>
        </w:rPr>
        <w:t>_17</w:t>
      </w:r>
      <w:r w:rsidR="00BC6EF8">
        <w:rPr>
          <w:lang w:eastAsia="en-GB"/>
        </w:rPr>
        <w:t xml:space="preserve"> version 2.0</w:t>
      </w:r>
      <w:r w:rsidR="00E45BBF" w:rsidRPr="001C57AA">
        <w:rPr>
          <w:lang w:eastAsia="en-GB"/>
        </w:rPr>
        <w:t xml:space="preserve">: </w:t>
      </w:r>
      <w:r w:rsidR="000C324B">
        <w:rPr>
          <w:lang w:eastAsia="en-GB"/>
        </w:rPr>
        <w:t>Transitional credit cover provisions</w:t>
      </w:r>
      <w:bookmarkEnd w:id="109"/>
    </w:p>
    <w:p w:rsidR="00847E74" w:rsidRDefault="00847E74" w:rsidP="00847E74">
      <w:pPr>
        <w:rPr>
          <w:lang w:val="en-US"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847E74" w:rsidRPr="004C53E7" w:rsidTr="00915F97">
        <w:tc>
          <w:tcPr>
            <w:tcW w:w="9243" w:type="dxa"/>
            <w:gridSpan w:val="6"/>
            <w:shd w:val="clear" w:color="auto" w:fill="548DD4"/>
            <w:vAlign w:val="center"/>
          </w:tcPr>
          <w:p w:rsidR="00847E74" w:rsidRPr="004C53E7" w:rsidRDefault="00847E74" w:rsidP="00915F97">
            <w:pPr>
              <w:jc w:val="center"/>
              <w:rPr>
                <w:rFonts w:ascii="Calibri" w:hAnsi="Calibri" w:cs="Arial"/>
                <w:lang w:val="en-IE"/>
              </w:rPr>
            </w:pPr>
          </w:p>
          <w:p w:rsidR="00847E74" w:rsidRPr="004C53E7" w:rsidRDefault="00847E74" w:rsidP="00915F97">
            <w:pPr>
              <w:jc w:val="center"/>
              <w:rPr>
                <w:rFonts w:ascii="Calibri" w:hAnsi="Calibri" w:cs="Arial"/>
                <w:lang w:val="en-IE"/>
              </w:rPr>
            </w:pPr>
            <w:r w:rsidRPr="004C53E7">
              <w:rPr>
                <w:rFonts w:ascii="Calibri" w:hAnsi="Calibri" w:cs="Arial"/>
                <w:b/>
                <w:lang w:val="en-IE"/>
              </w:rPr>
              <w:t>MODIFICATION PROPOSAL FORM</w:t>
            </w:r>
          </w:p>
          <w:p w:rsidR="00847E74" w:rsidRPr="004C53E7" w:rsidRDefault="00847E74" w:rsidP="00915F97">
            <w:pPr>
              <w:jc w:val="center"/>
              <w:rPr>
                <w:rFonts w:ascii="Calibri" w:hAnsi="Calibri" w:cs="Arial"/>
                <w:lang w:val="en-IE"/>
              </w:rPr>
            </w:pPr>
          </w:p>
        </w:tc>
      </w:tr>
      <w:tr w:rsidR="00847E74" w:rsidRPr="004C53E7" w:rsidTr="00915F97">
        <w:tc>
          <w:tcPr>
            <w:tcW w:w="2088" w:type="dxa"/>
            <w:vAlign w:val="center"/>
          </w:tcPr>
          <w:p w:rsidR="00847E74" w:rsidRPr="004C53E7" w:rsidRDefault="00847E74" w:rsidP="00915F97">
            <w:pPr>
              <w:jc w:val="center"/>
              <w:rPr>
                <w:rFonts w:cs="Arial"/>
                <w:b/>
                <w:bCs/>
                <w:sz w:val="18"/>
                <w:szCs w:val="18"/>
                <w:lang w:val="en-IE"/>
              </w:rPr>
            </w:pPr>
            <w:r w:rsidRPr="004C53E7">
              <w:rPr>
                <w:rFonts w:cs="Arial"/>
                <w:b/>
                <w:bCs/>
                <w:sz w:val="18"/>
                <w:szCs w:val="18"/>
                <w:lang w:val="en-IE"/>
              </w:rPr>
              <w:t>Proposer</w:t>
            </w:r>
          </w:p>
          <w:p w:rsidR="00847E74" w:rsidRPr="004C53E7" w:rsidRDefault="00847E74" w:rsidP="00915F97">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Date of receipt</w:t>
            </w:r>
          </w:p>
          <w:p w:rsidR="00847E74" w:rsidRPr="004C53E7" w:rsidRDefault="00847E74" w:rsidP="00915F97">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Type of Proposal</w:t>
            </w:r>
          </w:p>
          <w:p w:rsidR="00847E74" w:rsidRPr="004C53E7" w:rsidRDefault="00847E74" w:rsidP="00915F97">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847E74" w:rsidRPr="004C53E7" w:rsidRDefault="00847E74" w:rsidP="00915F97">
            <w:pPr>
              <w:jc w:val="center"/>
              <w:rPr>
                <w:rFonts w:ascii="Calibri" w:hAnsi="Calibri" w:cs="Arial"/>
                <w:color w:val="000000"/>
                <w:lang w:val="en-IE"/>
              </w:rPr>
            </w:pPr>
            <w:r w:rsidRPr="004C53E7">
              <w:rPr>
                <w:rFonts w:ascii="Calibri" w:hAnsi="Calibri" w:cs="Arial"/>
                <w:b/>
                <w:bCs/>
                <w:color w:val="000000"/>
                <w:lang w:val="en-IE"/>
              </w:rPr>
              <w:t>Modification Proposal ID</w:t>
            </w:r>
          </w:p>
          <w:p w:rsidR="00847E74" w:rsidRPr="004C53E7" w:rsidRDefault="00847E74" w:rsidP="00915F97">
            <w:pPr>
              <w:jc w:val="center"/>
              <w:rPr>
                <w:rFonts w:ascii="Calibri" w:hAnsi="Calibri" w:cs="Arial"/>
                <w:lang w:val="en-IE"/>
              </w:rPr>
            </w:pPr>
            <w:r w:rsidRPr="004C53E7">
              <w:rPr>
                <w:rFonts w:ascii="Calibri" w:hAnsi="Calibri" w:cs="Arial"/>
                <w:i/>
                <w:lang w:val="en-IE"/>
              </w:rPr>
              <w:t>(assigned by Secretariat)</w:t>
            </w:r>
          </w:p>
        </w:tc>
      </w:tr>
      <w:tr w:rsidR="00847E74" w:rsidRPr="004C53E7" w:rsidTr="00915F97">
        <w:tc>
          <w:tcPr>
            <w:tcW w:w="2088" w:type="dxa"/>
            <w:vAlign w:val="center"/>
          </w:tcPr>
          <w:p w:rsidR="00847E74" w:rsidRPr="004C53E7" w:rsidRDefault="00847E74" w:rsidP="00915F97">
            <w:pPr>
              <w:jc w:val="center"/>
              <w:rPr>
                <w:rFonts w:ascii="Calibri" w:hAnsi="Calibri" w:cs="Arial"/>
                <w:b/>
                <w:lang w:val="en-IE"/>
              </w:rPr>
            </w:pPr>
            <w:r>
              <w:rPr>
                <w:rFonts w:ascii="Calibri" w:hAnsi="Calibri" w:cs="Arial"/>
                <w:b/>
                <w:lang w:val="en-IE"/>
              </w:rPr>
              <w:t>SEMO</w:t>
            </w:r>
          </w:p>
        </w:tc>
        <w:tc>
          <w:tcPr>
            <w:tcW w:w="2533" w:type="dxa"/>
            <w:gridSpan w:val="2"/>
            <w:vAlign w:val="center"/>
          </w:tcPr>
          <w:p w:rsidR="00847E74" w:rsidRPr="004C53E7" w:rsidRDefault="00847E74" w:rsidP="00915F97">
            <w:pPr>
              <w:jc w:val="center"/>
              <w:rPr>
                <w:rFonts w:ascii="Calibri" w:hAnsi="Calibri" w:cs="Arial"/>
                <w:b/>
                <w:lang w:val="en-IE"/>
              </w:rPr>
            </w:pPr>
            <w:r>
              <w:rPr>
                <w:rFonts w:ascii="Calibri" w:hAnsi="Calibri" w:cs="Arial"/>
                <w:b/>
                <w:lang w:val="en-IE"/>
              </w:rPr>
              <w:t>5</w:t>
            </w:r>
            <w:r w:rsidRPr="00566E40">
              <w:rPr>
                <w:rFonts w:ascii="Calibri" w:hAnsi="Calibri" w:cs="Arial"/>
                <w:b/>
                <w:vertAlign w:val="superscript"/>
                <w:lang w:val="en-IE"/>
              </w:rPr>
              <w:t>th</w:t>
            </w:r>
            <w:r>
              <w:rPr>
                <w:rFonts w:ascii="Calibri" w:hAnsi="Calibri" w:cs="Arial"/>
                <w:b/>
                <w:lang w:val="en-IE"/>
              </w:rPr>
              <w:t xml:space="preserve"> October 2017</w:t>
            </w:r>
          </w:p>
        </w:tc>
        <w:tc>
          <w:tcPr>
            <w:tcW w:w="2311" w:type="dxa"/>
            <w:gridSpan w:val="2"/>
            <w:vAlign w:val="center"/>
          </w:tcPr>
          <w:p w:rsidR="00847E74" w:rsidRPr="004C53E7" w:rsidRDefault="00847E74" w:rsidP="00915F97">
            <w:pPr>
              <w:jc w:val="center"/>
              <w:rPr>
                <w:rFonts w:ascii="Calibri" w:hAnsi="Calibri" w:cs="Arial"/>
                <w:b/>
                <w:lang w:val="en-IE"/>
              </w:rPr>
            </w:pPr>
            <w:r>
              <w:rPr>
                <w:rFonts w:ascii="Calibri" w:hAnsi="Calibri" w:cs="Arial"/>
                <w:b/>
                <w:lang w:val="en-IE"/>
              </w:rPr>
              <w:t>Standard</w:t>
            </w:r>
          </w:p>
          <w:p w:rsidR="00847E74" w:rsidRPr="004C53E7" w:rsidRDefault="00847E74" w:rsidP="00915F97">
            <w:pPr>
              <w:jc w:val="center"/>
              <w:rPr>
                <w:rFonts w:ascii="Calibri" w:hAnsi="Calibri" w:cs="Arial"/>
                <w:b/>
                <w:lang w:val="en-IE"/>
              </w:rPr>
            </w:pPr>
          </w:p>
        </w:tc>
        <w:tc>
          <w:tcPr>
            <w:tcW w:w="2311" w:type="dxa"/>
            <w:vAlign w:val="center"/>
          </w:tcPr>
          <w:p w:rsidR="00847E74" w:rsidRPr="004C53E7" w:rsidRDefault="00847E74" w:rsidP="00915F97">
            <w:pPr>
              <w:jc w:val="center"/>
              <w:rPr>
                <w:rFonts w:ascii="Calibri" w:hAnsi="Calibri" w:cs="Arial"/>
                <w:b/>
                <w:lang w:val="en-IE"/>
              </w:rPr>
            </w:pPr>
            <w:r>
              <w:rPr>
                <w:rFonts w:ascii="Calibri" w:hAnsi="Calibri" w:cs="Arial"/>
                <w:b/>
                <w:lang w:val="en-IE"/>
              </w:rPr>
              <w:t>Mod_06_17</w:t>
            </w:r>
          </w:p>
        </w:tc>
      </w:tr>
      <w:tr w:rsidR="00847E74" w:rsidRPr="004C53E7" w:rsidTr="00915F97">
        <w:trPr>
          <w:trHeight w:val="467"/>
        </w:trPr>
        <w:tc>
          <w:tcPr>
            <w:tcW w:w="9243" w:type="dxa"/>
            <w:gridSpan w:val="6"/>
            <w:shd w:val="clear" w:color="auto" w:fill="C6D9F1"/>
            <w:vAlign w:val="center"/>
          </w:tcPr>
          <w:p w:rsidR="00847E74" w:rsidRPr="004C53E7" w:rsidRDefault="00847E74" w:rsidP="00915F97">
            <w:pPr>
              <w:jc w:val="center"/>
              <w:rPr>
                <w:rFonts w:ascii="Calibri" w:hAnsi="Calibri" w:cs="Arial"/>
                <w:lang w:val="en-IE"/>
              </w:rPr>
            </w:pPr>
            <w:r w:rsidRPr="004C53E7">
              <w:rPr>
                <w:rFonts w:ascii="Calibri" w:hAnsi="Calibri" w:cs="Arial"/>
                <w:b/>
                <w:bCs/>
                <w:lang w:val="en-IE"/>
              </w:rPr>
              <w:t>Contact Details for Modification Proposal Originator</w:t>
            </w:r>
          </w:p>
        </w:tc>
      </w:tr>
      <w:tr w:rsidR="00847E74" w:rsidRPr="004C53E7" w:rsidTr="00915F97">
        <w:tc>
          <w:tcPr>
            <w:tcW w:w="2943" w:type="dxa"/>
            <w:gridSpan w:val="2"/>
            <w:vAlign w:val="center"/>
          </w:tcPr>
          <w:p w:rsidR="00847E74" w:rsidRPr="004C53E7" w:rsidRDefault="00847E74" w:rsidP="00915F9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847E74" w:rsidRPr="004C53E7" w:rsidRDefault="00847E74" w:rsidP="00915F9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847E74" w:rsidRPr="004C53E7" w:rsidRDefault="00847E74" w:rsidP="00915F97">
            <w:pPr>
              <w:jc w:val="center"/>
              <w:rPr>
                <w:rFonts w:ascii="Calibri" w:hAnsi="Calibri" w:cs="Arial"/>
                <w:lang w:val="en-IE"/>
              </w:rPr>
            </w:pPr>
            <w:r w:rsidRPr="004C53E7">
              <w:rPr>
                <w:rFonts w:ascii="Calibri" w:hAnsi="Calibri" w:cs="Arial"/>
                <w:b/>
                <w:bCs/>
                <w:lang w:val="en-IE"/>
              </w:rPr>
              <w:t>Email address</w:t>
            </w:r>
          </w:p>
        </w:tc>
      </w:tr>
      <w:tr w:rsidR="00847E74" w:rsidRPr="004C53E7" w:rsidTr="00915F97">
        <w:tc>
          <w:tcPr>
            <w:tcW w:w="2943" w:type="dxa"/>
            <w:gridSpan w:val="2"/>
            <w:vAlign w:val="center"/>
          </w:tcPr>
          <w:p w:rsidR="00847E74" w:rsidRPr="004C53E7" w:rsidRDefault="00847E74" w:rsidP="00915F97">
            <w:pPr>
              <w:rPr>
                <w:rFonts w:ascii="Calibri" w:hAnsi="Calibri" w:cs="Arial"/>
                <w:b/>
                <w:lang w:val="en-IE"/>
              </w:rPr>
            </w:pPr>
            <w:r>
              <w:rPr>
                <w:rFonts w:ascii="Calibri" w:hAnsi="Calibri" w:cs="Arial"/>
                <w:b/>
                <w:lang w:val="en-IE"/>
              </w:rPr>
              <w:t>Christopher Goodman</w:t>
            </w:r>
          </w:p>
        </w:tc>
        <w:tc>
          <w:tcPr>
            <w:tcW w:w="2925" w:type="dxa"/>
            <w:gridSpan w:val="2"/>
            <w:vAlign w:val="center"/>
          </w:tcPr>
          <w:p w:rsidR="00847E74" w:rsidRPr="004C53E7" w:rsidRDefault="00847E74" w:rsidP="00915F97">
            <w:pPr>
              <w:rPr>
                <w:rFonts w:ascii="Calibri" w:hAnsi="Calibri" w:cs="Arial"/>
                <w:b/>
                <w:lang w:val="en-IE"/>
              </w:rPr>
            </w:pPr>
          </w:p>
        </w:tc>
        <w:tc>
          <w:tcPr>
            <w:tcW w:w="3375" w:type="dxa"/>
            <w:gridSpan w:val="2"/>
            <w:vAlign w:val="center"/>
          </w:tcPr>
          <w:p w:rsidR="00847E74" w:rsidRPr="004C53E7" w:rsidRDefault="00847E74" w:rsidP="00915F97">
            <w:pPr>
              <w:rPr>
                <w:rFonts w:ascii="Calibri" w:hAnsi="Calibri" w:cs="Arial"/>
                <w:b/>
                <w:lang w:val="en-IE"/>
              </w:rPr>
            </w:pPr>
            <w:r>
              <w:rPr>
                <w:rFonts w:ascii="Calibri" w:hAnsi="Calibri" w:cs="Arial"/>
                <w:b/>
                <w:lang w:val="en-IE"/>
              </w:rPr>
              <w:t>Christopher.Goodman@sem-o.com</w:t>
            </w:r>
          </w:p>
        </w:tc>
      </w:tr>
      <w:tr w:rsidR="00847E74" w:rsidRPr="004C53E7" w:rsidTr="00915F97">
        <w:trPr>
          <w:trHeight w:val="327"/>
        </w:trPr>
        <w:tc>
          <w:tcPr>
            <w:tcW w:w="9243" w:type="dxa"/>
            <w:gridSpan w:val="6"/>
            <w:shd w:val="clear" w:color="auto" w:fill="C6D9F1"/>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Modification Proposal Title</w:t>
            </w:r>
          </w:p>
        </w:tc>
      </w:tr>
      <w:tr w:rsidR="00847E74" w:rsidRPr="004C53E7" w:rsidTr="00915F97">
        <w:trPr>
          <w:trHeight w:val="323"/>
        </w:trPr>
        <w:tc>
          <w:tcPr>
            <w:tcW w:w="9243" w:type="dxa"/>
            <w:gridSpan w:val="6"/>
            <w:vAlign w:val="center"/>
          </w:tcPr>
          <w:p w:rsidR="00847E74" w:rsidRPr="004C53E7" w:rsidRDefault="00847E74" w:rsidP="00915F97">
            <w:pPr>
              <w:spacing w:line="480" w:lineRule="auto"/>
              <w:rPr>
                <w:rFonts w:ascii="Calibri" w:hAnsi="Calibri" w:cs="Arial"/>
                <w:b/>
                <w:bCs/>
                <w:color w:val="000000"/>
                <w:lang w:val="en-IE"/>
              </w:rPr>
            </w:pPr>
            <w:r>
              <w:rPr>
                <w:rFonts w:ascii="Calibri" w:hAnsi="Calibri" w:cs="Arial"/>
                <w:b/>
                <w:bCs/>
                <w:color w:val="000000"/>
                <w:lang w:val="en-IE"/>
              </w:rPr>
              <w:t>Transitional Credit Cover Provisions</w:t>
            </w:r>
          </w:p>
        </w:tc>
      </w:tr>
      <w:tr w:rsidR="00847E74" w:rsidRPr="004C53E7" w:rsidTr="00915F97">
        <w:tc>
          <w:tcPr>
            <w:tcW w:w="2943" w:type="dxa"/>
            <w:gridSpan w:val="2"/>
            <w:shd w:val="clear" w:color="auto" w:fill="C6D9F1"/>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Documents affected</w:t>
            </w:r>
          </w:p>
          <w:p w:rsidR="00847E74" w:rsidRPr="004C53E7" w:rsidRDefault="00847E74" w:rsidP="00915F97">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847E74" w:rsidRPr="004C53E7" w:rsidRDefault="00847E74" w:rsidP="00915F97">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847E74" w:rsidRPr="004C53E7" w:rsidRDefault="00847E74" w:rsidP="00915F97">
            <w:pPr>
              <w:jc w:val="center"/>
              <w:rPr>
                <w:rStyle w:val="IntenseEmphasis"/>
                <w:lang w:val="en-IE"/>
              </w:rPr>
            </w:pPr>
            <w:r w:rsidRPr="004C53E7">
              <w:rPr>
                <w:rFonts w:ascii="Calibri" w:hAnsi="Calibri" w:cs="Arial"/>
                <w:b/>
                <w:lang w:val="en-IE"/>
              </w:rPr>
              <w:t>Version number of T&amp;SC or AP used in Drafting</w:t>
            </w:r>
          </w:p>
        </w:tc>
      </w:tr>
      <w:tr w:rsidR="00847E74" w:rsidRPr="004C53E7" w:rsidTr="00915F97">
        <w:tc>
          <w:tcPr>
            <w:tcW w:w="2943" w:type="dxa"/>
            <w:gridSpan w:val="2"/>
            <w:shd w:val="clear" w:color="auto" w:fill="FFFFFF"/>
            <w:vAlign w:val="center"/>
          </w:tcPr>
          <w:p w:rsidR="00847E74" w:rsidRPr="004C53E7" w:rsidDel="00476388" w:rsidRDefault="00847E74" w:rsidP="00915F97">
            <w:pPr>
              <w:jc w:val="center"/>
              <w:rPr>
                <w:rFonts w:ascii="Calibri" w:hAnsi="Calibri" w:cs="Arial"/>
                <w:b/>
                <w:lang w:val="en-IE"/>
              </w:rPr>
            </w:pPr>
            <w:r w:rsidRPr="00ED7C59">
              <w:rPr>
                <w:rFonts w:ascii="Calibri" w:hAnsi="Calibri" w:cs="Arial"/>
                <w:b/>
                <w:lang w:val="en-IE"/>
              </w:rPr>
              <w:t xml:space="preserve">T&amp;SC </w:t>
            </w:r>
            <w:r w:rsidRPr="00750B48">
              <w:rPr>
                <w:rFonts w:ascii="Calibri" w:hAnsi="Calibri" w:cs="Arial"/>
                <w:b/>
                <w:lang w:val="en-IE"/>
              </w:rPr>
              <w:t xml:space="preserve">Part C </w:t>
            </w:r>
          </w:p>
        </w:tc>
        <w:tc>
          <w:tcPr>
            <w:tcW w:w="2925" w:type="dxa"/>
            <w:gridSpan w:val="2"/>
            <w:vAlign w:val="center"/>
          </w:tcPr>
          <w:p w:rsidR="00847E74" w:rsidRPr="004C53E7" w:rsidRDefault="00847E74" w:rsidP="00915F97">
            <w:pPr>
              <w:jc w:val="center"/>
              <w:rPr>
                <w:rFonts w:ascii="Calibri" w:hAnsi="Calibri" w:cs="Arial"/>
                <w:b/>
                <w:lang w:val="en-IE"/>
              </w:rPr>
            </w:pPr>
            <w:r>
              <w:rPr>
                <w:rFonts w:ascii="Calibri" w:hAnsi="Calibri" w:cs="Arial"/>
                <w:b/>
                <w:lang w:val="en-IE"/>
              </w:rPr>
              <w:t xml:space="preserve">Part C Introduction, Part C </w:t>
            </w:r>
            <w:r w:rsidRPr="00750B48">
              <w:rPr>
                <w:rFonts w:ascii="Calibri" w:hAnsi="Calibri" w:cs="Arial"/>
                <w:b/>
                <w:lang w:val="en-IE"/>
              </w:rPr>
              <w:t>Section 1</w:t>
            </w:r>
            <w:r>
              <w:rPr>
                <w:rFonts w:ascii="Calibri" w:hAnsi="Calibri" w:cs="Arial"/>
                <w:b/>
                <w:lang w:val="en-IE"/>
              </w:rPr>
              <w:t>1, Part C Glossary and Part C Appendix</w:t>
            </w:r>
          </w:p>
        </w:tc>
        <w:tc>
          <w:tcPr>
            <w:tcW w:w="3375" w:type="dxa"/>
            <w:gridSpan w:val="2"/>
            <w:vAlign w:val="center"/>
          </w:tcPr>
          <w:p w:rsidR="00847E74" w:rsidRPr="004C53E7" w:rsidRDefault="00847E74" w:rsidP="00915F97">
            <w:pPr>
              <w:jc w:val="center"/>
              <w:rPr>
                <w:rFonts w:ascii="Calibri" w:hAnsi="Calibri" w:cs="Arial"/>
                <w:b/>
                <w:lang w:val="en-IE"/>
              </w:rPr>
            </w:pPr>
            <w:r>
              <w:rPr>
                <w:rFonts w:ascii="Calibri" w:hAnsi="Calibri" w:cs="Arial"/>
                <w:b/>
                <w:lang w:val="en-IE"/>
              </w:rPr>
              <w:t>Version 20</w:t>
            </w:r>
          </w:p>
        </w:tc>
      </w:tr>
      <w:tr w:rsidR="00847E74" w:rsidRPr="004C53E7" w:rsidTr="00915F97">
        <w:trPr>
          <w:trHeight w:val="375"/>
        </w:trPr>
        <w:tc>
          <w:tcPr>
            <w:tcW w:w="9243" w:type="dxa"/>
            <w:gridSpan w:val="6"/>
            <w:shd w:val="clear" w:color="auto" w:fill="C6D9F1"/>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Explanation of Proposed Change</w:t>
            </w:r>
          </w:p>
          <w:p w:rsidR="00847E74" w:rsidRPr="004C53E7" w:rsidRDefault="00847E74" w:rsidP="00915F97">
            <w:pPr>
              <w:jc w:val="center"/>
              <w:rPr>
                <w:rFonts w:ascii="Calibri" w:hAnsi="Calibri" w:cs="Arial"/>
                <w:lang w:val="en-IE"/>
              </w:rPr>
            </w:pPr>
            <w:r w:rsidRPr="004C53E7">
              <w:rPr>
                <w:rFonts w:ascii="Calibri" w:hAnsi="Calibri"/>
                <w:i/>
                <w:spacing w:val="-3"/>
                <w:lang w:val="en-IE"/>
              </w:rPr>
              <w:t>(mandatory by originator)</w:t>
            </w:r>
          </w:p>
        </w:tc>
      </w:tr>
      <w:tr w:rsidR="00847E74" w:rsidRPr="004C53E7" w:rsidTr="00915F97">
        <w:trPr>
          <w:trHeight w:val="467"/>
        </w:trPr>
        <w:tc>
          <w:tcPr>
            <w:tcW w:w="9243" w:type="dxa"/>
            <w:gridSpan w:val="6"/>
            <w:vAlign w:val="center"/>
          </w:tcPr>
          <w:p w:rsidR="00847E74" w:rsidRPr="0012259A" w:rsidRDefault="00847E74" w:rsidP="00915F97">
            <w:pPr>
              <w:rPr>
                <w:rFonts w:ascii="Calibri" w:hAnsi="Calibri" w:cs="Arial"/>
                <w:i/>
                <w:lang w:val="en-IE"/>
              </w:rPr>
            </w:pPr>
            <w:r w:rsidRPr="0012259A">
              <w:rPr>
                <w:rFonts w:ascii="Calibri" w:hAnsi="Calibri" w:cs="Arial"/>
                <w:i/>
                <w:lang w:val="en-IE"/>
              </w:rPr>
              <w:t xml:space="preserve">It is recommended to read the “Modification Proposal Justification” section of this proposal to provide the context for its submission prior to reading this section on the explanation of the </w:t>
            </w:r>
            <w:r>
              <w:rPr>
                <w:rFonts w:ascii="Calibri" w:hAnsi="Calibri" w:cs="Arial"/>
                <w:i/>
                <w:lang w:val="en-IE"/>
              </w:rPr>
              <w:t xml:space="preserve">proposed </w:t>
            </w:r>
            <w:r w:rsidRPr="0012259A">
              <w:rPr>
                <w:rFonts w:ascii="Calibri" w:hAnsi="Calibri" w:cs="Arial"/>
                <w:i/>
                <w:lang w:val="en-IE"/>
              </w:rPr>
              <w:t>changes.</w:t>
            </w:r>
          </w:p>
          <w:p w:rsidR="00847E74" w:rsidRDefault="00847E74" w:rsidP="00915F97">
            <w:pPr>
              <w:rPr>
                <w:rFonts w:asciiTheme="minorHAnsi" w:hAnsiTheme="minorHAnsi"/>
                <w:b/>
                <w:sz w:val="24"/>
                <w:szCs w:val="24"/>
              </w:rPr>
            </w:pPr>
          </w:p>
          <w:p w:rsidR="00847E74" w:rsidRPr="00E73BCB" w:rsidRDefault="00847E74" w:rsidP="00915F97">
            <w:pPr>
              <w:rPr>
                <w:rFonts w:ascii="Calibri" w:hAnsi="Calibri" w:cs="Arial"/>
                <w:i/>
                <w:lang w:val="en-IE"/>
              </w:rPr>
            </w:pPr>
            <w:r w:rsidRPr="00E73BCB">
              <w:rPr>
                <w:rFonts w:ascii="Calibri" w:hAnsi="Calibri" w:cs="Arial"/>
                <w:i/>
                <w:lang w:val="en-IE"/>
              </w:rPr>
              <w:t>This modification proposal has been updated based on discussion held in Modification meeting</w:t>
            </w:r>
            <w:r>
              <w:rPr>
                <w:rFonts w:ascii="Calibri" w:hAnsi="Calibri" w:cs="Arial"/>
                <w:i/>
                <w:lang w:val="en-IE"/>
              </w:rPr>
              <w:t>76</w:t>
            </w:r>
            <w:r w:rsidRPr="00E73BCB">
              <w:rPr>
                <w:rFonts w:ascii="Calibri" w:hAnsi="Calibri" w:cs="Arial"/>
                <w:i/>
                <w:lang w:val="en-IE"/>
              </w:rPr>
              <w:t xml:space="preserve"> which took place on the 19th October 2017. Changes from the original proposal are change tracked for convenience.</w:t>
            </w:r>
          </w:p>
          <w:p w:rsidR="00847E74" w:rsidRDefault="00847E74" w:rsidP="00915F97">
            <w:pPr>
              <w:rPr>
                <w:rFonts w:asciiTheme="minorHAnsi" w:hAnsiTheme="minorHAnsi"/>
                <w:b/>
                <w:sz w:val="24"/>
                <w:szCs w:val="24"/>
              </w:rPr>
            </w:pPr>
          </w:p>
          <w:p w:rsidR="00847E74" w:rsidRDefault="00847E74" w:rsidP="00915F97">
            <w:pPr>
              <w:rPr>
                <w:rFonts w:asciiTheme="minorHAnsi" w:hAnsiTheme="minorHAnsi"/>
                <w:b/>
                <w:sz w:val="24"/>
                <w:szCs w:val="24"/>
              </w:rPr>
            </w:pPr>
            <w:r>
              <w:rPr>
                <w:rFonts w:asciiTheme="minorHAnsi" w:hAnsiTheme="minorHAnsi"/>
                <w:b/>
                <w:sz w:val="24"/>
                <w:szCs w:val="24"/>
              </w:rPr>
              <w:t>Objective of the Proposal</w:t>
            </w:r>
          </w:p>
          <w:p w:rsidR="00847E74" w:rsidRDefault="00847E74" w:rsidP="00915F97">
            <w:pPr>
              <w:rPr>
                <w:rFonts w:asciiTheme="minorHAnsi" w:hAnsiTheme="minorHAnsi"/>
                <w:b/>
                <w:sz w:val="24"/>
                <w:szCs w:val="24"/>
              </w:rPr>
            </w:pPr>
          </w:p>
          <w:p w:rsidR="00847E74" w:rsidRDefault="00847E74" w:rsidP="00915F97">
            <w:pPr>
              <w:rPr>
                <w:rFonts w:ascii="Calibri" w:hAnsi="Calibri" w:cs="Arial"/>
                <w:sz w:val="22"/>
                <w:szCs w:val="22"/>
                <w:lang w:val="en-IE"/>
              </w:rPr>
            </w:pPr>
            <w:r>
              <w:rPr>
                <w:rFonts w:asciiTheme="minorHAnsi" w:hAnsiTheme="minorHAnsi"/>
                <w:sz w:val="22"/>
                <w:szCs w:val="22"/>
              </w:rPr>
              <w:t xml:space="preserve">This proposed change seeks to provide a workable solution to how credit cover will be managed </w:t>
            </w:r>
            <w:r>
              <w:rPr>
                <w:rFonts w:asciiTheme="minorHAnsi" w:hAnsiTheme="minorHAnsi"/>
                <w:sz w:val="22"/>
                <w:szCs w:val="22"/>
              </w:rPr>
              <w:lastRenderedPageBreak/>
              <w:t xml:space="preserve">during the transition from the TSC Part A (SEM) to the TSC Part B (I-SEM) arrangements.  It seeks to </w:t>
            </w:r>
            <w:r w:rsidRPr="00681F03">
              <w:rPr>
                <w:rFonts w:ascii="Calibri" w:hAnsi="Calibri" w:cs="Arial"/>
                <w:sz w:val="22"/>
                <w:szCs w:val="22"/>
                <w:lang w:val="en-IE"/>
              </w:rPr>
              <w:t xml:space="preserve">clarify the timelines, activities, methodologies and credit cover calculations </w:t>
            </w:r>
            <w:r>
              <w:rPr>
                <w:rFonts w:ascii="Calibri" w:hAnsi="Calibri" w:cs="Arial"/>
                <w:sz w:val="22"/>
                <w:szCs w:val="22"/>
                <w:lang w:val="en-IE"/>
              </w:rPr>
              <w:t xml:space="preserve">for this transition. </w:t>
            </w:r>
          </w:p>
          <w:p w:rsidR="00847E74" w:rsidRDefault="00847E74" w:rsidP="00915F97">
            <w:pPr>
              <w:rPr>
                <w:rFonts w:ascii="Calibri" w:hAnsi="Calibri" w:cs="Arial"/>
                <w:sz w:val="22"/>
                <w:szCs w:val="22"/>
                <w:lang w:val="en-IE"/>
              </w:rPr>
            </w:pPr>
          </w:p>
          <w:p w:rsidR="00847E74" w:rsidRDefault="00847E74" w:rsidP="00915F97">
            <w:pPr>
              <w:rPr>
                <w:rFonts w:asciiTheme="minorHAnsi" w:hAnsiTheme="minorHAnsi"/>
                <w:sz w:val="22"/>
                <w:szCs w:val="22"/>
              </w:rPr>
            </w:pPr>
            <w:r>
              <w:rPr>
                <w:rFonts w:ascii="Calibri" w:hAnsi="Calibri" w:cs="Arial"/>
                <w:sz w:val="22"/>
                <w:szCs w:val="22"/>
                <w:lang w:val="en-IE"/>
              </w:rPr>
              <w:t xml:space="preserve">The term </w:t>
            </w:r>
            <w:r>
              <w:rPr>
                <w:rFonts w:asciiTheme="minorHAnsi" w:hAnsiTheme="minorHAnsi"/>
                <w:sz w:val="22"/>
                <w:szCs w:val="22"/>
              </w:rPr>
              <w:t>‘Transitional Credit Cover Provisions’ is used throughout this modification proposal to refer the transitional arrangements for credit cover.</w:t>
            </w:r>
          </w:p>
          <w:p w:rsidR="00847E74"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Pr>
                <w:rFonts w:asciiTheme="minorHAnsi" w:hAnsiTheme="minorHAnsi"/>
                <w:sz w:val="22"/>
                <w:szCs w:val="22"/>
              </w:rPr>
              <w:t>The proposal aims to ensure:</w:t>
            </w:r>
          </w:p>
          <w:p w:rsidR="00847E74" w:rsidRDefault="00847E74" w:rsidP="00847E74">
            <w:pPr>
              <w:pStyle w:val="ListParagraph"/>
              <w:numPr>
                <w:ilvl w:val="0"/>
                <w:numId w:val="45"/>
              </w:numPr>
              <w:spacing w:before="0" w:after="0" w:line="240" w:lineRule="auto"/>
              <w:contextualSpacing w:val="0"/>
              <w:rPr>
                <w:rFonts w:asciiTheme="minorHAnsi" w:hAnsiTheme="minorHAnsi"/>
              </w:rPr>
            </w:pPr>
            <w:r>
              <w:rPr>
                <w:rFonts w:asciiTheme="minorHAnsi" w:hAnsiTheme="minorHAnsi"/>
              </w:rPr>
              <w:t>The a</w:t>
            </w:r>
            <w:r w:rsidRPr="00D60621">
              <w:rPr>
                <w:rFonts w:asciiTheme="minorHAnsi" w:hAnsiTheme="minorHAnsi"/>
              </w:rPr>
              <w:t>ppropriate</w:t>
            </w:r>
            <w:r>
              <w:rPr>
                <w:rFonts w:asciiTheme="minorHAnsi" w:hAnsiTheme="minorHAnsi"/>
              </w:rPr>
              <w:t xml:space="preserve"> levels of credit cover are maintained, </w:t>
            </w:r>
            <w:r w:rsidRPr="00D60621">
              <w:rPr>
                <w:rFonts w:asciiTheme="minorHAnsi" w:hAnsiTheme="minorHAnsi"/>
              </w:rPr>
              <w:t>in line with the full collatera</w:t>
            </w:r>
            <w:r>
              <w:rPr>
                <w:rFonts w:asciiTheme="minorHAnsi" w:hAnsiTheme="minorHAnsi"/>
              </w:rPr>
              <w:t>lisation principles of the SEM.</w:t>
            </w:r>
          </w:p>
          <w:p w:rsidR="00847E74" w:rsidRDefault="00847E74" w:rsidP="00847E74">
            <w:pPr>
              <w:pStyle w:val="ListParagraph"/>
              <w:numPr>
                <w:ilvl w:val="0"/>
                <w:numId w:val="45"/>
              </w:numPr>
              <w:spacing w:before="0" w:after="0" w:line="240" w:lineRule="auto"/>
              <w:contextualSpacing w:val="0"/>
              <w:rPr>
                <w:rFonts w:asciiTheme="minorHAnsi" w:hAnsiTheme="minorHAnsi"/>
              </w:rPr>
            </w:pPr>
            <w:r>
              <w:rPr>
                <w:rFonts w:asciiTheme="minorHAnsi" w:hAnsiTheme="minorHAnsi"/>
              </w:rPr>
              <w:t>That practical and plausible implementation of the transitional arrangements is achieved given the timelines, effort and legal considerations.</w:t>
            </w:r>
          </w:p>
          <w:p w:rsidR="00847E74" w:rsidRPr="00D60621" w:rsidRDefault="00847E74" w:rsidP="00847E74">
            <w:pPr>
              <w:pStyle w:val="ListParagraph"/>
              <w:numPr>
                <w:ilvl w:val="0"/>
                <w:numId w:val="45"/>
              </w:numPr>
              <w:spacing w:before="0" w:after="0" w:line="240" w:lineRule="auto"/>
              <w:contextualSpacing w:val="0"/>
              <w:rPr>
                <w:rFonts w:asciiTheme="minorHAnsi" w:hAnsiTheme="minorHAnsi"/>
                <w:b/>
                <w:sz w:val="24"/>
                <w:szCs w:val="24"/>
              </w:rPr>
            </w:pPr>
            <w:r>
              <w:rPr>
                <w:rFonts w:asciiTheme="minorHAnsi" w:hAnsiTheme="minorHAnsi"/>
              </w:rPr>
              <w:t>That P</w:t>
            </w:r>
            <w:r w:rsidRPr="00D60621">
              <w:rPr>
                <w:rFonts w:asciiTheme="minorHAnsi" w:hAnsiTheme="minorHAnsi"/>
              </w:rPr>
              <w:t xml:space="preserve">articipants have a clear understanding </w:t>
            </w:r>
            <w:r>
              <w:rPr>
                <w:rFonts w:asciiTheme="minorHAnsi" w:hAnsiTheme="minorHAnsi"/>
              </w:rPr>
              <w:t xml:space="preserve">of </w:t>
            </w:r>
            <w:r w:rsidRPr="00D60621">
              <w:rPr>
                <w:rFonts w:asciiTheme="minorHAnsi" w:hAnsiTheme="minorHAnsi"/>
              </w:rPr>
              <w:t>how transitional credit c</w:t>
            </w:r>
            <w:r>
              <w:rPr>
                <w:rFonts w:asciiTheme="minorHAnsi" w:hAnsiTheme="minorHAnsi"/>
              </w:rPr>
              <w:t xml:space="preserve">over requirements </w:t>
            </w:r>
            <w:r w:rsidRPr="00D60621">
              <w:rPr>
                <w:rFonts w:asciiTheme="minorHAnsi" w:hAnsiTheme="minorHAnsi"/>
              </w:rPr>
              <w:t xml:space="preserve">will be determined, and </w:t>
            </w:r>
            <w:r>
              <w:rPr>
                <w:rFonts w:asciiTheme="minorHAnsi" w:hAnsiTheme="minorHAnsi"/>
              </w:rPr>
              <w:t>how</w:t>
            </w:r>
            <w:r w:rsidRPr="00D60621">
              <w:rPr>
                <w:rFonts w:asciiTheme="minorHAnsi" w:hAnsiTheme="minorHAnsi"/>
              </w:rPr>
              <w:t xml:space="preserve"> and when they will be need </w:t>
            </w:r>
            <w:r>
              <w:rPr>
                <w:rFonts w:asciiTheme="minorHAnsi" w:hAnsiTheme="minorHAnsi"/>
              </w:rPr>
              <w:t>to take actions</w:t>
            </w:r>
            <w:r w:rsidRPr="00D60621">
              <w:rPr>
                <w:rFonts w:asciiTheme="minorHAnsi" w:hAnsiTheme="minorHAnsi"/>
              </w:rPr>
              <w:t xml:space="preserve"> in order to meet these requirements.</w:t>
            </w:r>
          </w:p>
          <w:p w:rsidR="00847E74" w:rsidRDefault="00847E74" w:rsidP="00915F97">
            <w:pPr>
              <w:pStyle w:val="ListParagraph"/>
              <w:rPr>
                <w:rFonts w:asciiTheme="minorHAnsi" w:hAnsiTheme="minorHAnsi"/>
                <w:b/>
                <w:sz w:val="24"/>
                <w:szCs w:val="24"/>
              </w:rPr>
            </w:pPr>
          </w:p>
          <w:p w:rsidR="00847E74" w:rsidRDefault="00847E74" w:rsidP="00915F97">
            <w:pPr>
              <w:rPr>
                <w:rFonts w:asciiTheme="minorHAnsi" w:hAnsiTheme="minorHAnsi"/>
                <w:b/>
                <w:sz w:val="24"/>
                <w:szCs w:val="24"/>
              </w:rPr>
            </w:pPr>
            <w:r w:rsidRPr="00681F03">
              <w:rPr>
                <w:rFonts w:asciiTheme="minorHAnsi" w:hAnsiTheme="minorHAnsi"/>
                <w:b/>
                <w:sz w:val="24"/>
                <w:szCs w:val="24"/>
              </w:rPr>
              <w:t>Considerations</w:t>
            </w:r>
          </w:p>
          <w:p w:rsidR="00847E74" w:rsidRDefault="00847E74" w:rsidP="00915F97">
            <w:pPr>
              <w:rPr>
                <w:rFonts w:asciiTheme="minorHAnsi" w:hAnsiTheme="minorHAnsi"/>
                <w:sz w:val="22"/>
                <w:szCs w:val="22"/>
              </w:rPr>
            </w:pPr>
          </w:p>
          <w:p w:rsidR="00847E74" w:rsidRPr="0083175A" w:rsidRDefault="00847E74" w:rsidP="00915F97">
            <w:pPr>
              <w:rPr>
                <w:rFonts w:asciiTheme="minorHAnsi" w:hAnsiTheme="minorHAnsi"/>
                <w:sz w:val="22"/>
                <w:szCs w:val="22"/>
              </w:rPr>
            </w:pPr>
            <w:r w:rsidRPr="0083175A">
              <w:rPr>
                <w:rFonts w:asciiTheme="minorHAnsi" w:hAnsiTheme="minorHAnsi"/>
                <w:sz w:val="22"/>
                <w:szCs w:val="22"/>
              </w:rPr>
              <w:t>There are a number of considerations in looking to define Transitional Credit Cover Provisions. The</w:t>
            </w:r>
            <w:r>
              <w:rPr>
                <w:rFonts w:asciiTheme="minorHAnsi" w:hAnsiTheme="minorHAnsi"/>
                <w:sz w:val="22"/>
                <w:szCs w:val="22"/>
              </w:rPr>
              <w:t xml:space="preserve">se </w:t>
            </w:r>
            <w:r w:rsidRPr="0083175A">
              <w:rPr>
                <w:rFonts w:asciiTheme="minorHAnsi" w:hAnsiTheme="minorHAnsi"/>
                <w:sz w:val="22"/>
                <w:szCs w:val="22"/>
              </w:rPr>
              <w:t>are outlined below</w:t>
            </w:r>
            <w:r>
              <w:rPr>
                <w:rFonts w:asciiTheme="minorHAnsi" w:hAnsiTheme="minorHAnsi"/>
                <w:sz w:val="22"/>
                <w:szCs w:val="22"/>
              </w:rPr>
              <w:t xml:space="preserve">, with the approach to be taken to deal with them in </w:t>
            </w:r>
            <w:r w:rsidRPr="0077688F">
              <w:rPr>
                <w:rFonts w:asciiTheme="minorHAnsi" w:hAnsiTheme="minorHAnsi"/>
                <w:i/>
                <w:sz w:val="22"/>
                <w:szCs w:val="22"/>
              </w:rPr>
              <w:t>italics</w:t>
            </w:r>
            <w:r>
              <w:rPr>
                <w:rFonts w:asciiTheme="minorHAnsi" w:hAnsiTheme="minorHAnsi"/>
                <w:sz w:val="22"/>
                <w:szCs w:val="22"/>
              </w:rPr>
              <w:t>.</w:t>
            </w:r>
          </w:p>
          <w:p w:rsidR="00847E74" w:rsidRPr="00681F03" w:rsidRDefault="00847E74" w:rsidP="00915F97">
            <w:pPr>
              <w:rPr>
                <w:rFonts w:asciiTheme="minorHAnsi" w:hAnsiTheme="minorHAnsi"/>
                <w:b/>
                <w:sz w:val="24"/>
                <w:szCs w:val="24"/>
              </w:rPr>
            </w:pPr>
          </w:p>
          <w:p w:rsidR="00847E74" w:rsidRPr="00254B9E" w:rsidRDefault="00847E74" w:rsidP="00915F97">
            <w:pPr>
              <w:rPr>
                <w:rFonts w:asciiTheme="minorHAnsi" w:hAnsiTheme="minorHAnsi"/>
                <w:b/>
                <w:i/>
                <w:sz w:val="22"/>
                <w:szCs w:val="22"/>
              </w:rPr>
            </w:pPr>
            <w:r w:rsidRPr="00010E5B">
              <w:rPr>
                <w:rFonts w:asciiTheme="minorHAnsi" w:hAnsiTheme="minorHAnsi"/>
                <w:b/>
                <w:i/>
                <w:sz w:val="22"/>
                <w:szCs w:val="22"/>
              </w:rPr>
              <w:t>Legal</w:t>
            </w:r>
          </w:p>
          <w:p w:rsidR="00847E74" w:rsidRDefault="00847E74" w:rsidP="00915F97">
            <w:pPr>
              <w:rPr>
                <w:rFonts w:asciiTheme="minorHAnsi" w:hAnsiTheme="minorHAnsi"/>
                <w:sz w:val="22"/>
                <w:szCs w:val="22"/>
              </w:rPr>
            </w:pPr>
            <w:r w:rsidRPr="000C5BEF">
              <w:rPr>
                <w:rFonts w:asciiTheme="minorHAnsi" w:hAnsiTheme="minorHAnsi"/>
                <w:sz w:val="22"/>
                <w:szCs w:val="22"/>
              </w:rPr>
              <w:t xml:space="preserve">SEMO have been advised to avoid the “commingling” of </w:t>
            </w:r>
            <w:r>
              <w:rPr>
                <w:rFonts w:asciiTheme="minorHAnsi" w:hAnsiTheme="minorHAnsi"/>
                <w:sz w:val="22"/>
                <w:szCs w:val="22"/>
              </w:rPr>
              <w:t xml:space="preserve">trading, capacity and </w:t>
            </w:r>
            <w:r w:rsidRPr="000C5BEF">
              <w:rPr>
                <w:rFonts w:asciiTheme="minorHAnsi" w:hAnsiTheme="minorHAnsi"/>
                <w:sz w:val="22"/>
                <w:szCs w:val="22"/>
              </w:rPr>
              <w:t>collateral funds as an important safeguard for SEMO in fulfilling its duties as trustee under the TSC</w:t>
            </w:r>
            <w:r>
              <w:rPr>
                <w:rFonts w:asciiTheme="minorHAnsi" w:hAnsiTheme="minorHAnsi"/>
                <w:sz w:val="22"/>
                <w:szCs w:val="22"/>
              </w:rPr>
              <w:t>. In addition commingling</w:t>
            </w:r>
            <w:r w:rsidRPr="000C5BEF">
              <w:rPr>
                <w:rFonts w:asciiTheme="minorHAnsi" w:hAnsiTheme="minorHAnsi"/>
                <w:sz w:val="22"/>
                <w:szCs w:val="22"/>
              </w:rPr>
              <w:t xml:space="preserve"> raises concerns over the apportioning of collateral to SEM or I-SEM arrangements in the case of default. </w:t>
            </w:r>
          </w:p>
          <w:p w:rsidR="00847E74" w:rsidRPr="00E73BCB" w:rsidRDefault="00847E74" w:rsidP="00915F97">
            <w:pPr>
              <w:rPr>
                <w:rFonts w:asciiTheme="minorHAnsi" w:hAnsiTheme="minorHAnsi"/>
                <w:i/>
                <w:sz w:val="22"/>
                <w:szCs w:val="22"/>
              </w:rPr>
            </w:pPr>
            <w:r>
              <w:rPr>
                <w:rFonts w:asciiTheme="minorHAnsi" w:hAnsiTheme="minorHAnsi"/>
                <w:i/>
                <w:sz w:val="22"/>
                <w:szCs w:val="22"/>
              </w:rPr>
              <w:t xml:space="preserve">Solution: </w:t>
            </w:r>
            <w:r w:rsidRPr="00E73BCB">
              <w:rPr>
                <w:rFonts w:asciiTheme="minorHAnsi" w:hAnsiTheme="minorHAnsi"/>
                <w:i/>
                <w:sz w:val="22"/>
                <w:szCs w:val="22"/>
              </w:rPr>
              <w:t>the proposal is that</w:t>
            </w:r>
            <w:r>
              <w:rPr>
                <w:rFonts w:asciiTheme="minorHAnsi" w:hAnsiTheme="minorHAnsi"/>
                <w:i/>
                <w:sz w:val="22"/>
                <w:szCs w:val="22"/>
              </w:rPr>
              <w:t xml:space="preserve">, although </w:t>
            </w:r>
            <w:r w:rsidRPr="00E73BCB">
              <w:rPr>
                <w:rFonts w:asciiTheme="minorHAnsi" w:hAnsiTheme="minorHAnsi"/>
                <w:i/>
                <w:sz w:val="22"/>
                <w:szCs w:val="22"/>
              </w:rPr>
              <w:t xml:space="preserve"> separate Clearing Accounts will be maintained for the SEM and I-SEM arrangements, </w:t>
            </w:r>
            <w:r>
              <w:rPr>
                <w:rFonts w:asciiTheme="minorHAnsi" w:hAnsiTheme="minorHAnsi"/>
                <w:i/>
                <w:sz w:val="22"/>
                <w:szCs w:val="22"/>
              </w:rPr>
              <w:t xml:space="preserve">and </w:t>
            </w:r>
            <w:r w:rsidRPr="00E73BCB">
              <w:rPr>
                <w:rFonts w:asciiTheme="minorHAnsi" w:hAnsiTheme="minorHAnsi"/>
                <w:i/>
                <w:sz w:val="22"/>
                <w:szCs w:val="22"/>
              </w:rPr>
              <w:t xml:space="preserve">collateral </w:t>
            </w:r>
            <w:r>
              <w:rPr>
                <w:rFonts w:asciiTheme="minorHAnsi" w:hAnsiTheme="minorHAnsi"/>
                <w:i/>
                <w:sz w:val="22"/>
                <w:szCs w:val="22"/>
              </w:rPr>
              <w:t xml:space="preserve">will be </w:t>
            </w:r>
            <w:r w:rsidRPr="00E73BCB">
              <w:rPr>
                <w:rFonts w:asciiTheme="minorHAnsi" w:hAnsiTheme="minorHAnsi"/>
                <w:i/>
                <w:sz w:val="22"/>
                <w:szCs w:val="22"/>
              </w:rPr>
              <w:t>separated on an accounting basis</w:t>
            </w:r>
            <w:r>
              <w:rPr>
                <w:rFonts w:asciiTheme="minorHAnsi" w:hAnsiTheme="minorHAnsi"/>
                <w:i/>
                <w:sz w:val="22"/>
                <w:szCs w:val="22"/>
              </w:rPr>
              <w:t>,</w:t>
            </w:r>
            <w:r w:rsidRPr="00E73BCB">
              <w:rPr>
                <w:rFonts w:asciiTheme="minorHAnsi" w:hAnsiTheme="minorHAnsi"/>
                <w:i/>
                <w:sz w:val="22"/>
                <w:szCs w:val="22"/>
              </w:rPr>
              <w:t xml:space="preserve"> rather than separate collateral accounts being needed for the SEM and I-SEM.</w:t>
            </w:r>
          </w:p>
          <w:p w:rsidR="00847E74" w:rsidRDefault="00847E74" w:rsidP="00915F97">
            <w:pPr>
              <w:rPr>
                <w:rFonts w:asciiTheme="minorHAnsi" w:hAnsiTheme="minorHAnsi"/>
                <w:sz w:val="22"/>
                <w:szCs w:val="22"/>
              </w:rPr>
            </w:pPr>
          </w:p>
          <w:p w:rsidR="00847E74" w:rsidRPr="002832EF" w:rsidRDefault="00847E74" w:rsidP="00915F97">
            <w:pPr>
              <w:rPr>
                <w:rFonts w:asciiTheme="minorHAnsi" w:hAnsiTheme="minorHAnsi"/>
                <w:b/>
                <w:i/>
                <w:sz w:val="22"/>
                <w:szCs w:val="22"/>
              </w:rPr>
            </w:pPr>
            <w:r w:rsidRPr="002832EF">
              <w:rPr>
                <w:rFonts w:asciiTheme="minorHAnsi" w:hAnsiTheme="minorHAnsi"/>
                <w:b/>
                <w:i/>
                <w:sz w:val="22"/>
                <w:szCs w:val="22"/>
              </w:rPr>
              <w:t>Entity Setup</w:t>
            </w:r>
          </w:p>
          <w:p w:rsidR="00847E74" w:rsidRDefault="00847E74" w:rsidP="00915F97">
            <w:pPr>
              <w:rPr>
                <w:rFonts w:asciiTheme="minorHAnsi" w:hAnsiTheme="minorHAnsi"/>
                <w:sz w:val="22"/>
                <w:szCs w:val="22"/>
              </w:rPr>
            </w:pPr>
            <w:r>
              <w:rPr>
                <w:rFonts w:asciiTheme="minorHAnsi" w:hAnsiTheme="minorHAnsi"/>
                <w:sz w:val="22"/>
                <w:szCs w:val="22"/>
              </w:rPr>
              <w:t>The mapping of participants in the SEM and I-SEM and therefore the assignment of financial obligations between I-SEM and SEM participants is not explicit, due to:</w:t>
            </w:r>
          </w:p>
          <w:p w:rsidR="00847E74" w:rsidRPr="0083175A" w:rsidRDefault="00847E74" w:rsidP="00847E74">
            <w:pPr>
              <w:pStyle w:val="ListParagraph"/>
              <w:numPr>
                <w:ilvl w:val="0"/>
                <w:numId w:val="47"/>
              </w:numPr>
              <w:spacing w:before="0" w:after="0" w:line="240" w:lineRule="auto"/>
              <w:contextualSpacing w:val="0"/>
              <w:rPr>
                <w:rFonts w:asciiTheme="minorHAnsi" w:hAnsiTheme="minorHAnsi"/>
              </w:rPr>
            </w:pPr>
            <w:r w:rsidRPr="0083175A">
              <w:rPr>
                <w:rFonts w:asciiTheme="minorHAnsi" w:hAnsiTheme="minorHAnsi"/>
              </w:rPr>
              <w:t>Parties amending their par</w:t>
            </w:r>
            <w:r>
              <w:rPr>
                <w:rFonts w:asciiTheme="minorHAnsi" w:hAnsiTheme="minorHAnsi"/>
              </w:rPr>
              <w:t xml:space="preserve">ticipant setup in the I-SEM </w:t>
            </w:r>
            <w:r w:rsidRPr="0083175A">
              <w:rPr>
                <w:rFonts w:asciiTheme="minorHAnsi" w:hAnsiTheme="minorHAnsi"/>
              </w:rPr>
              <w:t xml:space="preserve">either </w:t>
            </w:r>
            <w:r>
              <w:rPr>
                <w:rFonts w:asciiTheme="minorHAnsi" w:hAnsiTheme="minorHAnsi"/>
              </w:rPr>
              <w:t xml:space="preserve">through </w:t>
            </w:r>
            <w:r w:rsidRPr="0083175A">
              <w:rPr>
                <w:rFonts w:asciiTheme="minorHAnsi" w:hAnsiTheme="minorHAnsi"/>
              </w:rPr>
              <w:t>forced changes due to the new I-SEM entity model</w:t>
            </w:r>
            <w:r>
              <w:rPr>
                <w:rFonts w:asciiTheme="minorHAnsi" w:hAnsiTheme="minorHAnsi"/>
              </w:rPr>
              <w:t>,</w:t>
            </w:r>
            <w:r w:rsidRPr="0083175A">
              <w:rPr>
                <w:rFonts w:asciiTheme="minorHAnsi" w:hAnsiTheme="minorHAnsi"/>
              </w:rPr>
              <w:t xml:space="preserve"> or through their own requested changes</w:t>
            </w:r>
          </w:p>
          <w:p w:rsidR="00847E74" w:rsidRDefault="00847E74" w:rsidP="00847E74">
            <w:pPr>
              <w:pStyle w:val="ListParagraph"/>
              <w:numPr>
                <w:ilvl w:val="0"/>
                <w:numId w:val="47"/>
              </w:numPr>
              <w:spacing w:before="0" w:after="0" w:line="240" w:lineRule="auto"/>
              <w:contextualSpacing w:val="0"/>
              <w:rPr>
                <w:rFonts w:asciiTheme="minorHAnsi" w:hAnsiTheme="minorHAnsi"/>
              </w:rPr>
            </w:pPr>
            <w:r>
              <w:rPr>
                <w:rFonts w:asciiTheme="minorHAnsi" w:hAnsiTheme="minorHAnsi"/>
              </w:rPr>
              <w:t>Differences in S</w:t>
            </w:r>
            <w:r w:rsidRPr="0083175A">
              <w:rPr>
                <w:rFonts w:asciiTheme="minorHAnsi" w:hAnsiTheme="minorHAnsi"/>
              </w:rPr>
              <w:t xml:space="preserve">ettlement Reallocation Agreements </w:t>
            </w:r>
            <w:r>
              <w:rPr>
                <w:rFonts w:asciiTheme="minorHAnsi" w:hAnsiTheme="minorHAnsi"/>
              </w:rPr>
              <w:t xml:space="preserve">between Participants in the SEM and I-SEM arrangements meaning different financial obligations are present in each </w:t>
            </w:r>
            <w:r w:rsidRPr="0083175A">
              <w:rPr>
                <w:rFonts w:asciiTheme="minorHAnsi" w:hAnsiTheme="minorHAnsi"/>
              </w:rPr>
              <w:t>set of arrangements.</w:t>
            </w:r>
          </w:p>
          <w:p w:rsidR="00847E74" w:rsidRPr="00E73BCB" w:rsidRDefault="00847E74" w:rsidP="00915F97">
            <w:pPr>
              <w:rPr>
                <w:rFonts w:asciiTheme="minorHAnsi" w:hAnsiTheme="minorHAnsi"/>
                <w:i/>
              </w:rPr>
            </w:pPr>
            <w:r>
              <w:rPr>
                <w:rFonts w:asciiTheme="minorHAnsi" w:hAnsiTheme="minorHAnsi"/>
                <w:i/>
                <w:sz w:val="22"/>
                <w:szCs w:val="22"/>
              </w:rPr>
              <w:t xml:space="preserve">Solution: </w:t>
            </w:r>
            <w:r w:rsidRPr="00E73BCB">
              <w:rPr>
                <w:rFonts w:asciiTheme="minorHAnsi" w:hAnsiTheme="minorHAnsi"/>
                <w:i/>
                <w:sz w:val="22"/>
                <w:szCs w:val="22"/>
              </w:rPr>
              <w:t>this mapping from SEM to I-SEM participants is not explicit the propos</w:t>
            </w:r>
            <w:r>
              <w:rPr>
                <w:rFonts w:asciiTheme="minorHAnsi" w:hAnsiTheme="minorHAnsi"/>
                <w:i/>
                <w:sz w:val="22"/>
                <w:szCs w:val="22"/>
              </w:rPr>
              <w:t>ed approach</w:t>
            </w:r>
            <w:r w:rsidRPr="00E73BCB">
              <w:rPr>
                <w:rFonts w:asciiTheme="minorHAnsi" w:hAnsiTheme="minorHAnsi"/>
                <w:i/>
                <w:sz w:val="22"/>
                <w:szCs w:val="22"/>
              </w:rPr>
              <w:t xml:space="preserve"> involves the SEM and I-SEM Participants providing written confirmation of the mapping of SEM and I-SEM participants </w:t>
            </w:r>
            <w:r>
              <w:rPr>
                <w:rFonts w:asciiTheme="minorHAnsi" w:hAnsiTheme="minorHAnsi"/>
                <w:i/>
                <w:sz w:val="22"/>
                <w:szCs w:val="22"/>
              </w:rPr>
              <w:t xml:space="preserve">and approval to use the methodology for associating collateral with the SEM or I-SEM </w:t>
            </w:r>
            <w:r>
              <w:rPr>
                <w:rFonts w:asciiTheme="minorHAnsi" w:hAnsiTheme="minorHAnsi"/>
                <w:i/>
                <w:sz w:val="22"/>
                <w:szCs w:val="22"/>
              </w:rPr>
              <w:lastRenderedPageBreak/>
              <w:t>arrangements accordingly</w:t>
            </w:r>
            <w:r w:rsidRPr="00E73BCB">
              <w:rPr>
                <w:rFonts w:asciiTheme="minorHAnsi" w:hAnsiTheme="minorHAnsi"/>
                <w:i/>
                <w:sz w:val="22"/>
                <w:szCs w:val="22"/>
              </w:rPr>
              <w:t>.</w:t>
            </w:r>
          </w:p>
          <w:p w:rsidR="00847E74" w:rsidRDefault="00847E74" w:rsidP="00915F97">
            <w:pPr>
              <w:rPr>
                <w:rFonts w:asciiTheme="minorHAnsi" w:hAnsiTheme="minorHAnsi"/>
                <w:b/>
                <w:i/>
                <w:sz w:val="22"/>
                <w:szCs w:val="22"/>
              </w:rPr>
            </w:pPr>
          </w:p>
          <w:p w:rsidR="00847E74" w:rsidRPr="002832EF" w:rsidRDefault="00847E74" w:rsidP="00915F97">
            <w:pPr>
              <w:rPr>
                <w:rFonts w:asciiTheme="minorHAnsi" w:hAnsiTheme="minorHAnsi"/>
                <w:b/>
                <w:i/>
                <w:sz w:val="22"/>
                <w:szCs w:val="22"/>
              </w:rPr>
            </w:pPr>
            <w:r w:rsidRPr="002832EF">
              <w:rPr>
                <w:rFonts w:asciiTheme="minorHAnsi" w:hAnsiTheme="minorHAnsi"/>
                <w:b/>
                <w:i/>
                <w:sz w:val="22"/>
                <w:szCs w:val="22"/>
              </w:rPr>
              <w:t>Systems and Process</w:t>
            </w:r>
          </w:p>
          <w:p w:rsidR="00847E74" w:rsidRDefault="00847E74" w:rsidP="00915F97">
            <w:pPr>
              <w:rPr>
                <w:rFonts w:asciiTheme="minorHAnsi" w:hAnsiTheme="minorHAnsi"/>
                <w:sz w:val="22"/>
                <w:szCs w:val="22"/>
              </w:rPr>
            </w:pPr>
            <w:r>
              <w:rPr>
                <w:rFonts w:asciiTheme="minorHAnsi" w:hAnsiTheme="minorHAnsi"/>
                <w:sz w:val="22"/>
                <w:szCs w:val="22"/>
              </w:rPr>
              <w:t xml:space="preserve">The systems and processes used for the calculation of credit cover for the SEM and I-SEM are separate and distinct. They both rely on different inputs and different systems for calculation and publication. </w:t>
            </w:r>
          </w:p>
          <w:p w:rsidR="00847E74" w:rsidRDefault="00847E74" w:rsidP="00915F97">
            <w:pPr>
              <w:rPr>
                <w:rFonts w:asciiTheme="minorHAnsi" w:hAnsiTheme="minorHAnsi"/>
                <w:sz w:val="22"/>
                <w:szCs w:val="22"/>
              </w:rPr>
            </w:pPr>
            <w:r>
              <w:rPr>
                <w:rFonts w:asciiTheme="minorHAnsi" w:hAnsiTheme="minorHAnsi"/>
                <w:sz w:val="22"/>
                <w:szCs w:val="22"/>
              </w:rPr>
              <w:t>Attempting to merge these processes and arrive at combined credit cover requirement, for what is a short transitional period, is not practical given the implications for systems, resourcing, and the increased risk of error in such an approach. This impact is likely to be applicable to both Participants and the Market Operator who will need to operate under both arrangements.</w:t>
            </w:r>
          </w:p>
          <w:p w:rsidR="00847E74" w:rsidRPr="00FD5B32" w:rsidRDefault="00847E74" w:rsidP="00915F97">
            <w:pPr>
              <w:rPr>
                <w:rFonts w:asciiTheme="minorHAnsi" w:hAnsiTheme="minorHAnsi"/>
                <w:i/>
                <w:sz w:val="22"/>
                <w:szCs w:val="22"/>
              </w:rPr>
            </w:pPr>
            <w:r>
              <w:rPr>
                <w:rFonts w:asciiTheme="minorHAnsi" w:hAnsiTheme="minorHAnsi"/>
                <w:i/>
                <w:sz w:val="22"/>
                <w:szCs w:val="22"/>
              </w:rPr>
              <w:t xml:space="preserve">Solution: </w:t>
            </w:r>
            <w:r w:rsidRPr="00FD5B32">
              <w:rPr>
                <w:rFonts w:asciiTheme="minorHAnsi" w:hAnsiTheme="minorHAnsi"/>
                <w:i/>
                <w:sz w:val="22"/>
                <w:szCs w:val="22"/>
              </w:rPr>
              <w:t>separate credit report runs will be maintained for SEM and I-SEM during the Transitional Period. Allocations of Posted Credit Cover associated with each will be based on rules of accounting</w:t>
            </w:r>
            <w:r>
              <w:rPr>
                <w:rFonts w:asciiTheme="minorHAnsi" w:hAnsiTheme="minorHAnsi"/>
                <w:i/>
                <w:sz w:val="22"/>
                <w:szCs w:val="22"/>
              </w:rPr>
              <w:t xml:space="preserve"> for the</w:t>
            </w:r>
            <w:r w:rsidRPr="00FD5B32">
              <w:rPr>
                <w:rFonts w:asciiTheme="minorHAnsi" w:hAnsiTheme="minorHAnsi"/>
                <w:i/>
                <w:sz w:val="22"/>
                <w:szCs w:val="22"/>
              </w:rPr>
              <w:t xml:space="preserve"> allocation of Posted Credit Cover to the SEM and I-SEM defined in the Transitional Rules</w:t>
            </w:r>
            <w:r>
              <w:rPr>
                <w:rFonts w:asciiTheme="minorHAnsi" w:hAnsiTheme="minorHAnsi"/>
                <w:i/>
                <w:sz w:val="22"/>
                <w:szCs w:val="22"/>
              </w:rPr>
              <w:t xml:space="preserve"> via this Modification</w:t>
            </w:r>
            <w:r w:rsidRPr="00FD5B32">
              <w:rPr>
                <w:rFonts w:asciiTheme="minorHAnsi" w:hAnsiTheme="minorHAnsi"/>
                <w:i/>
                <w:sz w:val="22"/>
                <w:szCs w:val="22"/>
              </w:rPr>
              <w:t>.</w:t>
            </w:r>
          </w:p>
          <w:p w:rsidR="00847E74" w:rsidRDefault="00847E74" w:rsidP="00915F97">
            <w:pPr>
              <w:rPr>
                <w:rFonts w:asciiTheme="minorHAnsi" w:hAnsiTheme="minorHAnsi"/>
                <w:sz w:val="22"/>
                <w:szCs w:val="22"/>
              </w:rPr>
            </w:pPr>
          </w:p>
          <w:p w:rsidR="00847E74" w:rsidRPr="00EA71BB" w:rsidRDefault="00847E74" w:rsidP="00915F97">
            <w:pPr>
              <w:rPr>
                <w:rFonts w:asciiTheme="minorHAnsi" w:hAnsiTheme="minorHAnsi"/>
                <w:b/>
                <w:i/>
                <w:sz w:val="22"/>
                <w:szCs w:val="22"/>
              </w:rPr>
            </w:pPr>
            <w:r w:rsidRPr="00EA71BB">
              <w:rPr>
                <w:rFonts w:asciiTheme="minorHAnsi" w:hAnsiTheme="minorHAnsi"/>
                <w:b/>
                <w:i/>
                <w:sz w:val="22"/>
                <w:szCs w:val="22"/>
              </w:rPr>
              <w:t>Credit Cover Related Documentation</w:t>
            </w:r>
          </w:p>
          <w:p w:rsidR="00847E74" w:rsidRPr="00EA71BB" w:rsidRDefault="00847E74" w:rsidP="00915F97">
            <w:pPr>
              <w:rPr>
                <w:rFonts w:asciiTheme="minorHAnsi" w:hAnsiTheme="minorHAnsi"/>
                <w:sz w:val="22"/>
                <w:szCs w:val="22"/>
              </w:rPr>
            </w:pPr>
            <w:r w:rsidRPr="00EA71BB">
              <w:rPr>
                <w:rFonts w:asciiTheme="minorHAnsi" w:hAnsiTheme="minorHAnsi"/>
                <w:sz w:val="22"/>
                <w:szCs w:val="22"/>
              </w:rPr>
              <w:t xml:space="preserve">Certain references in Credit Cover related documentation, such as Deeds of Charge and Letters of Credit, are specifically related to only Part A of the TSC. </w:t>
            </w:r>
          </w:p>
          <w:p w:rsidR="00847E74" w:rsidRPr="00E73BCB" w:rsidRDefault="00847E74" w:rsidP="00915F97">
            <w:pPr>
              <w:rPr>
                <w:rFonts w:asciiTheme="minorHAnsi" w:hAnsiTheme="minorHAnsi"/>
                <w:i/>
                <w:sz w:val="22"/>
                <w:szCs w:val="22"/>
              </w:rPr>
            </w:pPr>
            <w:r>
              <w:rPr>
                <w:rFonts w:asciiTheme="minorHAnsi" w:hAnsiTheme="minorHAnsi"/>
                <w:i/>
                <w:sz w:val="22"/>
                <w:szCs w:val="22"/>
              </w:rPr>
              <w:t>Solution:</w:t>
            </w:r>
            <w:r w:rsidRPr="00EA71BB">
              <w:rPr>
                <w:rFonts w:asciiTheme="minorHAnsi" w:hAnsiTheme="minorHAnsi"/>
                <w:i/>
                <w:sz w:val="22"/>
                <w:szCs w:val="22"/>
              </w:rPr>
              <w:t xml:space="preserve"> there will be a requirement to amend or provide new versions of these documents to reference both Part A and Part B of the TSC.</w:t>
            </w:r>
          </w:p>
          <w:p w:rsidR="00847E74" w:rsidRPr="000C5BEF" w:rsidRDefault="00847E74" w:rsidP="00915F97">
            <w:pPr>
              <w:rPr>
                <w:rFonts w:asciiTheme="minorHAnsi" w:hAnsiTheme="minorHAnsi"/>
                <w:sz w:val="22"/>
                <w:szCs w:val="22"/>
              </w:rPr>
            </w:pPr>
          </w:p>
          <w:p w:rsidR="00847E74" w:rsidRPr="002832EF" w:rsidRDefault="00847E74" w:rsidP="00915F97">
            <w:pPr>
              <w:rPr>
                <w:rFonts w:asciiTheme="minorHAnsi" w:hAnsiTheme="minorHAnsi"/>
                <w:b/>
                <w:sz w:val="24"/>
                <w:szCs w:val="24"/>
              </w:rPr>
            </w:pPr>
            <w:r w:rsidRPr="00010E5B">
              <w:rPr>
                <w:rFonts w:asciiTheme="minorHAnsi" w:hAnsiTheme="minorHAnsi"/>
                <w:b/>
                <w:sz w:val="24"/>
                <w:szCs w:val="24"/>
              </w:rPr>
              <w:t>Implications</w:t>
            </w:r>
          </w:p>
          <w:p w:rsidR="00847E74" w:rsidRDefault="00847E74" w:rsidP="00915F97">
            <w:pPr>
              <w:rPr>
                <w:rFonts w:asciiTheme="minorHAnsi" w:hAnsiTheme="minorHAnsi"/>
                <w:sz w:val="22"/>
                <w:szCs w:val="22"/>
              </w:rPr>
            </w:pPr>
          </w:p>
          <w:p w:rsidR="00847E74" w:rsidRPr="000C5BEF" w:rsidRDefault="00847E74" w:rsidP="00915F97">
            <w:pPr>
              <w:rPr>
                <w:rFonts w:asciiTheme="minorHAnsi" w:hAnsiTheme="minorHAnsi"/>
                <w:sz w:val="22"/>
                <w:szCs w:val="22"/>
              </w:rPr>
            </w:pPr>
            <w:r w:rsidRPr="000C5BEF">
              <w:rPr>
                <w:rFonts w:asciiTheme="minorHAnsi" w:hAnsiTheme="minorHAnsi"/>
                <w:sz w:val="22"/>
                <w:szCs w:val="22"/>
              </w:rPr>
              <w:t>The implications are that Participants will need to:</w:t>
            </w:r>
          </w:p>
          <w:p w:rsidR="00847E74" w:rsidRDefault="00847E74" w:rsidP="00847E74">
            <w:pPr>
              <w:pStyle w:val="ListParagraph"/>
              <w:numPr>
                <w:ilvl w:val="0"/>
                <w:numId w:val="43"/>
              </w:numPr>
              <w:spacing w:before="0" w:after="0" w:line="240" w:lineRule="auto"/>
              <w:contextualSpacing w:val="0"/>
              <w:rPr>
                <w:rFonts w:asciiTheme="minorHAnsi" w:hAnsiTheme="minorHAnsi"/>
              </w:rPr>
            </w:pPr>
            <w:r w:rsidRPr="000C5BEF">
              <w:rPr>
                <w:rFonts w:asciiTheme="minorHAnsi" w:hAnsiTheme="minorHAnsi"/>
              </w:rPr>
              <w:t>Maintain their existing SEM</w:t>
            </w:r>
            <w:r>
              <w:rPr>
                <w:rFonts w:asciiTheme="minorHAnsi" w:hAnsiTheme="minorHAnsi"/>
              </w:rPr>
              <w:t xml:space="preserve"> Letters of Credit</w:t>
            </w:r>
            <w:r w:rsidRPr="000C5BEF">
              <w:rPr>
                <w:rFonts w:asciiTheme="minorHAnsi" w:hAnsiTheme="minorHAnsi"/>
              </w:rPr>
              <w:t xml:space="preserve"> </w:t>
            </w:r>
            <w:r>
              <w:rPr>
                <w:rFonts w:asciiTheme="minorHAnsi" w:hAnsiTheme="minorHAnsi"/>
              </w:rPr>
              <w:t>(</w:t>
            </w:r>
            <w:r w:rsidRPr="000C5BEF">
              <w:rPr>
                <w:rFonts w:asciiTheme="minorHAnsi" w:hAnsiTheme="minorHAnsi"/>
              </w:rPr>
              <w:t>L</w:t>
            </w:r>
            <w:r>
              <w:rPr>
                <w:rFonts w:asciiTheme="minorHAnsi" w:hAnsiTheme="minorHAnsi"/>
              </w:rPr>
              <w:t>O</w:t>
            </w:r>
            <w:r w:rsidRPr="000C5BEF">
              <w:rPr>
                <w:rFonts w:asciiTheme="minorHAnsi" w:hAnsiTheme="minorHAnsi"/>
              </w:rPr>
              <w:t>C’s</w:t>
            </w:r>
            <w:r>
              <w:rPr>
                <w:rFonts w:asciiTheme="minorHAnsi" w:hAnsiTheme="minorHAnsi"/>
              </w:rPr>
              <w:t>)</w:t>
            </w:r>
            <w:r w:rsidRPr="000C5BEF">
              <w:rPr>
                <w:rFonts w:asciiTheme="minorHAnsi" w:hAnsiTheme="minorHAnsi"/>
              </w:rPr>
              <w:t xml:space="preserve"> </w:t>
            </w:r>
            <w:r>
              <w:rPr>
                <w:rFonts w:asciiTheme="minorHAnsi" w:hAnsiTheme="minorHAnsi"/>
              </w:rPr>
              <w:t>and/</w:t>
            </w:r>
            <w:r w:rsidRPr="000C5BEF">
              <w:rPr>
                <w:rFonts w:asciiTheme="minorHAnsi" w:hAnsiTheme="minorHAnsi"/>
              </w:rPr>
              <w:t>or cash collateral accounts</w:t>
            </w:r>
            <w:r>
              <w:rPr>
                <w:rFonts w:asciiTheme="minorHAnsi" w:hAnsiTheme="minorHAnsi"/>
              </w:rPr>
              <w:t xml:space="preserve"> (with amendments needing to be submitted to the LOC wording) to cover both the SEM and I-SEM collateral requirements</w:t>
            </w:r>
          </w:p>
          <w:p w:rsidR="00847E74" w:rsidRPr="000C5BEF" w:rsidRDefault="00847E74" w:rsidP="00847E74">
            <w:pPr>
              <w:pStyle w:val="ListParagraph"/>
              <w:numPr>
                <w:ilvl w:val="0"/>
                <w:numId w:val="43"/>
              </w:numPr>
              <w:spacing w:before="0" w:after="0" w:line="240" w:lineRule="auto"/>
              <w:contextualSpacing w:val="0"/>
              <w:rPr>
                <w:rFonts w:asciiTheme="minorHAnsi" w:hAnsiTheme="minorHAnsi"/>
              </w:rPr>
            </w:pPr>
            <w:r>
              <w:rPr>
                <w:rFonts w:asciiTheme="minorHAnsi" w:hAnsiTheme="minorHAnsi"/>
              </w:rPr>
              <w:t>submission of new Deeds of Charge and associated documentation to make them applicable to both SEM and I-SEM</w:t>
            </w:r>
          </w:p>
          <w:p w:rsidR="00847E74" w:rsidRDefault="00847E74" w:rsidP="00847E74">
            <w:pPr>
              <w:pStyle w:val="ListParagraph"/>
              <w:numPr>
                <w:ilvl w:val="0"/>
                <w:numId w:val="43"/>
              </w:numPr>
              <w:spacing w:before="0" w:after="0" w:line="240" w:lineRule="auto"/>
              <w:contextualSpacing w:val="0"/>
              <w:rPr>
                <w:rFonts w:asciiTheme="minorHAnsi" w:hAnsiTheme="minorHAnsi"/>
              </w:rPr>
            </w:pPr>
            <w:r>
              <w:rPr>
                <w:rFonts w:asciiTheme="minorHAnsi" w:hAnsiTheme="minorHAnsi"/>
              </w:rPr>
              <w:t>Provide written confirmation of the linkage between the SEM and I-SEM Participants to ensure that Posted Credit Cover is accounted for correctly between the two, and they are not then treated as separate participants and need to maintain separate (and therefore duplicate) Posted Credit Cover.</w:t>
            </w:r>
          </w:p>
          <w:p w:rsidR="00847E74" w:rsidRPr="000C5BEF" w:rsidRDefault="00847E74" w:rsidP="00847E74">
            <w:pPr>
              <w:pStyle w:val="ListParagraph"/>
              <w:numPr>
                <w:ilvl w:val="0"/>
                <w:numId w:val="43"/>
              </w:numPr>
              <w:spacing w:before="0" w:after="0" w:line="240" w:lineRule="auto"/>
              <w:contextualSpacing w:val="0"/>
              <w:rPr>
                <w:rFonts w:asciiTheme="minorHAnsi" w:hAnsiTheme="minorHAnsi"/>
              </w:rPr>
            </w:pPr>
            <w:r>
              <w:rPr>
                <w:rFonts w:asciiTheme="minorHAnsi" w:hAnsiTheme="minorHAnsi"/>
              </w:rPr>
              <w:t xml:space="preserve">Monitor their Required Credit Cover in both SEM and I-SEM during the Transitional Period to ensure they comply with credit cover </w:t>
            </w:r>
            <w:proofErr w:type="spellStart"/>
            <w:r>
              <w:rPr>
                <w:rFonts w:asciiTheme="minorHAnsi" w:hAnsiTheme="minorHAnsi"/>
              </w:rPr>
              <w:t>requirments</w:t>
            </w:r>
            <w:proofErr w:type="spellEnd"/>
            <w:r>
              <w:rPr>
                <w:rFonts w:asciiTheme="minorHAnsi" w:hAnsiTheme="minorHAnsi"/>
              </w:rPr>
              <w:t xml:space="preserve"> under both sets of arrangements</w:t>
            </w:r>
          </w:p>
          <w:p w:rsidR="00847E74" w:rsidRPr="000C5BEF" w:rsidRDefault="00847E74" w:rsidP="00915F97">
            <w:pPr>
              <w:rPr>
                <w:rFonts w:asciiTheme="minorHAnsi" w:hAnsiTheme="minorHAnsi"/>
                <w:sz w:val="22"/>
                <w:szCs w:val="22"/>
              </w:rPr>
            </w:pPr>
          </w:p>
          <w:p w:rsidR="00847E74" w:rsidRPr="000C5BEF" w:rsidRDefault="00847E74" w:rsidP="00915F97">
            <w:pPr>
              <w:rPr>
                <w:rFonts w:asciiTheme="minorHAnsi" w:hAnsiTheme="minorHAnsi"/>
                <w:sz w:val="22"/>
                <w:szCs w:val="22"/>
              </w:rPr>
            </w:pPr>
            <w:r w:rsidRPr="000C5BEF">
              <w:rPr>
                <w:rFonts w:asciiTheme="minorHAnsi" w:hAnsiTheme="minorHAnsi"/>
                <w:sz w:val="22"/>
                <w:szCs w:val="22"/>
              </w:rPr>
              <w:t>Th</w:t>
            </w:r>
            <w:r>
              <w:rPr>
                <w:rFonts w:asciiTheme="minorHAnsi" w:hAnsiTheme="minorHAnsi"/>
                <w:sz w:val="22"/>
                <w:szCs w:val="22"/>
              </w:rPr>
              <w:t>e proposed approach</w:t>
            </w:r>
            <w:r w:rsidRPr="000C5BEF">
              <w:rPr>
                <w:rFonts w:asciiTheme="minorHAnsi" w:hAnsiTheme="minorHAnsi"/>
                <w:sz w:val="22"/>
                <w:szCs w:val="22"/>
              </w:rPr>
              <w:t xml:space="preserve"> will require a number of activities to be performed by </w:t>
            </w:r>
            <w:r>
              <w:rPr>
                <w:rFonts w:asciiTheme="minorHAnsi" w:hAnsiTheme="minorHAnsi"/>
                <w:sz w:val="22"/>
                <w:szCs w:val="22"/>
              </w:rPr>
              <w:t xml:space="preserve">Participants, </w:t>
            </w:r>
            <w:r w:rsidRPr="000C5BEF">
              <w:rPr>
                <w:rFonts w:asciiTheme="minorHAnsi" w:hAnsiTheme="minorHAnsi"/>
                <w:sz w:val="22"/>
                <w:szCs w:val="22"/>
              </w:rPr>
              <w:t xml:space="preserve">SEMO, </w:t>
            </w:r>
            <w:r>
              <w:rPr>
                <w:rFonts w:asciiTheme="minorHAnsi" w:hAnsiTheme="minorHAnsi"/>
                <w:sz w:val="22"/>
                <w:szCs w:val="22"/>
              </w:rPr>
              <w:t>and the SEM Bank in order to ensure credit cover</w:t>
            </w:r>
            <w:r w:rsidRPr="000C5BEF">
              <w:rPr>
                <w:rFonts w:asciiTheme="minorHAnsi" w:hAnsiTheme="minorHAnsi"/>
                <w:sz w:val="22"/>
                <w:szCs w:val="22"/>
              </w:rPr>
              <w:t xml:space="preserve"> requirements are met.</w:t>
            </w:r>
          </w:p>
          <w:p w:rsidR="00847E74" w:rsidRPr="000C5BEF" w:rsidRDefault="00847E74" w:rsidP="00915F97">
            <w:pPr>
              <w:rPr>
                <w:rFonts w:asciiTheme="minorHAnsi" w:hAnsiTheme="minorHAnsi"/>
                <w:sz w:val="22"/>
                <w:szCs w:val="22"/>
              </w:rPr>
            </w:pPr>
          </w:p>
          <w:p w:rsidR="00847E74" w:rsidRPr="002832EF" w:rsidRDefault="00847E74" w:rsidP="00915F97">
            <w:pPr>
              <w:rPr>
                <w:rFonts w:asciiTheme="minorHAnsi" w:hAnsiTheme="minorHAnsi"/>
                <w:b/>
                <w:bCs/>
                <w:iCs/>
                <w:sz w:val="24"/>
                <w:szCs w:val="24"/>
              </w:rPr>
            </w:pPr>
            <w:r w:rsidRPr="002832EF">
              <w:rPr>
                <w:rFonts w:asciiTheme="minorHAnsi" w:hAnsiTheme="minorHAnsi"/>
                <w:b/>
                <w:bCs/>
                <w:iCs/>
                <w:sz w:val="24"/>
                <w:szCs w:val="24"/>
              </w:rPr>
              <w:t>Calculation of I-SEM Initial Credit Cover Requirements</w:t>
            </w:r>
          </w:p>
          <w:p w:rsidR="00847E74" w:rsidRPr="0062574E" w:rsidRDefault="00847E74" w:rsidP="00915F97">
            <w:pPr>
              <w:rPr>
                <w:lang w:val="en-US"/>
              </w:rPr>
            </w:pPr>
          </w:p>
          <w:p w:rsidR="00847E74" w:rsidRPr="000C5BEF" w:rsidRDefault="00847E74" w:rsidP="00915F97">
            <w:pPr>
              <w:rPr>
                <w:rFonts w:asciiTheme="minorHAnsi" w:hAnsiTheme="minorHAnsi"/>
                <w:sz w:val="22"/>
                <w:szCs w:val="22"/>
              </w:rPr>
            </w:pPr>
            <w:r w:rsidRPr="000C5BEF">
              <w:rPr>
                <w:rFonts w:asciiTheme="minorHAnsi" w:hAnsiTheme="minorHAnsi"/>
                <w:sz w:val="22"/>
                <w:szCs w:val="22"/>
              </w:rPr>
              <w:t xml:space="preserve">SEMO must calculate and provide each Participant with their Initial Credit Cover Requirement (ICCR) well ahead of I-SEM go-live to ensure Participants have sufficient time to </w:t>
            </w:r>
            <w:r>
              <w:rPr>
                <w:rFonts w:asciiTheme="minorHAnsi" w:hAnsiTheme="minorHAnsi"/>
                <w:sz w:val="22"/>
                <w:szCs w:val="22"/>
              </w:rPr>
              <w:t xml:space="preserve">consider whether they need additional credit cover facilities in place and to </w:t>
            </w:r>
            <w:r w:rsidRPr="000C5BEF">
              <w:rPr>
                <w:rFonts w:asciiTheme="minorHAnsi" w:hAnsiTheme="minorHAnsi"/>
                <w:sz w:val="22"/>
                <w:szCs w:val="22"/>
              </w:rPr>
              <w:t xml:space="preserve">organize </w:t>
            </w:r>
            <w:r>
              <w:rPr>
                <w:rFonts w:asciiTheme="minorHAnsi" w:hAnsiTheme="minorHAnsi"/>
                <w:sz w:val="22"/>
                <w:szCs w:val="22"/>
              </w:rPr>
              <w:t>such a facility.</w:t>
            </w:r>
          </w:p>
          <w:p w:rsidR="00847E74" w:rsidRPr="000C5BEF"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sidRPr="000C5BEF">
              <w:rPr>
                <w:rFonts w:asciiTheme="minorHAnsi" w:hAnsiTheme="minorHAnsi"/>
                <w:sz w:val="22"/>
                <w:szCs w:val="22"/>
              </w:rPr>
              <w:t>While there are rules for classifying Participants as ‘New’ or ‘Adjusted’ Participants under the TSC Part B</w:t>
            </w:r>
            <w:r>
              <w:rPr>
                <w:rFonts w:asciiTheme="minorHAnsi" w:hAnsiTheme="minorHAnsi"/>
                <w:sz w:val="22"/>
                <w:szCs w:val="22"/>
              </w:rPr>
              <w:t xml:space="preserve"> (I-SEM</w:t>
            </w:r>
            <w:r w:rsidRPr="000C5BEF">
              <w:rPr>
                <w:rFonts w:asciiTheme="minorHAnsi" w:hAnsiTheme="minorHAnsi"/>
                <w:sz w:val="22"/>
                <w:szCs w:val="22"/>
              </w:rPr>
              <w:t xml:space="preserve">), in order to calculate ICCR the equations are reliant on the existence of historical </w:t>
            </w:r>
            <w:r>
              <w:rPr>
                <w:rFonts w:asciiTheme="minorHAnsi" w:hAnsiTheme="minorHAnsi"/>
                <w:sz w:val="22"/>
                <w:szCs w:val="22"/>
              </w:rPr>
              <w:t>I</w:t>
            </w:r>
            <w:r w:rsidRPr="000C5BEF">
              <w:rPr>
                <w:rFonts w:asciiTheme="minorHAnsi" w:hAnsiTheme="minorHAnsi"/>
                <w:sz w:val="22"/>
                <w:szCs w:val="22"/>
              </w:rPr>
              <w:t xml:space="preserve">mbalance </w:t>
            </w:r>
            <w:r>
              <w:rPr>
                <w:rFonts w:asciiTheme="minorHAnsi" w:hAnsiTheme="minorHAnsi"/>
                <w:sz w:val="22"/>
                <w:szCs w:val="22"/>
              </w:rPr>
              <w:t>P</w:t>
            </w:r>
            <w:r w:rsidRPr="000C5BEF">
              <w:rPr>
                <w:rFonts w:asciiTheme="minorHAnsi" w:hAnsiTheme="minorHAnsi"/>
                <w:sz w:val="22"/>
                <w:szCs w:val="22"/>
              </w:rPr>
              <w:t>rices to determine the applicable Credit Assessment Price. Because there is no historical basis for the Imbalance Price a methodology for determining the initial</w:t>
            </w:r>
            <w:r>
              <w:rPr>
                <w:rFonts w:asciiTheme="minorHAnsi" w:hAnsiTheme="minorHAnsi"/>
                <w:sz w:val="22"/>
                <w:szCs w:val="22"/>
              </w:rPr>
              <w:t xml:space="preserve"> Credit Assessment Price</w:t>
            </w:r>
            <w:r w:rsidRPr="000C5BEF">
              <w:rPr>
                <w:rFonts w:asciiTheme="minorHAnsi" w:hAnsiTheme="minorHAnsi"/>
                <w:sz w:val="22"/>
                <w:szCs w:val="22"/>
              </w:rPr>
              <w:t xml:space="preserve"> is needed.</w:t>
            </w:r>
          </w:p>
          <w:p w:rsidR="00847E74" w:rsidRDefault="00847E74" w:rsidP="00915F97">
            <w:pPr>
              <w:rPr>
                <w:rFonts w:asciiTheme="minorHAnsi" w:hAnsiTheme="minorHAnsi"/>
                <w:sz w:val="22"/>
                <w:szCs w:val="22"/>
              </w:rPr>
            </w:pPr>
          </w:p>
          <w:p w:rsidR="00847E74" w:rsidRPr="00681F03" w:rsidRDefault="00847E74" w:rsidP="00915F97">
            <w:pPr>
              <w:rPr>
                <w:rFonts w:asciiTheme="minorHAnsi" w:hAnsiTheme="minorHAnsi"/>
                <w:b/>
                <w:sz w:val="24"/>
                <w:szCs w:val="24"/>
              </w:rPr>
            </w:pPr>
            <w:r w:rsidRPr="00681F03">
              <w:rPr>
                <w:rFonts w:asciiTheme="minorHAnsi" w:hAnsiTheme="minorHAnsi"/>
                <w:b/>
                <w:sz w:val="24"/>
                <w:szCs w:val="24"/>
              </w:rPr>
              <w:t>Proposed Approach</w:t>
            </w:r>
          </w:p>
          <w:p w:rsidR="00847E74" w:rsidRDefault="00847E74" w:rsidP="00915F97">
            <w:pPr>
              <w:rPr>
                <w:rFonts w:asciiTheme="minorHAnsi" w:hAnsiTheme="minorHAnsi"/>
                <w:sz w:val="22"/>
                <w:szCs w:val="22"/>
              </w:rPr>
            </w:pPr>
          </w:p>
          <w:p w:rsidR="00847E74" w:rsidRPr="000C5BEF" w:rsidRDefault="00847E74" w:rsidP="00915F97">
            <w:pPr>
              <w:rPr>
                <w:rFonts w:asciiTheme="minorHAnsi" w:hAnsiTheme="minorHAnsi"/>
                <w:sz w:val="22"/>
                <w:szCs w:val="22"/>
              </w:rPr>
            </w:pPr>
            <w:r w:rsidRPr="000C5BEF">
              <w:rPr>
                <w:rFonts w:asciiTheme="minorHAnsi" w:hAnsiTheme="minorHAnsi"/>
                <w:sz w:val="22"/>
                <w:szCs w:val="22"/>
              </w:rPr>
              <w:t>The proposed approach</w:t>
            </w:r>
            <w:r>
              <w:rPr>
                <w:rFonts w:asciiTheme="minorHAnsi" w:hAnsiTheme="minorHAnsi"/>
                <w:sz w:val="22"/>
                <w:szCs w:val="22"/>
              </w:rPr>
              <w:t>,</w:t>
            </w:r>
            <w:r w:rsidRPr="000C5BEF">
              <w:rPr>
                <w:rFonts w:asciiTheme="minorHAnsi" w:hAnsiTheme="minorHAnsi"/>
                <w:sz w:val="22"/>
                <w:szCs w:val="22"/>
              </w:rPr>
              <w:t xml:space="preserve"> </w:t>
            </w:r>
            <w:r>
              <w:rPr>
                <w:rFonts w:asciiTheme="minorHAnsi" w:hAnsiTheme="minorHAnsi"/>
                <w:sz w:val="22"/>
                <w:szCs w:val="22"/>
              </w:rPr>
              <w:t>with broad timelines indicated, is provided below.</w:t>
            </w:r>
          </w:p>
          <w:p w:rsidR="00847E74" w:rsidRDefault="00847E74" w:rsidP="00915F97"/>
          <w:p w:rsidR="00847E74" w:rsidRPr="00531815" w:rsidRDefault="00847E74" w:rsidP="00915F97">
            <w:r w:rsidRPr="000554F9">
              <w:rPr>
                <w:noProof/>
                <w:lang w:val="en-IE" w:eastAsia="en-IE"/>
              </w:rPr>
              <w:t xml:space="preserve"> </w:t>
            </w:r>
            <w:r>
              <w:rPr>
                <w:noProof/>
                <w:lang w:val="en-IE" w:eastAsia="en-IE" w:bidi="ar-SA"/>
              </w:rPr>
              <w:drawing>
                <wp:inline distT="0" distB="0" distL="0" distR="0">
                  <wp:extent cx="5753100" cy="3343275"/>
                  <wp:effectExtent l="1905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4"/>
                          <a:srcRect b="-720"/>
                          <a:stretch>
                            <a:fillRect/>
                          </a:stretch>
                        </pic:blipFill>
                        <pic:spPr bwMode="auto">
                          <a:xfrm>
                            <a:off x="0" y="0"/>
                            <a:ext cx="5753100" cy="3343275"/>
                          </a:xfrm>
                          <a:prstGeom prst="rect">
                            <a:avLst/>
                          </a:prstGeom>
                          <a:noFill/>
                          <a:ln w="9525">
                            <a:noFill/>
                            <a:miter lim="800000"/>
                            <a:headEnd/>
                            <a:tailEnd/>
                          </a:ln>
                        </pic:spPr>
                      </pic:pic>
                    </a:graphicData>
                  </a:graphic>
                </wp:inline>
              </w:drawing>
            </w:r>
          </w:p>
          <w:p w:rsidR="00847E74" w:rsidRPr="000C5BEF" w:rsidRDefault="00847E74" w:rsidP="00915F97">
            <w:pPr>
              <w:rPr>
                <w:rFonts w:asciiTheme="minorHAnsi" w:hAnsiTheme="minorHAnsi"/>
                <w:sz w:val="22"/>
                <w:szCs w:val="22"/>
              </w:rPr>
            </w:pPr>
          </w:p>
          <w:p w:rsidR="00847E74" w:rsidRDefault="00847E74" w:rsidP="00915F97">
            <w:pPr>
              <w:rPr>
                <w:rFonts w:ascii="Calibri" w:hAnsi="Calibri" w:cs="Arial"/>
                <w:sz w:val="22"/>
                <w:szCs w:val="22"/>
                <w:lang w:val="en-IE"/>
              </w:rPr>
            </w:pPr>
            <w:r w:rsidRPr="00D2092F">
              <w:rPr>
                <w:rFonts w:ascii="Calibri" w:hAnsi="Calibri" w:cs="Arial"/>
                <w:b/>
                <w:sz w:val="22"/>
                <w:szCs w:val="22"/>
                <w:lang w:val="en-IE"/>
              </w:rPr>
              <w:t>Appendix A</w:t>
            </w:r>
            <w:r w:rsidRPr="00D2092F">
              <w:rPr>
                <w:rFonts w:ascii="Calibri" w:hAnsi="Calibri" w:cs="Arial"/>
                <w:sz w:val="22"/>
                <w:szCs w:val="22"/>
                <w:lang w:val="en-IE"/>
              </w:rPr>
              <w:t xml:space="preserve"> accompanying this Modification Proposal provides a more detailed draft of the timeline proposed for the activities related to the Transitional Credit Cover Provisions. This is provided as indicative only and is subject to confirmation with the SEM Bank and other parties involved.  The intention </w:t>
            </w:r>
            <w:r>
              <w:rPr>
                <w:rFonts w:ascii="Calibri" w:hAnsi="Calibri" w:cs="Arial"/>
                <w:sz w:val="22"/>
                <w:szCs w:val="22"/>
                <w:lang w:val="en-IE"/>
              </w:rPr>
              <w:t>is</w:t>
            </w:r>
            <w:r w:rsidRPr="00D2092F">
              <w:rPr>
                <w:rFonts w:ascii="Calibri" w:hAnsi="Calibri" w:cs="Arial"/>
                <w:sz w:val="22"/>
                <w:szCs w:val="22"/>
                <w:lang w:val="en-IE"/>
              </w:rPr>
              <w:t xml:space="preserve"> to include this timeline as part of the published Transitional Registration Plan in order to provide Participants with a clear indication of the timelines they need to adhere to.</w:t>
            </w:r>
          </w:p>
          <w:p w:rsidR="00847E74" w:rsidRPr="00D2092F" w:rsidRDefault="00847E74" w:rsidP="00915F97">
            <w:pPr>
              <w:rPr>
                <w:rFonts w:ascii="Calibri" w:hAnsi="Calibri" w:cs="Arial"/>
                <w:sz w:val="22"/>
                <w:szCs w:val="22"/>
                <w:lang w:val="en-IE"/>
              </w:rPr>
            </w:pPr>
          </w:p>
          <w:p w:rsidR="00847E74" w:rsidRDefault="00847E74" w:rsidP="00915F97">
            <w:pPr>
              <w:rPr>
                <w:rFonts w:ascii="Calibri" w:hAnsi="Calibri" w:cs="Arial"/>
                <w:lang w:val="en-IE"/>
              </w:rPr>
            </w:pPr>
          </w:p>
          <w:p w:rsidR="00847E74" w:rsidRDefault="00847E74" w:rsidP="00915F97">
            <w:pPr>
              <w:rPr>
                <w:rFonts w:asciiTheme="minorHAnsi" w:hAnsiTheme="minorHAnsi"/>
                <w:b/>
                <w:bCs/>
                <w:sz w:val="24"/>
                <w:szCs w:val="24"/>
              </w:rPr>
            </w:pPr>
            <w:r>
              <w:rPr>
                <w:rFonts w:asciiTheme="minorHAnsi" w:hAnsiTheme="minorHAnsi"/>
                <w:b/>
                <w:bCs/>
                <w:sz w:val="24"/>
                <w:szCs w:val="24"/>
              </w:rPr>
              <w:t xml:space="preserve">Modifications to make Credit Cover Requirements work during the Transitional Period </w:t>
            </w:r>
          </w:p>
          <w:p w:rsidR="00847E74" w:rsidRDefault="00847E74" w:rsidP="00915F97">
            <w:pPr>
              <w:rPr>
                <w:rFonts w:asciiTheme="minorHAnsi" w:hAnsiTheme="minorHAnsi"/>
                <w:b/>
                <w:bCs/>
                <w:sz w:val="24"/>
                <w:szCs w:val="24"/>
              </w:rPr>
            </w:pPr>
          </w:p>
          <w:p w:rsidR="00847E74" w:rsidRDefault="00847E74" w:rsidP="00915F97">
            <w:pPr>
              <w:rPr>
                <w:rFonts w:asciiTheme="minorHAnsi" w:hAnsiTheme="minorHAnsi"/>
                <w:bCs/>
                <w:sz w:val="22"/>
                <w:szCs w:val="22"/>
              </w:rPr>
            </w:pPr>
            <w:r>
              <w:rPr>
                <w:rFonts w:asciiTheme="minorHAnsi" w:hAnsiTheme="minorHAnsi"/>
                <w:bCs/>
                <w:sz w:val="22"/>
                <w:szCs w:val="22"/>
              </w:rPr>
              <w:t xml:space="preserve">The general approach is to classify all I-SEM Participants as ‘New’ for the purposes of calculation of ICCR and I-SEM credit cover during the transitional period, and to apply the relevant Part B credit </w:t>
            </w:r>
            <w:proofErr w:type="spellStart"/>
            <w:r>
              <w:rPr>
                <w:rFonts w:asciiTheme="minorHAnsi" w:hAnsiTheme="minorHAnsi"/>
                <w:bCs/>
                <w:sz w:val="22"/>
                <w:szCs w:val="22"/>
              </w:rPr>
              <w:t>calcuations</w:t>
            </w:r>
            <w:proofErr w:type="spellEnd"/>
            <w:r>
              <w:rPr>
                <w:rFonts w:asciiTheme="minorHAnsi" w:hAnsiTheme="minorHAnsi"/>
                <w:bCs/>
                <w:sz w:val="22"/>
                <w:szCs w:val="22"/>
              </w:rPr>
              <w:t>. However there are some elements of the existing TSC that require amendment.</w:t>
            </w:r>
          </w:p>
          <w:p w:rsidR="00847E74" w:rsidRDefault="00847E74" w:rsidP="00915F97">
            <w:pPr>
              <w:rPr>
                <w:rFonts w:asciiTheme="minorHAnsi" w:hAnsiTheme="minorHAnsi"/>
                <w:bCs/>
                <w:sz w:val="22"/>
                <w:szCs w:val="22"/>
              </w:rPr>
            </w:pPr>
            <w:r>
              <w:rPr>
                <w:rFonts w:asciiTheme="minorHAnsi" w:hAnsiTheme="minorHAnsi"/>
                <w:bCs/>
                <w:sz w:val="22"/>
                <w:szCs w:val="22"/>
              </w:rPr>
              <w:t xml:space="preserve"> </w:t>
            </w:r>
          </w:p>
          <w:p w:rsidR="00847E74" w:rsidRPr="005E300F" w:rsidRDefault="00847E74" w:rsidP="00915F97">
            <w:pPr>
              <w:rPr>
                <w:rFonts w:asciiTheme="minorHAnsi" w:hAnsiTheme="minorHAnsi"/>
                <w:bCs/>
                <w:sz w:val="22"/>
                <w:szCs w:val="22"/>
              </w:rPr>
            </w:pPr>
            <w:r w:rsidRPr="005E300F">
              <w:rPr>
                <w:rFonts w:asciiTheme="minorHAnsi" w:hAnsiTheme="minorHAnsi"/>
                <w:bCs/>
                <w:sz w:val="22"/>
                <w:szCs w:val="22"/>
              </w:rPr>
              <w:t xml:space="preserve">The following </w:t>
            </w:r>
            <w:r>
              <w:rPr>
                <w:rFonts w:asciiTheme="minorHAnsi" w:hAnsiTheme="minorHAnsi"/>
                <w:bCs/>
                <w:sz w:val="22"/>
                <w:szCs w:val="22"/>
              </w:rPr>
              <w:t xml:space="preserve">provides a </w:t>
            </w:r>
            <w:r w:rsidRPr="005E300F">
              <w:rPr>
                <w:rFonts w:asciiTheme="minorHAnsi" w:hAnsiTheme="minorHAnsi"/>
                <w:bCs/>
                <w:sz w:val="22"/>
                <w:szCs w:val="22"/>
              </w:rPr>
              <w:t xml:space="preserve">description of the elements of the proposal </w:t>
            </w:r>
            <w:r>
              <w:rPr>
                <w:rFonts w:asciiTheme="minorHAnsi" w:hAnsiTheme="minorHAnsi"/>
                <w:bCs/>
                <w:sz w:val="22"/>
                <w:szCs w:val="22"/>
              </w:rPr>
              <w:t>that look to make interim amendments to  the existing</w:t>
            </w:r>
            <w:r w:rsidRPr="005E300F">
              <w:rPr>
                <w:rFonts w:asciiTheme="minorHAnsi" w:hAnsiTheme="minorHAnsi"/>
                <w:bCs/>
                <w:sz w:val="22"/>
                <w:szCs w:val="22"/>
              </w:rPr>
              <w:t xml:space="preserve"> TSC </w:t>
            </w:r>
            <w:r>
              <w:rPr>
                <w:rFonts w:asciiTheme="minorHAnsi" w:hAnsiTheme="minorHAnsi"/>
                <w:bCs/>
                <w:sz w:val="22"/>
                <w:szCs w:val="22"/>
              </w:rPr>
              <w:t>rules</w:t>
            </w:r>
            <w:r w:rsidRPr="005E300F">
              <w:rPr>
                <w:rFonts w:asciiTheme="minorHAnsi" w:hAnsiTheme="minorHAnsi"/>
                <w:bCs/>
                <w:sz w:val="22"/>
                <w:szCs w:val="22"/>
              </w:rPr>
              <w:t xml:space="preserve"> to make them implementable as Transitional Credit Cover Provisions.</w:t>
            </w:r>
          </w:p>
          <w:p w:rsidR="00847E74" w:rsidRPr="005E300F" w:rsidRDefault="00847E74" w:rsidP="00915F97">
            <w:pPr>
              <w:rPr>
                <w:rFonts w:asciiTheme="minorHAnsi" w:hAnsiTheme="minorHAnsi"/>
                <w:bCs/>
                <w:sz w:val="22"/>
                <w:szCs w:val="22"/>
              </w:rPr>
            </w:pPr>
            <w:r w:rsidRPr="005E300F">
              <w:rPr>
                <w:rFonts w:asciiTheme="minorHAnsi" w:hAnsiTheme="minorHAnsi"/>
                <w:bCs/>
                <w:sz w:val="22"/>
                <w:szCs w:val="22"/>
              </w:rPr>
              <w:t>These elements include:</w:t>
            </w:r>
          </w:p>
          <w:p w:rsidR="00847E74" w:rsidRPr="005E300F" w:rsidRDefault="00847E74" w:rsidP="00847E74">
            <w:pPr>
              <w:pStyle w:val="ListParagraph"/>
              <w:numPr>
                <w:ilvl w:val="0"/>
                <w:numId w:val="44"/>
              </w:numPr>
              <w:spacing w:before="0" w:after="0" w:line="240" w:lineRule="auto"/>
              <w:contextualSpacing w:val="0"/>
              <w:rPr>
                <w:rFonts w:asciiTheme="minorHAnsi" w:hAnsiTheme="minorHAnsi"/>
                <w:bCs/>
              </w:rPr>
            </w:pPr>
            <w:r w:rsidRPr="005E300F">
              <w:rPr>
                <w:rFonts w:asciiTheme="minorHAnsi" w:hAnsiTheme="minorHAnsi"/>
                <w:bCs/>
              </w:rPr>
              <w:t xml:space="preserve">A methodology for determination </w:t>
            </w:r>
            <w:r>
              <w:rPr>
                <w:rFonts w:asciiTheme="minorHAnsi" w:hAnsiTheme="minorHAnsi"/>
                <w:bCs/>
              </w:rPr>
              <w:t xml:space="preserve">and application </w:t>
            </w:r>
            <w:r w:rsidRPr="005E300F">
              <w:rPr>
                <w:rFonts w:asciiTheme="minorHAnsi" w:hAnsiTheme="minorHAnsi"/>
                <w:bCs/>
              </w:rPr>
              <w:t>of the Credit Assessment Price</w:t>
            </w:r>
          </w:p>
          <w:p w:rsidR="00847E74" w:rsidRPr="005E300F" w:rsidRDefault="00847E74" w:rsidP="00847E74">
            <w:pPr>
              <w:pStyle w:val="ListParagraph"/>
              <w:numPr>
                <w:ilvl w:val="0"/>
                <w:numId w:val="44"/>
              </w:numPr>
              <w:spacing w:before="0" w:after="0" w:line="240" w:lineRule="auto"/>
              <w:contextualSpacing w:val="0"/>
              <w:rPr>
                <w:rFonts w:asciiTheme="minorHAnsi" w:hAnsiTheme="minorHAnsi"/>
                <w:bCs/>
              </w:rPr>
            </w:pPr>
            <w:r w:rsidRPr="005E300F">
              <w:rPr>
                <w:rFonts w:asciiTheme="minorHAnsi" w:hAnsiTheme="minorHAnsi"/>
                <w:bCs/>
              </w:rPr>
              <w:t>A methodology for determination and use of Forecast Volumes</w:t>
            </w:r>
          </w:p>
          <w:p w:rsidR="00847E74" w:rsidRPr="005E300F" w:rsidRDefault="00847E74" w:rsidP="00847E74">
            <w:pPr>
              <w:pStyle w:val="ListParagraph"/>
              <w:numPr>
                <w:ilvl w:val="0"/>
                <w:numId w:val="44"/>
              </w:numPr>
              <w:spacing w:before="0" w:after="0" w:line="240" w:lineRule="auto"/>
              <w:contextualSpacing w:val="0"/>
              <w:rPr>
                <w:rFonts w:asciiTheme="minorHAnsi" w:hAnsiTheme="minorHAnsi"/>
                <w:bCs/>
              </w:rPr>
            </w:pPr>
            <w:r w:rsidRPr="005E300F">
              <w:rPr>
                <w:rFonts w:asciiTheme="minorHAnsi" w:hAnsiTheme="minorHAnsi"/>
                <w:bCs/>
              </w:rPr>
              <w:t xml:space="preserve">A </w:t>
            </w:r>
            <w:r>
              <w:rPr>
                <w:rFonts w:asciiTheme="minorHAnsi" w:hAnsiTheme="minorHAnsi"/>
                <w:bCs/>
              </w:rPr>
              <w:t>p</w:t>
            </w:r>
            <w:r w:rsidRPr="005E300F">
              <w:rPr>
                <w:rFonts w:asciiTheme="minorHAnsi" w:hAnsiTheme="minorHAnsi"/>
                <w:bCs/>
              </w:rPr>
              <w:t xml:space="preserve">rocedure for </w:t>
            </w:r>
            <w:r>
              <w:rPr>
                <w:rFonts w:asciiTheme="minorHAnsi" w:hAnsiTheme="minorHAnsi"/>
                <w:bCs/>
              </w:rPr>
              <w:t>the accounting of participant c</w:t>
            </w:r>
            <w:r w:rsidRPr="005E300F">
              <w:rPr>
                <w:rFonts w:asciiTheme="minorHAnsi" w:hAnsiTheme="minorHAnsi"/>
                <w:bCs/>
              </w:rPr>
              <w:t xml:space="preserve">ollateral </w:t>
            </w:r>
            <w:r>
              <w:rPr>
                <w:rFonts w:asciiTheme="minorHAnsi" w:hAnsiTheme="minorHAnsi"/>
                <w:bCs/>
              </w:rPr>
              <w:t xml:space="preserve">as relating to the </w:t>
            </w:r>
            <w:r w:rsidRPr="005E300F">
              <w:rPr>
                <w:rFonts w:asciiTheme="minorHAnsi" w:hAnsiTheme="minorHAnsi"/>
                <w:bCs/>
              </w:rPr>
              <w:t xml:space="preserve">SEM </w:t>
            </w:r>
            <w:r>
              <w:rPr>
                <w:rFonts w:asciiTheme="minorHAnsi" w:hAnsiTheme="minorHAnsi"/>
                <w:bCs/>
              </w:rPr>
              <w:t xml:space="preserve">or </w:t>
            </w:r>
            <w:r w:rsidRPr="005E300F">
              <w:rPr>
                <w:rFonts w:asciiTheme="minorHAnsi" w:hAnsiTheme="minorHAnsi"/>
                <w:bCs/>
              </w:rPr>
              <w:t>I-SEM</w:t>
            </w:r>
          </w:p>
          <w:p w:rsidR="00847E74" w:rsidRDefault="00847E74" w:rsidP="00915F97">
            <w:pPr>
              <w:rPr>
                <w:rFonts w:asciiTheme="minorHAnsi" w:hAnsiTheme="minorHAnsi"/>
                <w:b/>
                <w:bCs/>
                <w:sz w:val="24"/>
                <w:szCs w:val="24"/>
              </w:rPr>
            </w:pPr>
          </w:p>
          <w:p w:rsidR="00847E74" w:rsidRPr="002832EF" w:rsidRDefault="00847E74" w:rsidP="00915F97">
            <w:pPr>
              <w:rPr>
                <w:rFonts w:asciiTheme="minorHAnsi" w:hAnsiTheme="minorHAnsi"/>
                <w:b/>
                <w:bCs/>
                <w:i/>
                <w:sz w:val="22"/>
                <w:szCs w:val="22"/>
              </w:rPr>
            </w:pPr>
            <w:r w:rsidRPr="00010E5B">
              <w:rPr>
                <w:rFonts w:asciiTheme="minorHAnsi" w:hAnsiTheme="minorHAnsi"/>
                <w:b/>
                <w:bCs/>
                <w:i/>
                <w:sz w:val="22"/>
                <w:szCs w:val="22"/>
              </w:rPr>
              <w:t>Methodology for Determination</w:t>
            </w:r>
            <w:r>
              <w:rPr>
                <w:rFonts w:asciiTheme="minorHAnsi" w:hAnsiTheme="minorHAnsi"/>
                <w:b/>
                <w:bCs/>
                <w:i/>
                <w:sz w:val="22"/>
                <w:szCs w:val="22"/>
              </w:rPr>
              <w:t xml:space="preserve"> and Application</w:t>
            </w:r>
            <w:r w:rsidRPr="00010E5B">
              <w:rPr>
                <w:rFonts w:asciiTheme="minorHAnsi" w:hAnsiTheme="minorHAnsi"/>
                <w:b/>
                <w:bCs/>
                <w:i/>
                <w:sz w:val="22"/>
                <w:szCs w:val="22"/>
              </w:rPr>
              <w:t xml:space="preserve"> of Credit Assessment Price</w:t>
            </w:r>
            <w:r>
              <w:rPr>
                <w:rFonts w:asciiTheme="minorHAnsi" w:hAnsiTheme="minorHAnsi"/>
                <w:b/>
                <w:bCs/>
                <w:i/>
                <w:sz w:val="22"/>
                <w:szCs w:val="22"/>
              </w:rPr>
              <w:t>s</w:t>
            </w:r>
          </w:p>
          <w:p w:rsidR="00847E74" w:rsidRDefault="00847E74" w:rsidP="00915F97"/>
          <w:p w:rsidR="00847E74" w:rsidRDefault="00847E74" w:rsidP="00915F97">
            <w:pPr>
              <w:rPr>
                <w:rFonts w:asciiTheme="minorHAnsi" w:hAnsiTheme="minorHAnsi"/>
                <w:sz w:val="22"/>
                <w:szCs w:val="22"/>
              </w:rPr>
            </w:pPr>
            <w:r>
              <w:rPr>
                <w:rFonts w:asciiTheme="minorHAnsi" w:hAnsiTheme="minorHAnsi"/>
                <w:sz w:val="22"/>
                <w:szCs w:val="22"/>
              </w:rPr>
              <w:t>T</w:t>
            </w:r>
            <w:r w:rsidRPr="0062574E">
              <w:rPr>
                <w:rFonts w:asciiTheme="minorHAnsi" w:hAnsiTheme="minorHAnsi"/>
                <w:sz w:val="22"/>
                <w:szCs w:val="22"/>
              </w:rPr>
              <w:t>here will be no historical Imbalance Prices to use for the determina</w:t>
            </w:r>
            <w:r>
              <w:rPr>
                <w:rFonts w:asciiTheme="minorHAnsi" w:hAnsiTheme="minorHAnsi"/>
                <w:sz w:val="22"/>
                <w:szCs w:val="22"/>
              </w:rPr>
              <w:t xml:space="preserve">tion of the Credit Assessment </w:t>
            </w:r>
            <w:r w:rsidRPr="0062574E">
              <w:rPr>
                <w:rFonts w:asciiTheme="minorHAnsi" w:hAnsiTheme="minorHAnsi"/>
                <w:sz w:val="22"/>
                <w:szCs w:val="22"/>
              </w:rPr>
              <w:t xml:space="preserve">Price, although all other inputs </w:t>
            </w:r>
            <w:r>
              <w:rPr>
                <w:rFonts w:asciiTheme="minorHAnsi" w:hAnsiTheme="minorHAnsi"/>
                <w:sz w:val="22"/>
                <w:szCs w:val="22"/>
              </w:rPr>
              <w:t>to the Credit Assessment Price should be known by</w:t>
            </w:r>
            <w:r w:rsidRPr="0062574E">
              <w:rPr>
                <w:rFonts w:asciiTheme="minorHAnsi" w:hAnsiTheme="minorHAnsi"/>
                <w:sz w:val="22"/>
                <w:szCs w:val="22"/>
              </w:rPr>
              <w:t xml:space="preserve"> February</w:t>
            </w:r>
            <w:r>
              <w:rPr>
                <w:rFonts w:asciiTheme="minorHAnsi" w:hAnsiTheme="minorHAnsi"/>
                <w:sz w:val="22"/>
                <w:szCs w:val="22"/>
              </w:rPr>
              <w:t xml:space="preserve"> 2018</w:t>
            </w:r>
            <w:r w:rsidRPr="0062574E">
              <w:rPr>
                <w:rFonts w:asciiTheme="minorHAnsi" w:hAnsiTheme="minorHAnsi"/>
                <w:sz w:val="22"/>
                <w:szCs w:val="22"/>
              </w:rPr>
              <w:t>.</w:t>
            </w:r>
          </w:p>
          <w:p w:rsidR="00847E74" w:rsidRPr="0062574E" w:rsidRDefault="00847E74" w:rsidP="00915F97">
            <w:pPr>
              <w:rPr>
                <w:rFonts w:asciiTheme="minorHAnsi" w:hAnsiTheme="minorHAnsi"/>
                <w:sz w:val="22"/>
                <w:szCs w:val="22"/>
              </w:rPr>
            </w:pPr>
          </w:p>
          <w:p w:rsidR="00847E74" w:rsidRPr="0062574E" w:rsidRDefault="00847E74" w:rsidP="00915F97">
            <w:pPr>
              <w:rPr>
                <w:rFonts w:asciiTheme="minorHAnsi" w:hAnsiTheme="minorHAnsi"/>
                <w:sz w:val="22"/>
                <w:szCs w:val="22"/>
              </w:rPr>
            </w:pPr>
            <w:r>
              <w:rPr>
                <w:rFonts w:asciiTheme="minorHAnsi" w:hAnsiTheme="minorHAnsi"/>
                <w:sz w:val="22"/>
                <w:szCs w:val="22"/>
              </w:rPr>
              <w:t>Calculation of a</w:t>
            </w:r>
            <w:r w:rsidRPr="0062574E">
              <w:rPr>
                <w:rFonts w:asciiTheme="minorHAnsi" w:hAnsiTheme="minorHAnsi"/>
                <w:sz w:val="22"/>
                <w:szCs w:val="22"/>
              </w:rPr>
              <w:t xml:space="preserve"> forecast Imbalance Price </w:t>
            </w:r>
            <w:r>
              <w:rPr>
                <w:rFonts w:asciiTheme="minorHAnsi" w:hAnsiTheme="minorHAnsi"/>
                <w:sz w:val="22"/>
                <w:szCs w:val="22"/>
              </w:rPr>
              <w:t xml:space="preserve">is an extremely subjective topic and one that could be debated for many months or years. </w:t>
            </w:r>
            <w:r w:rsidRPr="0062574E">
              <w:rPr>
                <w:rFonts w:asciiTheme="minorHAnsi" w:hAnsiTheme="minorHAnsi"/>
                <w:sz w:val="22"/>
                <w:szCs w:val="22"/>
              </w:rPr>
              <w:t xml:space="preserve">However, the proposal </w:t>
            </w:r>
            <w:r>
              <w:rPr>
                <w:rFonts w:asciiTheme="minorHAnsi" w:hAnsiTheme="minorHAnsi"/>
                <w:sz w:val="22"/>
                <w:szCs w:val="22"/>
              </w:rPr>
              <w:t>applies a pragmatic approach which utilises the existing SEM Shadow Price information as a basis for the calculation of forecast Imbalance Prices. This is based on the premise that S</w:t>
            </w:r>
            <w:r w:rsidRPr="0062574E">
              <w:rPr>
                <w:rFonts w:asciiTheme="minorHAnsi" w:hAnsiTheme="minorHAnsi"/>
                <w:sz w:val="22"/>
                <w:szCs w:val="22"/>
              </w:rPr>
              <w:t xml:space="preserve">hadow </w:t>
            </w:r>
            <w:r>
              <w:rPr>
                <w:rFonts w:asciiTheme="minorHAnsi" w:hAnsiTheme="minorHAnsi"/>
                <w:sz w:val="22"/>
                <w:szCs w:val="22"/>
              </w:rPr>
              <w:t>P</w:t>
            </w:r>
            <w:r w:rsidRPr="0062574E">
              <w:rPr>
                <w:rFonts w:asciiTheme="minorHAnsi" w:hAnsiTheme="minorHAnsi"/>
                <w:sz w:val="22"/>
                <w:szCs w:val="22"/>
              </w:rPr>
              <w:t xml:space="preserve">rices </w:t>
            </w:r>
            <w:r>
              <w:rPr>
                <w:rFonts w:asciiTheme="minorHAnsi" w:hAnsiTheme="minorHAnsi"/>
                <w:sz w:val="22"/>
                <w:szCs w:val="22"/>
              </w:rPr>
              <w:t xml:space="preserve">could be considered a </w:t>
            </w:r>
            <w:r w:rsidRPr="0062574E">
              <w:rPr>
                <w:rFonts w:asciiTheme="minorHAnsi" w:hAnsiTheme="minorHAnsi"/>
                <w:sz w:val="22"/>
                <w:szCs w:val="22"/>
              </w:rPr>
              <w:t>de</w:t>
            </w:r>
            <w:r>
              <w:rPr>
                <w:rFonts w:asciiTheme="minorHAnsi" w:hAnsiTheme="minorHAnsi"/>
                <w:sz w:val="22"/>
                <w:szCs w:val="22"/>
              </w:rPr>
              <w:t xml:space="preserve"> </w:t>
            </w:r>
            <w:r w:rsidRPr="0062574E">
              <w:rPr>
                <w:rFonts w:asciiTheme="minorHAnsi" w:hAnsiTheme="minorHAnsi"/>
                <w:sz w:val="22"/>
                <w:szCs w:val="22"/>
              </w:rPr>
              <w:t>facto for</w:t>
            </w:r>
            <w:r>
              <w:rPr>
                <w:rFonts w:asciiTheme="minorHAnsi" w:hAnsiTheme="minorHAnsi"/>
                <w:sz w:val="22"/>
                <w:szCs w:val="22"/>
              </w:rPr>
              <w:t xml:space="preserve"> the price in the I-SEM balancing market as they are both reflective of the marginal incremental cost of generation.</w:t>
            </w:r>
          </w:p>
          <w:p w:rsidR="00847E74"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sidRPr="0062574E">
              <w:rPr>
                <w:rFonts w:asciiTheme="minorHAnsi" w:hAnsiTheme="minorHAnsi"/>
                <w:sz w:val="22"/>
                <w:szCs w:val="22"/>
              </w:rPr>
              <w:t xml:space="preserve">The </w:t>
            </w:r>
            <w:r>
              <w:rPr>
                <w:rFonts w:asciiTheme="minorHAnsi" w:hAnsiTheme="minorHAnsi"/>
                <w:sz w:val="22"/>
                <w:szCs w:val="22"/>
              </w:rPr>
              <w:t>methodology is described below and entails using historical Shadow Prices to forecast Imbalance Prices from the I-SEM Cutover Time, then applying the standard methodology in the TSC (G.14.2.3 through G.14.2.6)  to determine a Credit Assessment Price and a Combined Credit Assessment Price (CCAP).The Credit Assessment Prices is then fixed and applied for the first 100 days of the I-SEM to provide stability and certainty to Participants on their credit cover requirements. The specific steps are:</w:t>
            </w:r>
          </w:p>
          <w:p w:rsidR="00847E74" w:rsidRDefault="00847E74" w:rsidP="00915F97">
            <w:pPr>
              <w:rPr>
                <w:rFonts w:asciiTheme="minorHAnsi" w:hAnsiTheme="minorHAnsi"/>
                <w:sz w:val="22"/>
                <w:szCs w:val="22"/>
              </w:rPr>
            </w:pPr>
          </w:p>
          <w:p w:rsidR="00847E74" w:rsidRDefault="00847E74" w:rsidP="00847E74">
            <w:pPr>
              <w:pStyle w:val="ListParagraph"/>
              <w:numPr>
                <w:ilvl w:val="0"/>
                <w:numId w:val="46"/>
              </w:numPr>
              <w:spacing w:before="0" w:after="0" w:line="240" w:lineRule="auto"/>
              <w:contextualSpacing w:val="0"/>
            </w:pPr>
            <w:r>
              <w:t>Calculate previous SEM financial year’s (Oct 2016 to Sept2017) and the current SEM financial year’s (up to the 14 weeks prior to the Cutover Time) daily average historical Shadow Prices</w:t>
            </w:r>
          </w:p>
          <w:p w:rsidR="00847E74" w:rsidRDefault="00847E74" w:rsidP="00847E74">
            <w:pPr>
              <w:pStyle w:val="ListParagraph"/>
              <w:numPr>
                <w:ilvl w:val="0"/>
                <w:numId w:val="46"/>
              </w:numPr>
              <w:spacing w:before="0" w:after="0" w:line="240" w:lineRule="auto"/>
              <w:contextualSpacing w:val="0"/>
            </w:pPr>
            <w:r>
              <w:t xml:space="preserve">Calculate the </w:t>
            </w:r>
            <w:r w:rsidRPr="004D2BBE">
              <w:t>ratio</w:t>
            </w:r>
            <w:r>
              <w:t>,</w:t>
            </w:r>
            <w:r w:rsidRPr="004D2BBE">
              <w:t xml:space="preserve"> for each day</w:t>
            </w:r>
            <w:r>
              <w:t xml:space="preserve">, </w:t>
            </w:r>
            <w:r w:rsidRPr="004D2BBE">
              <w:t xml:space="preserve">in the current </w:t>
            </w:r>
            <w:r>
              <w:t xml:space="preserve">SEM financial </w:t>
            </w:r>
            <w:r w:rsidRPr="004D2BBE">
              <w:t>year</w:t>
            </w:r>
            <w:r>
              <w:t xml:space="preserve"> that </w:t>
            </w:r>
            <w:r w:rsidRPr="004D2BBE">
              <w:t xml:space="preserve">we have a daily </w:t>
            </w:r>
            <w:r w:rsidRPr="004D2BBE">
              <w:lastRenderedPageBreak/>
              <w:t xml:space="preserve">average </w:t>
            </w:r>
            <w:r>
              <w:t>Shadow P</w:t>
            </w:r>
            <w:r w:rsidRPr="004D2BBE">
              <w:t>rice</w:t>
            </w:r>
            <w:r>
              <w:t xml:space="preserve"> </w:t>
            </w:r>
            <w:r w:rsidRPr="004D2BBE">
              <w:t>(i.e., cutover – 1</w:t>
            </w:r>
            <w:r>
              <w:t>4</w:t>
            </w:r>
            <w:r w:rsidRPr="004D2BBE">
              <w:t xml:space="preserve"> weeks)</w:t>
            </w:r>
            <w:r>
              <w:t>, relative to the same day in the previous calendar year</w:t>
            </w:r>
          </w:p>
          <w:p w:rsidR="00847E74" w:rsidRDefault="00847E74" w:rsidP="00847E74">
            <w:pPr>
              <w:pStyle w:val="ListParagraph"/>
              <w:numPr>
                <w:ilvl w:val="0"/>
                <w:numId w:val="46"/>
              </w:numPr>
              <w:spacing w:before="0" w:after="0" w:line="240" w:lineRule="auto"/>
              <w:contextualSpacing w:val="0"/>
            </w:pPr>
            <w:r>
              <w:t xml:space="preserve">Calculate </w:t>
            </w:r>
            <w:r w:rsidRPr="006E6BB2">
              <w:t>a single average of all the daily</w:t>
            </w:r>
            <w:r>
              <w:t xml:space="preserve"> ratios calculated in the current SEM financial year.</w:t>
            </w:r>
          </w:p>
          <w:p w:rsidR="00847E74" w:rsidRDefault="00847E74" w:rsidP="00847E74">
            <w:pPr>
              <w:pStyle w:val="ListParagraph"/>
              <w:numPr>
                <w:ilvl w:val="0"/>
                <w:numId w:val="46"/>
              </w:numPr>
              <w:spacing w:before="0" w:after="0" w:line="240" w:lineRule="auto"/>
              <w:contextualSpacing w:val="0"/>
            </w:pPr>
            <w:r>
              <w:t xml:space="preserve">Based on this obtain a forecast daily average Shadow Price for each day from 14 weeks prior to the Cutover Time up to Cutover Time using the relevant previous calendar years daily average Shadow Prices </w:t>
            </w:r>
            <w:proofErr w:type="spellStart"/>
            <w:r>
              <w:t>mulitipled</w:t>
            </w:r>
            <w:proofErr w:type="spellEnd"/>
            <w:r>
              <w:t xml:space="preserve"> by the single average daily ratio.</w:t>
            </w:r>
          </w:p>
          <w:p w:rsidR="00847E74" w:rsidRDefault="00847E74" w:rsidP="00847E74">
            <w:pPr>
              <w:pStyle w:val="ListParagraph"/>
              <w:numPr>
                <w:ilvl w:val="0"/>
                <w:numId w:val="46"/>
              </w:numPr>
              <w:spacing w:before="0" w:after="0" w:line="240" w:lineRule="auto"/>
              <w:contextualSpacing w:val="0"/>
            </w:pPr>
            <w:r>
              <w:t xml:space="preserve">Set the Daily Average Imbalance Prices that are used for calculation of the Credit Assessment Price equal to the values determined in step 1 for the current SEM financial year until the date 14 weeks before the Cutover Time. </w:t>
            </w:r>
          </w:p>
          <w:p w:rsidR="00847E74" w:rsidRDefault="00847E74" w:rsidP="00847E74">
            <w:pPr>
              <w:pStyle w:val="ListParagraph"/>
              <w:numPr>
                <w:ilvl w:val="0"/>
                <w:numId w:val="46"/>
              </w:numPr>
              <w:spacing w:before="0" w:after="0" w:line="240" w:lineRule="auto"/>
              <w:contextualSpacing w:val="0"/>
            </w:pPr>
            <w:r>
              <w:t>Set the Daily Average Imbalance Prices that are used for calculation of the Credit Assessment Price equal to the values calculated in step 4 for the current calendar year from 14 weeks prior to the Cutover Time until the Cutover Time.</w:t>
            </w:r>
          </w:p>
          <w:p w:rsidR="00847E74" w:rsidRDefault="00847E74" w:rsidP="00847E74">
            <w:pPr>
              <w:pStyle w:val="ListParagraph"/>
              <w:numPr>
                <w:ilvl w:val="0"/>
                <w:numId w:val="46"/>
              </w:numPr>
              <w:spacing w:before="0" w:after="0" w:line="240" w:lineRule="auto"/>
              <w:contextualSpacing w:val="0"/>
            </w:pPr>
            <w:r>
              <w:t>Use the set Daily Average Imbalance Prices to determine a fixed Credit Assessment Price for the first 100 days of ISEM based on G 14.2.2 to G 14.2.5.</w:t>
            </w:r>
          </w:p>
          <w:p w:rsidR="00847E74" w:rsidRDefault="00847E74" w:rsidP="00915F97">
            <w:pPr>
              <w:pStyle w:val="ListParagraph"/>
              <w:rPr>
                <w:rFonts w:cs="Arial"/>
                <w:lang w:val="en-IE"/>
              </w:rPr>
            </w:pPr>
          </w:p>
          <w:p w:rsidR="00847E74" w:rsidRPr="002832EF" w:rsidRDefault="00847E74" w:rsidP="00915F97">
            <w:pPr>
              <w:rPr>
                <w:rFonts w:asciiTheme="minorHAnsi" w:hAnsiTheme="minorHAnsi"/>
                <w:b/>
                <w:bCs/>
                <w:i/>
                <w:sz w:val="22"/>
                <w:szCs w:val="22"/>
              </w:rPr>
            </w:pPr>
            <w:r w:rsidRPr="00010E5B">
              <w:rPr>
                <w:rFonts w:asciiTheme="minorHAnsi" w:hAnsiTheme="minorHAnsi"/>
                <w:b/>
                <w:bCs/>
                <w:i/>
                <w:sz w:val="22"/>
                <w:szCs w:val="22"/>
              </w:rPr>
              <w:t>Methodology for Determination of Forecast Volumes</w:t>
            </w:r>
          </w:p>
          <w:p w:rsidR="00847E74" w:rsidRPr="0073498F" w:rsidRDefault="00847E74" w:rsidP="00915F97">
            <w:pPr>
              <w:rPr>
                <w:i/>
              </w:rPr>
            </w:pPr>
          </w:p>
          <w:p w:rsidR="00847E74" w:rsidRPr="00681F03" w:rsidRDefault="00847E74" w:rsidP="00915F97">
            <w:pPr>
              <w:rPr>
                <w:rFonts w:asciiTheme="minorHAnsi" w:hAnsiTheme="minorHAnsi"/>
                <w:sz w:val="22"/>
                <w:szCs w:val="22"/>
              </w:rPr>
            </w:pPr>
            <w:r w:rsidRPr="00681F03">
              <w:rPr>
                <w:rFonts w:asciiTheme="minorHAnsi" w:hAnsiTheme="minorHAnsi"/>
                <w:sz w:val="22"/>
                <w:szCs w:val="22"/>
              </w:rPr>
              <w:t xml:space="preserve">Given the nature of the I-SEM design the use of historical volumes for the determination of ICCR is not practical or appropriate. For example, I-SEM Generator standard credit cover calculations for the future exposure are based on historical ‘daily amounts’. These relate to the SEM where all volumes are going through the Ex-Post market. However, for the I-SEM the volumes going through the TSC settlement will only be for imbalance settlement. Hence reliance on the ‘daily amounts’ from the SEM is not appropriate. </w:t>
            </w:r>
          </w:p>
          <w:p w:rsidR="00847E74"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sidRPr="00681F03">
              <w:rPr>
                <w:rFonts w:asciiTheme="minorHAnsi" w:hAnsiTheme="minorHAnsi"/>
                <w:sz w:val="22"/>
                <w:szCs w:val="22"/>
              </w:rPr>
              <w:t>Therefore, it is appropriate for simplicity, transparency and efficiency to classify all units as ‘new’ for the I-SEM and request forecast</w:t>
            </w:r>
            <w:r>
              <w:rPr>
                <w:rFonts w:asciiTheme="minorHAnsi" w:hAnsiTheme="minorHAnsi"/>
                <w:sz w:val="22"/>
                <w:szCs w:val="22"/>
              </w:rPr>
              <w:t xml:space="preserve"> Imbalance and Metered Demand</w:t>
            </w:r>
            <w:r w:rsidRPr="00681F03">
              <w:rPr>
                <w:rFonts w:asciiTheme="minorHAnsi" w:hAnsiTheme="minorHAnsi"/>
                <w:sz w:val="22"/>
                <w:szCs w:val="22"/>
              </w:rPr>
              <w:t xml:space="preserve"> volumes from Participants</w:t>
            </w:r>
            <w:r>
              <w:rPr>
                <w:rFonts w:asciiTheme="minorHAnsi" w:hAnsiTheme="minorHAnsi"/>
                <w:sz w:val="22"/>
                <w:szCs w:val="22"/>
              </w:rPr>
              <w:t xml:space="preserve"> for their Generators and Suppliers respectively. These volumes will then</w:t>
            </w:r>
            <w:r w:rsidRPr="00681F03">
              <w:rPr>
                <w:rFonts w:asciiTheme="minorHAnsi" w:hAnsiTheme="minorHAnsi"/>
                <w:sz w:val="22"/>
                <w:szCs w:val="22"/>
              </w:rPr>
              <w:t xml:space="preserve"> be used for calculation of the ICCR and also for the initial period of the I-SEM until sufficient</w:t>
            </w:r>
            <w:r>
              <w:rPr>
                <w:rFonts w:asciiTheme="minorHAnsi" w:hAnsiTheme="minorHAnsi"/>
                <w:sz w:val="22"/>
                <w:szCs w:val="22"/>
              </w:rPr>
              <w:t xml:space="preserve"> (100 days)</w:t>
            </w:r>
            <w:r w:rsidRPr="00681F03">
              <w:rPr>
                <w:rFonts w:asciiTheme="minorHAnsi" w:hAnsiTheme="minorHAnsi"/>
                <w:sz w:val="22"/>
                <w:szCs w:val="22"/>
              </w:rPr>
              <w:t xml:space="preserve"> historical information is available</w:t>
            </w:r>
            <w:r>
              <w:rPr>
                <w:rFonts w:asciiTheme="minorHAnsi" w:hAnsiTheme="minorHAnsi"/>
                <w:sz w:val="22"/>
                <w:szCs w:val="22"/>
              </w:rPr>
              <w:t xml:space="preserve"> to apply the Standard Participant approach </w:t>
            </w:r>
          </w:p>
          <w:p w:rsidR="00847E74"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Pr>
                <w:rFonts w:asciiTheme="minorHAnsi" w:hAnsiTheme="minorHAnsi"/>
                <w:sz w:val="22"/>
                <w:szCs w:val="22"/>
              </w:rPr>
              <w:t>Consideration as part of the use of forecast volumes was given to including Code amendments to give SEMO powers to reject forecast volumes and stop a Participant becoming effective under Part B of the Code, if SEMO believed the forecast volumes were not representative. This has not been included in the amendment for the following reasons:</w:t>
            </w:r>
          </w:p>
          <w:p w:rsidR="00847E74" w:rsidRDefault="00847E74" w:rsidP="00847E74">
            <w:pPr>
              <w:pStyle w:val="ListParagraph"/>
              <w:numPr>
                <w:ilvl w:val="0"/>
                <w:numId w:val="44"/>
              </w:numPr>
              <w:spacing w:before="0" w:after="0" w:line="240" w:lineRule="auto"/>
              <w:contextualSpacing w:val="0"/>
              <w:rPr>
                <w:rFonts w:asciiTheme="minorHAnsi" w:hAnsiTheme="minorHAnsi"/>
              </w:rPr>
            </w:pPr>
            <w:r>
              <w:rPr>
                <w:rFonts w:asciiTheme="minorHAnsi" w:hAnsiTheme="minorHAnsi"/>
              </w:rPr>
              <w:t>The general principle of the Code and SEMO’s role as administrator, is that SEMO do no make subjective decisions  but administer the Code through objective and defined rules.</w:t>
            </w:r>
          </w:p>
          <w:p w:rsidR="00847E74" w:rsidRDefault="00847E74" w:rsidP="00847E74">
            <w:pPr>
              <w:pStyle w:val="ListParagraph"/>
              <w:numPr>
                <w:ilvl w:val="0"/>
                <w:numId w:val="44"/>
              </w:numPr>
              <w:spacing w:before="0" w:after="0" w:line="240" w:lineRule="auto"/>
              <w:contextualSpacing w:val="0"/>
              <w:rPr>
                <w:rFonts w:asciiTheme="minorHAnsi" w:hAnsiTheme="minorHAnsi"/>
              </w:rPr>
            </w:pPr>
            <w:r>
              <w:rPr>
                <w:rFonts w:asciiTheme="minorHAnsi" w:hAnsiTheme="minorHAnsi"/>
              </w:rPr>
              <w:t>Participants are better placed to estimate their imbalance forecast volumes as SEMO is not party to the Participants intended trading strategies between the Ex-Ante and Balancing Market.</w:t>
            </w:r>
          </w:p>
          <w:p w:rsidR="00847E74" w:rsidRDefault="00847E74" w:rsidP="00847E74">
            <w:pPr>
              <w:pStyle w:val="ListParagraph"/>
              <w:numPr>
                <w:ilvl w:val="0"/>
                <w:numId w:val="44"/>
              </w:numPr>
              <w:spacing w:before="0" w:after="0" w:line="240" w:lineRule="auto"/>
              <w:contextualSpacing w:val="0"/>
              <w:rPr>
                <w:rFonts w:asciiTheme="minorHAnsi" w:hAnsiTheme="minorHAnsi"/>
              </w:rPr>
            </w:pPr>
            <w:r>
              <w:rPr>
                <w:rFonts w:asciiTheme="minorHAnsi" w:hAnsiTheme="minorHAnsi"/>
              </w:rPr>
              <w:t>The existing process of receiving forecasts for new Participants has worked without issue in the 10 years of operation of the SEM. With the use of informal guidance in the submission of forecast being appropriate.</w:t>
            </w:r>
          </w:p>
          <w:p w:rsidR="00847E74" w:rsidRDefault="00847E74" w:rsidP="00847E74">
            <w:pPr>
              <w:pStyle w:val="ListParagraph"/>
              <w:numPr>
                <w:ilvl w:val="0"/>
                <w:numId w:val="44"/>
              </w:numPr>
              <w:spacing w:before="0" w:after="0" w:line="240" w:lineRule="auto"/>
              <w:contextualSpacing w:val="0"/>
              <w:rPr>
                <w:rFonts w:asciiTheme="minorHAnsi" w:hAnsiTheme="minorHAnsi"/>
              </w:rPr>
            </w:pPr>
            <w:r>
              <w:rPr>
                <w:rFonts w:asciiTheme="minorHAnsi" w:hAnsiTheme="minorHAnsi"/>
              </w:rPr>
              <w:t>Any subjective SEMO decision making power would require similar review and dispute processes to those defined for qualification under the Capacity Market Code. These processes are seen as onerous and inappropriate for the transitional circumstances</w:t>
            </w:r>
          </w:p>
          <w:p w:rsidR="00847E74" w:rsidRDefault="00847E74" w:rsidP="00847E74">
            <w:pPr>
              <w:pStyle w:val="ListParagraph"/>
              <w:numPr>
                <w:ilvl w:val="0"/>
                <w:numId w:val="44"/>
              </w:numPr>
              <w:spacing w:before="0" w:after="0" w:line="240" w:lineRule="auto"/>
              <w:contextualSpacing w:val="0"/>
              <w:rPr>
                <w:rFonts w:asciiTheme="minorHAnsi" w:hAnsiTheme="minorHAnsi"/>
              </w:rPr>
            </w:pPr>
            <w:r>
              <w:rPr>
                <w:rFonts w:asciiTheme="minorHAnsi" w:hAnsiTheme="minorHAnsi"/>
              </w:rPr>
              <w:t>If SEMO believe that forecasts are intrinsically wrong this could be raised with the Market Monitor for investigation as non-compliance by a Participant with the Code.</w:t>
            </w:r>
          </w:p>
          <w:p w:rsidR="00847E74" w:rsidRPr="002972A6" w:rsidRDefault="00847E74" w:rsidP="00847E74">
            <w:pPr>
              <w:pStyle w:val="ListParagraph"/>
              <w:numPr>
                <w:ilvl w:val="0"/>
                <w:numId w:val="44"/>
              </w:numPr>
              <w:spacing w:before="0" w:after="0" w:line="240" w:lineRule="auto"/>
              <w:contextualSpacing w:val="0"/>
              <w:rPr>
                <w:rFonts w:asciiTheme="minorHAnsi" w:hAnsiTheme="minorHAnsi"/>
              </w:rPr>
            </w:pPr>
            <w:r>
              <w:rPr>
                <w:rFonts w:asciiTheme="minorHAnsi" w:hAnsiTheme="minorHAnsi"/>
              </w:rPr>
              <w:t xml:space="preserve">Self regulation will occur with Participants subject to Credit Cover Increase Notices, which they will </w:t>
            </w:r>
            <w:r>
              <w:rPr>
                <w:rFonts w:asciiTheme="minorHAnsi" w:hAnsiTheme="minorHAnsi"/>
              </w:rPr>
              <w:lastRenderedPageBreak/>
              <w:t>need to comply with within 2 working days, once actual exposures begin to become part of the credit reports.</w:t>
            </w:r>
          </w:p>
          <w:p w:rsidR="00847E74" w:rsidRDefault="00847E74" w:rsidP="00915F97">
            <w:pPr>
              <w:rPr>
                <w:rFonts w:asciiTheme="minorHAnsi" w:hAnsiTheme="minorHAnsi"/>
                <w:b/>
                <w:bCs/>
                <w:i/>
                <w:sz w:val="22"/>
                <w:szCs w:val="22"/>
              </w:rPr>
            </w:pPr>
          </w:p>
          <w:p w:rsidR="00847E74" w:rsidRPr="002832EF" w:rsidRDefault="00847E74" w:rsidP="00915F97">
            <w:pPr>
              <w:rPr>
                <w:rFonts w:asciiTheme="minorHAnsi" w:hAnsiTheme="minorHAnsi"/>
                <w:b/>
                <w:bCs/>
                <w:i/>
                <w:sz w:val="22"/>
                <w:szCs w:val="22"/>
              </w:rPr>
            </w:pPr>
            <w:r w:rsidRPr="00010E5B">
              <w:rPr>
                <w:rFonts w:asciiTheme="minorHAnsi" w:hAnsiTheme="minorHAnsi"/>
                <w:b/>
                <w:bCs/>
                <w:i/>
                <w:sz w:val="22"/>
                <w:szCs w:val="22"/>
              </w:rPr>
              <w:t xml:space="preserve">Procedure for </w:t>
            </w:r>
            <w:r>
              <w:rPr>
                <w:rFonts w:asciiTheme="minorHAnsi" w:hAnsiTheme="minorHAnsi"/>
                <w:b/>
                <w:bCs/>
                <w:i/>
                <w:sz w:val="22"/>
                <w:szCs w:val="22"/>
              </w:rPr>
              <w:t xml:space="preserve">Accounting for </w:t>
            </w:r>
            <w:r w:rsidRPr="00010E5B">
              <w:rPr>
                <w:rFonts w:asciiTheme="minorHAnsi" w:hAnsiTheme="minorHAnsi"/>
                <w:b/>
                <w:bCs/>
                <w:i/>
                <w:sz w:val="22"/>
                <w:szCs w:val="22"/>
              </w:rPr>
              <w:t>Collateral</w:t>
            </w:r>
            <w:r>
              <w:rPr>
                <w:rFonts w:asciiTheme="minorHAnsi" w:hAnsiTheme="minorHAnsi"/>
                <w:b/>
                <w:bCs/>
                <w:i/>
                <w:sz w:val="22"/>
                <w:szCs w:val="22"/>
              </w:rPr>
              <w:t xml:space="preserve"> in </w:t>
            </w:r>
            <w:r w:rsidRPr="00010E5B">
              <w:rPr>
                <w:rFonts w:asciiTheme="minorHAnsi" w:hAnsiTheme="minorHAnsi"/>
                <w:b/>
                <w:bCs/>
                <w:i/>
                <w:sz w:val="22"/>
                <w:szCs w:val="22"/>
              </w:rPr>
              <w:t xml:space="preserve">SEM </w:t>
            </w:r>
            <w:r>
              <w:rPr>
                <w:rFonts w:asciiTheme="minorHAnsi" w:hAnsiTheme="minorHAnsi"/>
                <w:b/>
                <w:bCs/>
                <w:i/>
                <w:sz w:val="22"/>
                <w:szCs w:val="22"/>
              </w:rPr>
              <w:t>or I-SEM</w:t>
            </w:r>
          </w:p>
          <w:p w:rsidR="00847E74" w:rsidRDefault="00847E74" w:rsidP="00915F97"/>
          <w:p w:rsidR="00847E74" w:rsidRDefault="00847E74" w:rsidP="00915F97">
            <w:pPr>
              <w:rPr>
                <w:rFonts w:asciiTheme="minorHAnsi" w:hAnsiTheme="minorHAnsi"/>
                <w:sz w:val="22"/>
                <w:szCs w:val="22"/>
              </w:rPr>
            </w:pPr>
            <w:r w:rsidRPr="00681F03">
              <w:rPr>
                <w:rFonts w:asciiTheme="minorHAnsi" w:hAnsiTheme="minorHAnsi"/>
                <w:sz w:val="22"/>
                <w:szCs w:val="22"/>
              </w:rPr>
              <w:t xml:space="preserve">To aid in the efficient use and transition of collateral from the SEM to I-SEM arrangements, SEMO are proposing to provide an interim facility to </w:t>
            </w:r>
            <w:r>
              <w:rPr>
                <w:rFonts w:asciiTheme="minorHAnsi" w:hAnsiTheme="minorHAnsi"/>
                <w:sz w:val="22"/>
                <w:szCs w:val="22"/>
              </w:rPr>
              <w:t xml:space="preserve">account for collateral held in LOC’s or cash collateral as SEM or I-SEM related, without the need for it be held as a separate LOC or in separate cash collateral account. </w:t>
            </w:r>
          </w:p>
          <w:p w:rsidR="00847E74"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sidRPr="00681F03">
              <w:rPr>
                <w:rFonts w:asciiTheme="minorHAnsi" w:hAnsiTheme="minorHAnsi"/>
                <w:sz w:val="22"/>
                <w:szCs w:val="22"/>
              </w:rPr>
              <w:t xml:space="preserve">Participants </w:t>
            </w:r>
            <w:r>
              <w:rPr>
                <w:rFonts w:asciiTheme="minorHAnsi" w:hAnsiTheme="minorHAnsi"/>
                <w:sz w:val="22"/>
                <w:szCs w:val="22"/>
              </w:rPr>
              <w:t xml:space="preserve">would need to </w:t>
            </w:r>
            <w:r w:rsidRPr="00681F03">
              <w:rPr>
                <w:rFonts w:asciiTheme="minorHAnsi" w:hAnsiTheme="minorHAnsi"/>
                <w:sz w:val="22"/>
                <w:szCs w:val="22"/>
              </w:rPr>
              <w:t xml:space="preserve">provide a formal written instruction to SEMO that </w:t>
            </w:r>
            <w:r>
              <w:rPr>
                <w:rFonts w:asciiTheme="minorHAnsi" w:hAnsiTheme="minorHAnsi"/>
                <w:sz w:val="22"/>
                <w:szCs w:val="22"/>
              </w:rPr>
              <w:t xml:space="preserve">they wish to avail of the interim facility and confirm the correct linkage between the SEM and I-SEM </w:t>
            </w:r>
            <w:proofErr w:type="spellStart"/>
            <w:r>
              <w:rPr>
                <w:rFonts w:asciiTheme="minorHAnsi" w:hAnsiTheme="minorHAnsi"/>
                <w:sz w:val="22"/>
                <w:szCs w:val="22"/>
              </w:rPr>
              <w:t>particpiants</w:t>
            </w:r>
            <w:proofErr w:type="spellEnd"/>
            <w:r>
              <w:rPr>
                <w:rFonts w:asciiTheme="minorHAnsi" w:hAnsiTheme="minorHAnsi"/>
                <w:sz w:val="22"/>
                <w:szCs w:val="22"/>
              </w:rPr>
              <w:t xml:space="preserve"> that it should apply to.</w:t>
            </w:r>
          </w:p>
          <w:p w:rsidR="00847E74" w:rsidRPr="00681F03" w:rsidRDefault="00847E74" w:rsidP="00915F97">
            <w:pPr>
              <w:rPr>
                <w:rFonts w:asciiTheme="minorHAnsi" w:hAnsiTheme="minorHAnsi"/>
                <w:sz w:val="22"/>
                <w:szCs w:val="22"/>
              </w:rPr>
            </w:pPr>
          </w:p>
          <w:p w:rsidR="00847E74" w:rsidRPr="00681F03" w:rsidRDefault="00847E74" w:rsidP="00915F97">
            <w:pPr>
              <w:rPr>
                <w:rFonts w:asciiTheme="minorHAnsi" w:hAnsiTheme="minorHAnsi"/>
                <w:sz w:val="22"/>
                <w:szCs w:val="22"/>
              </w:rPr>
            </w:pPr>
            <w:r w:rsidRPr="00681F03">
              <w:rPr>
                <w:rFonts w:asciiTheme="minorHAnsi" w:hAnsiTheme="minorHAnsi"/>
                <w:sz w:val="22"/>
                <w:szCs w:val="22"/>
              </w:rPr>
              <w:t xml:space="preserve">There are in excess of 150 cash collateral accounts in the SEM at present. However, approximately 40 of these relate to Suppliers who are most likely to have excess cash collateral once the SEM starts to wind down. Generator only Participants are not expected to be able to avail of this facility </w:t>
            </w:r>
            <w:r>
              <w:rPr>
                <w:rFonts w:asciiTheme="minorHAnsi" w:hAnsiTheme="minorHAnsi"/>
                <w:sz w:val="22"/>
                <w:szCs w:val="22"/>
              </w:rPr>
              <w:t xml:space="preserve">to the same degree </w:t>
            </w:r>
            <w:r w:rsidRPr="00681F03">
              <w:rPr>
                <w:rFonts w:asciiTheme="minorHAnsi" w:hAnsiTheme="minorHAnsi"/>
                <w:sz w:val="22"/>
                <w:szCs w:val="22"/>
              </w:rPr>
              <w:t xml:space="preserve">as they will only have posted the </w:t>
            </w:r>
            <w:r>
              <w:rPr>
                <w:rFonts w:asciiTheme="minorHAnsi" w:hAnsiTheme="minorHAnsi"/>
                <w:sz w:val="22"/>
                <w:szCs w:val="22"/>
              </w:rPr>
              <w:t>Fixed Credit Requirement (FCR)</w:t>
            </w:r>
            <w:r w:rsidRPr="00681F03">
              <w:rPr>
                <w:rFonts w:asciiTheme="minorHAnsi" w:hAnsiTheme="minorHAnsi"/>
                <w:sz w:val="22"/>
                <w:szCs w:val="22"/>
              </w:rPr>
              <w:t xml:space="preserve"> for the SEM which would still need to be held in place</w:t>
            </w:r>
            <w:r>
              <w:rPr>
                <w:rFonts w:asciiTheme="minorHAnsi" w:hAnsiTheme="minorHAnsi"/>
                <w:sz w:val="22"/>
                <w:szCs w:val="22"/>
              </w:rPr>
              <w:t xml:space="preserve"> for 13 months after the I-SEM Cutover Time</w:t>
            </w:r>
            <w:r w:rsidRPr="00681F03">
              <w:rPr>
                <w:rFonts w:asciiTheme="minorHAnsi" w:hAnsiTheme="minorHAnsi"/>
                <w:sz w:val="22"/>
                <w:szCs w:val="22"/>
              </w:rPr>
              <w:t>.</w:t>
            </w:r>
            <w:r>
              <w:rPr>
                <w:rFonts w:asciiTheme="minorHAnsi" w:hAnsiTheme="minorHAnsi"/>
                <w:sz w:val="22"/>
                <w:szCs w:val="22"/>
              </w:rPr>
              <w:t xml:space="preserve"> However, Generator I-SEM credit cover requirements are expected to be low due to a) they are generally creditors b) FCR requirements being amended for the I-SEM for the first four months from the Cutover Time (see later description)</w:t>
            </w:r>
          </w:p>
          <w:p w:rsidR="00847E74" w:rsidRPr="00681F03"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sidRPr="00681F03">
              <w:rPr>
                <w:rFonts w:asciiTheme="minorHAnsi" w:hAnsiTheme="minorHAnsi"/>
                <w:sz w:val="22"/>
                <w:szCs w:val="22"/>
              </w:rPr>
              <w:t xml:space="preserve">Given the numbers involved, SEMO are proposing to include interim arrangements for the 2 weeks either side of the I-SEM Cutover Time where weekly batches of </w:t>
            </w:r>
            <w:proofErr w:type="spellStart"/>
            <w:r>
              <w:rPr>
                <w:rFonts w:asciiTheme="minorHAnsi" w:hAnsiTheme="minorHAnsi"/>
                <w:sz w:val="22"/>
                <w:szCs w:val="22"/>
              </w:rPr>
              <w:t>accouting</w:t>
            </w:r>
            <w:proofErr w:type="spellEnd"/>
            <w:r>
              <w:rPr>
                <w:rFonts w:asciiTheme="minorHAnsi" w:hAnsiTheme="minorHAnsi"/>
                <w:sz w:val="22"/>
                <w:szCs w:val="22"/>
              </w:rPr>
              <w:t xml:space="preserve"> transfers between the SEM and I-SEM </w:t>
            </w:r>
            <w:r w:rsidRPr="00681F03">
              <w:rPr>
                <w:rFonts w:asciiTheme="minorHAnsi" w:hAnsiTheme="minorHAnsi"/>
                <w:sz w:val="22"/>
                <w:szCs w:val="22"/>
              </w:rPr>
              <w:t xml:space="preserve">are processed. </w:t>
            </w:r>
            <w:r>
              <w:rPr>
                <w:rFonts w:asciiTheme="minorHAnsi" w:hAnsiTheme="minorHAnsi"/>
                <w:sz w:val="22"/>
                <w:szCs w:val="22"/>
              </w:rPr>
              <w:t>These transfers would occur (based on a 23</w:t>
            </w:r>
            <w:r w:rsidRPr="00E73BCB">
              <w:rPr>
                <w:rFonts w:asciiTheme="minorHAnsi" w:hAnsiTheme="minorHAnsi"/>
                <w:sz w:val="22"/>
                <w:szCs w:val="22"/>
                <w:vertAlign w:val="superscript"/>
              </w:rPr>
              <w:t>rd</w:t>
            </w:r>
            <w:r>
              <w:rPr>
                <w:rFonts w:asciiTheme="minorHAnsi" w:hAnsiTheme="minorHAnsi"/>
                <w:sz w:val="22"/>
                <w:szCs w:val="22"/>
              </w:rPr>
              <w:t xml:space="preserve"> May 2018 Cutover Time) as the evening of the 22</w:t>
            </w:r>
            <w:r w:rsidRPr="00E73BCB">
              <w:rPr>
                <w:rFonts w:asciiTheme="minorHAnsi" w:hAnsiTheme="minorHAnsi"/>
                <w:sz w:val="22"/>
                <w:szCs w:val="22"/>
                <w:vertAlign w:val="superscript"/>
              </w:rPr>
              <w:t>nd</w:t>
            </w:r>
            <w:r>
              <w:rPr>
                <w:rFonts w:asciiTheme="minorHAnsi" w:hAnsiTheme="minorHAnsi"/>
                <w:sz w:val="22"/>
                <w:szCs w:val="22"/>
              </w:rPr>
              <w:t xml:space="preserve"> May, evening of the 23</w:t>
            </w:r>
            <w:r w:rsidRPr="00E73BCB">
              <w:rPr>
                <w:rFonts w:asciiTheme="minorHAnsi" w:hAnsiTheme="minorHAnsi"/>
                <w:sz w:val="22"/>
                <w:szCs w:val="22"/>
                <w:vertAlign w:val="superscript"/>
              </w:rPr>
              <w:t>rd</w:t>
            </w:r>
            <w:r>
              <w:rPr>
                <w:rFonts w:asciiTheme="minorHAnsi" w:hAnsiTheme="minorHAnsi"/>
                <w:sz w:val="22"/>
                <w:szCs w:val="22"/>
              </w:rPr>
              <w:t xml:space="preserve"> May, evening of the 30</w:t>
            </w:r>
            <w:r w:rsidRPr="00E73BCB">
              <w:rPr>
                <w:rFonts w:asciiTheme="minorHAnsi" w:hAnsiTheme="minorHAnsi"/>
                <w:sz w:val="22"/>
                <w:szCs w:val="22"/>
                <w:vertAlign w:val="superscript"/>
              </w:rPr>
              <w:t>th</w:t>
            </w:r>
            <w:r>
              <w:rPr>
                <w:rFonts w:asciiTheme="minorHAnsi" w:hAnsiTheme="minorHAnsi"/>
                <w:sz w:val="22"/>
                <w:szCs w:val="22"/>
              </w:rPr>
              <w:t xml:space="preserve"> May and evening of the 6</w:t>
            </w:r>
            <w:r w:rsidRPr="00E73BCB">
              <w:rPr>
                <w:rFonts w:asciiTheme="minorHAnsi" w:hAnsiTheme="minorHAnsi"/>
                <w:sz w:val="22"/>
                <w:szCs w:val="22"/>
                <w:vertAlign w:val="superscript"/>
              </w:rPr>
              <w:t>th</w:t>
            </w:r>
            <w:r>
              <w:rPr>
                <w:rFonts w:asciiTheme="minorHAnsi" w:hAnsiTheme="minorHAnsi"/>
                <w:sz w:val="22"/>
                <w:szCs w:val="22"/>
              </w:rPr>
              <w:t xml:space="preserve"> June. The accounting transfers would be based on a predefined formula to determine the amount to transfer. The formula would be:</w:t>
            </w:r>
          </w:p>
          <w:p w:rsidR="00847E74" w:rsidRDefault="00847E74" w:rsidP="00915F97">
            <w:pPr>
              <w:rPr>
                <w:rFonts w:asciiTheme="minorHAnsi" w:hAnsiTheme="minorHAnsi"/>
                <w:sz w:val="22"/>
                <w:szCs w:val="22"/>
              </w:rPr>
            </w:pPr>
          </w:p>
          <w:p w:rsidR="00847E74" w:rsidRPr="00E73BCB" w:rsidRDefault="00847E74" w:rsidP="00915F97">
            <w:pPr>
              <w:rPr>
                <w:rFonts w:asciiTheme="minorHAnsi" w:hAnsiTheme="minorHAnsi"/>
                <w:i/>
                <w:sz w:val="22"/>
                <w:szCs w:val="22"/>
              </w:rPr>
            </w:pPr>
            <w:r w:rsidRPr="00E73BCB">
              <w:rPr>
                <w:rFonts w:asciiTheme="minorHAnsi" w:hAnsiTheme="minorHAnsi"/>
                <w:i/>
                <w:sz w:val="22"/>
                <w:szCs w:val="22"/>
              </w:rPr>
              <w:t>Amount to Transfer from SEM to I-SEM = S</w:t>
            </w:r>
            <w:r>
              <w:rPr>
                <w:rFonts w:asciiTheme="minorHAnsi" w:hAnsiTheme="minorHAnsi"/>
                <w:i/>
                <w:sz w:val="22"/>
                <w:szCs w:val="22"/>
              </w:rPr>
              <w:t>EM Posted Credit Cover less (FC</w:t>
            </w:r>
            <w:r w:rsidRPr="00E73BCB">
              <w:rPr>
                <w:rFonts w:asciiTheme="minorHAnsi" w:hAnsiTheme="minorHAnsi"/>
                <w:i/>
                <w:sz w:val="22"/>
                <w:szCs w:val="22"/>
              </w:rPr>
              <w:t xml:space="preserve">R + Actual Exposure + Traded Exposure). </w:t>
            </w:r>
          </w:p>
          <w:p w:rsidR="00847E74" w:rsidRPr="00681F03" w:rsidRDefault="00847E74" w:rsidP="00915F97">
            <w:pPr>
              <w:rPr>
                <w:rFonts w:asciiTheme="minorHAnsi" w:hAnsiTheme="minorHAnsi"/>
                <w:sz w:val="22"/>
                <w:szCs w:val="22"/>
              </w:rPr>
            </w:pPr>
            <w:r>
              <w:rPr>
                <w:rFonts w:asciiTheme="minorHAnsi" w:hAnsiTheme="minorHAnsi"/>
                <w:sz w:val="22"/>
                <w:szCs w:val="22"/>
              </w:rPr>
              <w:t xml:space="preserve"> </w:t>
            </w:r>
          </w:p>
          <w:p w:rsidR="00847E74" w:rsidRDefault="00847E74" w:rsidP="00915F97">
            <w:pPr>
              <w:rPr>
                <w:rFonts w:asciiTheme="minorHAnsi" w:hAnsiTheme="minorHAnsi"/>
                <w:sz w:val="22"/>
                <w:szCs w:val="22"/>
              </w:rPr>
            </w:pPr>
            <w:r w:rsidRPr="00681F03">
              <w:rPr>
                <w:rFonts w:asciiTheme="minorHAnsi" w:hAnsiTheme="minorHAnsi"/>
                <w:sz w:val="22"/>
                <w:szCs w:val="22"/>
              </w:rPr>
              <w:t xml:space="preserve">The Participant would have to previously provided written instructions to transfer </w:t>
            </w:r>
            <w:r>
              <w:rPr>
                <w:rFonts w:asciiTheme="minorHAnsi" w:hAnsiTheme="minorHAnsi"/>
                <w:sz w:val="22"/>
                <w:szCs w:val="22"/>
              </w:rPr>
              <w:t xml:space="preserve">Excess Posted Credit Cover from SEM to I-SEM. </w:t>
            </w:r>
          </w:p>
          <w:p w:rsidR="00847E74" w:rsidRDefault="00847E74" w:rsidP="00915F97">
            <w:pPr>
              <w:rPr>
                <w:rFonts w:asciiTheme="minorHAnsi" w:hAnsiTheme="minorHAnsi"/>
                <w:sz w:val="22"/>
                <w:szCs w:val="22"/>
              </w:rPr>
            </w:pPr>
          </w:p>
          <w:p w:rsidR="00847E74" w:rsidRDefault="00847E74" w:rsidP="00915F97">
            <w:pPr>
              <w:rPr>
                <w:rFonts w:asciiTheme="minorHAnsi" w:hAnsiTheme="minorHAnsi"/>
                <w:sz w:val="22"/>
                <w:szCs w:val="22"/>
              </w:rPr>
            </w:pPr>
            <w:r>
              <w:rPr>
                <w:rFonts w:asciiTheme="minorHAnsi" w:hAnsiTheme="minorHAnsi"/>
                <w:sz w:val="22"/>
                <w:szCs w:val="22"/>
              </w:rPr>
              <w:t xml:space="preserve">To make this process more manageable, refunds of collateral or monetary reductions in LOC’s, for the 2 weeks either side of the I-SEM Cutover Time, </w:t>
            </w:r>
            <w:proofErr w:type="spellStart"/>
            <w:r>
              <w:rPr>
                <w:rFonts w:asciiTheme="minorHAnsi" w:hAnsiTheme="minorHAnsi"/>
                <w:sz w:val="22"/>
                <w:szCs w:val="22"/>
              </w:rPr>
              <w:t>woud</w:t>
            </w:r>
            <w:proofErr w:type="spellEnd"/>
            <w:r>
              <w:rPr>
                <w:rFonts w:asciiTheme="minorHAnsi" w:hAnsiTheme="minorHAnsi"/>
                <w:sz w:val="22"/>
                <w:szCs w:val="22"/>
              </w:rPr>
              <w:t xml:space="preserve"> be restricted to avoid risks of errors or </w:t>
            </w:r>
            <w:r>
              <w:rPr>
                <w:rFonts w:asciiTheme="minorHAnsi" w:hAnsiTheme="minorHAnsi"/>
                <w:sz w:val="22"/>
                <w:szCs w:val="22"/>
              </w:rPr>
              <w:lastRenderedPageBreak/>
              <w:t>under collateralisation of a market during this critical period.</w:t>
            </w:r>
          </w:p>
          <w:p w:rsidR="00847E74" w:rsidRDefault="00847E74" w:rsidP="00915F97">
            <w:pPr>
              <w:spacing w:after="200"/>
              <w:rPr>
                <w:rFonts w:asciiTheme="minorHAnsi" w:hAnsiTheme="minorHAnsi"/>
                <w:b/>
                <w:sz w:val="22"/>
                <w:szCs w:val="22"/>
              </w:rPr>
            </w:pPr>
          </w:p>
          <w:p w:rsidR="00847E74" w:rsidRPr="00BD3D53" w:rsidRDefault="00847E74" w:rsidP="00915F97">
            <w:pPr>
              <w:spacing w:after="200"/>
              <w:rPr>
                <w:rFonts w:asciiTheme="minorHAnsi" w:hAnsiTheme="minorHAnsi"/>
                <w:b/>
                <w:bCs/>
                <w:iCs/>
                <w:sz w:val="24"/>
                <w:szCs w:val="24"/>
              </w:rPr>
            </w:pPr>
            <w:r w:rsidRPr="00BD3D53">
              <w:rPr>
                <w:rFonts w:asciiTheme="minorHAnsi" w:hAnsiTheme="minorHAnsi"/>
                <w:b/>
                <w:bCs/>
                <w:iCs/>
                <w:sz w:val="24"/>
                <w:szCs w:val="24"/>
              </w:rPr>
              <w:t>Plain English Summary of Modification Legal Drafting</w:t>
            </w:r>
          </w:p>
          <w:p w:rsidR="00847E74" w:rsidRPr="0092581B" w:rsidRDefault="00847E74" w:rsidP="00915F97">
            <w:pPr>
              <w:pStyle w:val="Subtitle"/>
              <w:rPr>
                <w:rFonts w:ascii="Calibri" w:hAnsi="Calibri"/>
                <w:sz w:val="22"/>
                <w:szCs w:val="22"/>
              </w:rPr>
            </w:pPr>
            <w:r w:rsidRPr="00E501C9">
              <w:rPr>
                <w:rFonts w:ascii="Calibri" w:hAnsi="Calibri" w:cs="Times New Roman"/>
                <w:i w:val="0"/>
                <w:iCs w:val="0"/>
                <w:color w:val="auto"/>
                <w:spacing w:val="0"/>
                <w:sz w:val="22"/>
                <w:szCs w:val="22"/>
              </w:rPr>
              <w:t xml:space="preserve">The following provides a summary of the modifications needed to the TSC to accommodate the proposed Transitional Credit Cover Provisions. </w:t>
            </w:r>
            <w:r>
              <w:rPr>
                <w:rFonts w:ascii="Calibri" w:hAnsi="Calibri" w:cs="Times New Roman"/>
                <w:i w:val="0"/>
                <w:iCs w:val="0"/>
                <w:color w:val="auto"/>
                <w:spacing w:val="0"/>
                <w:sz w:val="22"/>
                <w:szCs w:val="22"/>
              </w:rPr>
              <w:t>D</w:t>
            </w:r>
            <w:r w:rsidRPr="0092581B">
              <w:rPr>
                <w:rFonts w:ascii="Calibri" w:hAnsi="Calibri" w:cs="Times New Roman"/>
                <w:i w:val="0"/>
                <w:iCs w:val="0"/>
                <w:color w:val="auto"/>
                <w:spacing w:val="0"/>
                <w:sz w:val="22"/>
                <w:szCs w:val="22"/>
              </w:rPr>
              <w:t xml:space="preserve">etailed drafting of the legal </w:t>
            </w:r>
            <w:r w:rsidRPr="00E73BCB">
              <w:rPr>
                <w:rFonts w:ascii="Calibri" w:hAnsi="Calibri" w:cs="Times New Roman"/>
                <w:i w:val="0"/>
                <w:iCs w:val="0"/>
                <w:color w:val="auto"/>
                <w:spacing w:val="0"/>
                <w:sz w:val="22"/>
                <w:szCs w:val="22"/>
              </w:rPr>
              <w:t xml:space="preserve">wording of the TSC is provided in the next section. </w:t>
            </w:r>
            <w:r w:rsidRPr="0092581B">
              <w:rPr>
                <w:rFonts w:ascii="Calibri" w:hAnsi="Calibri" w:cs="Times New Roman"/>
                <w:i w:val="0"/>
                <w:iCs w:val="0"/>
                <w:color w:val="auto"/>
                <w:spacing w:val="0"/>
                <w:sz w:val="22"/>
                <w:szCs w:val="22"/>
              </w:rPr>
              <w:t xml:space="preserve"> </w:t>
            </w:r>
          </w:p>
          <w:p w:rsidR="00847E74" w:rsidRDefault="00847E74" w:rsidP="00915F97">
            <w:pPr>
              <w:rPr>
                <w:rFonts w:ascii="Calibri" w:hAnsi="Calibri"/>
                <w:sz w:val="22"/>
                <w:szCs w:val="22"/>
                <w:lang w:val="en-US"/>
              </w:rPr>
            </w:pPr>
          </w:p>
          <w:p w:rsidR="00847E74" w:rsidRDefault="00847E74" w:rsidP="00915F97">
            <w:pPr>
              <w:rPr>
                <w:rFonts w:ascii="Calibri" w:hAnsi="Calibri"/>
                <w:sz w:val="22"/>
                <w:szCs w:val="22"/>
                <w:lang w:val="en-US"/>
              </w:rPr>
            </w:pPr>
            <w:r>
              <w:rPr>
                <w:rFonts w:ascii="Calibri" w:hAnsi="Calibri"/>
                <w:sz w:val="22"/>
                <w:szCs w:val="22"/>
                <w:lang w:val="en-US"/>
              </w:rPr>
              <w:t>The changes relate to TSC Part C Transitional Arrangements.</w:t>
            </w:r>
            <w:r w:rsidDel="00BF7EBB">
              <w:rPr>
                <w:rFonts w:ascii="Calibri" w:hAnsi="Calibri"/>
                <w:sz w:val="22"/>
                <w:szCs w:val="22"/>
                <w:lang w:val="en-US"/>
              </w:rPr>
              <w:t xml:space="preserve"> </w:t>
            </w:r>
          </w:p>
          <w:p w:rsidR="00847E74" w:rsidRPr="005A0853" w:rsidRDefault="00847E74" w:rsidP="00915F97">
            <w:pPr>
              <w:rPr>
                <w:rFonts w:ascii="Calibri" w:hAnsi="Calibri"/>
                <w:sz w:val="22"/>
                <w:szCs w:val="22"/>
                <w:lang w:val="en-US"/>
              </w:rPr>
            </w:pPr>
            <w:r w:rsidRPr="005A0853">
              <w:rPr>
                <w:rFonts w:ascii="Calibri" w:hAnsi="Calibri"/>
                <w:sz w:val="22"/>
                <w:szCs w:val="22"/>
                <w:lang w:val="en-US"/>
              </w:rPr>
              <w:t>The identified changes are:</w:t>
            </w:r>
          </w:p>
          <w:p w:rsidR="00847E74" w:rsidRPr="00681F03" w:rsidRDefault="00847E74" w:rsidP="00915F97">
            <w:pPr>
              <w:rPr>
                <w:rFonts w:asciiTheme="minorHAnsi" w:hAnsiTheme="minorHAnsi"/>
                <w:b/>
                <w:bCs/>
              </w:rPr>
            </w:pPr>
          </w:p>
          <w:p w:rsidR="00847E74" w:rsidRDefault="00847E74" w:rsidP="00847E74">
            <w:pPr>
              <w:pStyle w:val="ListParagraph"/>
              <w:numPr>
                <w:ilvl w:val="0"/>
                <w:numId w:val="40"/>
              </w:numPr>
              <w:spacing w:before="0" w:after="0" w:line="240" w:lineRule="auto"/>
              <w:contextualSpacing w:val="0"/>
            </w:pPr>
            <w:r>
              <w:t>Maintaining</w:t>
            </w:r>
            <w:r w:rsidRPr="000D6579">
              <w:t xml:space="preserve"> </w:t>
            </w:r>
            <w:r>
              <w:t>SEM Undefined Exposure Period (</w:t>
            </w:r>
            <w:r w:rsidRPr="000D6579">
              <w:t>UDE</w:t>
            </w:r>
            <w:r>
              <w:t>)</w:t>
            </w:r>
            <w:r w:rsidRPr="000D6579">
              <w:t xml:space="preserve"> </w:t>
            </w:r>
            <w:r>
              <w:t>until the I-SEM Cutover Time, then a allocation</w:t>
            </w:r>
            <w:r w:rsidRPr="00750B48">
              <w:t xml:space="preserve"> of</w:t>
            </w:r>
            <w:r>
              <w:t xml:space="preserve"> the collateral which is no longer needed for this </w:t>
            </w:r>
            <w:r w:rsidRPr="00750B48">
              <w:t xml:space="preserve">UDE to the I-SEM (for those </w:t>
            </w:r>
            <w:r w:rsidRPr="00095A1C">
              <w:t xml:space="preserve">that have provided written instructions to the Market Operator) </w:t>
            </w:r>
          </w:p>
          <w:p w:rsidR="00847E74" w:rsidRPr="00BF7EBB" w:rsidRDefault="00847E74" w:rsidP="00847E74">
            <w:pPr>
              <w:pStyle w:val="ListParagraph"/>
              <w:numPr>
                <w:ilvl w:val="0"/>
                <w:numId w:val="40"/>
              </w:numPr>
              <w:spacing w:before="0" w:after="0" w:line="240" w:lineRule="auto"/>
              <w:contextualSpacing w:val="0"/>
            </w:pPr>
            <w:r w:rsidRPr="00BF7EBB">
              <w:t xml:space="preserve">The last Energy Week and Capacity Month to end on the day before the I-SEM Cutover Time, with invoicing and payments for these performed </w:t>
            </w:r>
            <w:r w:rsidRPr="005355E6">
              <w:t>based on the settlement calendar defined timings.</w:t>
            </w:r>
          </w:p>
          <w:p w:rsidR="00847E74" w:rsidRPr="000D6579" w:rsidRDefault="00847E74" w:rsidP="00847E74">
            <w:pPr>
              <w:pStyle w:val="ListParagraph"/>
              <w:numPr>
                <w:ilvl w:val="0"/>
                <w:numId w:val="40"/>
              </w:numPr>
              <w:spacing w:before="0" w:after="0" w:line="240" w:lineRule="auto"/>
              <w:contextualSpacing w:val="0"/>
            </w:pPr>
            <w:r>
              <w:t>P</w:t>
            </w:r>
            <w:r w:rsidRPr="000D6579">
              <w:t xml:space="preserve">rovision to use </w:t>
            </w:r>
            <w:r>
              <w:t xml:space="preserve">the </w:t>
            </w:r>
            <w:r w:rsidRPr="000D6579">
              <w:t xml:space="preserve">same calculation of ICCR as is used for ‘new’ </w:t>
            </w:r>
            <w:r>
              <w:t>Participant</w:t>
            </w:r>
            <w:r w:rsidRPr="000D6579">
              <w:t xml:space="preserve">s to </w:t>
            </w:r>
            <w:r>
              <w:t>make it explicit that Participant</w:t>
            </w:r>
            <w:r w:rsidRPr="000D6579">
              <w:t xml:space="preserve">s </w:t>
            </w:r>
            <w:r>
              <w:t>that are joining the I-SEM arrangement will be classified as ‘new’.</w:t>
            </w:r>
          </w:p>
          <w:p w:rsidR="00847E74" w:rsidRDefault="00847E74" w:rsidP="00847E74">
            <w:pPr>
              <w:pStyle w:val="ListParagraph"/>
              <w:numPr>
                <w:ilvl w:val="0"/>
                <w:numId w:val="40"/>
              </w:numPr>
              <w:spacing w:before="0" w:after="0" w:line="240" w:lineRule="auto"/>
              <w:contextualSpacing w:val="0"/>
            </w:pPr>
            <w:r>
              <w:t>Define 16 weeks before I-SEM Cutover Time as the date that Participants must provide forecast volumes for use in the ICCR.</w:t>
            </w:r>
          </w:p>
          <w:p w:rsidR="00847E74" w:rsidRDefault="00847E74" w:rsidP="00847E74">
            <w:pPr>
              <w:pStyle w:val="ListParagraph"/>
              <w:numPr>
                <w:ilvl w:val="0"/>
                <w:numId w:val="40"/>
              </w:numPr>
              <w:spacing w:before="0" w:after="0" w:line="240" w:lineRule="auto"/>
              <w:contextualSpacing w:val="0"/>
            </w:pPr>
            <w:r w:rsidRPr="000D6579">
              <w:t>Define 1</w:t>
            </w:r>
            <w:r>
              <w:t>2</w:t>
            </w:r>
            <w:r w:rsidRPr="000D6579">
              <w:t xml:space="preserve"> weeks </w:t>
            </w:r>
            <w:r>
              <w:t xml:space="preserve">before  I-SEM </w:t>
            </w:r>
            <w:r w:rsidRPr="000D6579">
              <w:t xml:space="preserve">Cutover </w:t>
            </w:r>
            <w:r>
              <w:t>T</w:t>
            </w:r>
            <w:r w:rsidRPr="000D6579">
              <w:t xml:space="preserve">ime as </w:t>
            </w:r>
            <w:r>
              <w:t xml:space="preserve">the </w:t>
            </w:r>
            <w:r w:rsidRPr="000D6579">
              <w:t xml:space="preserve">date </w:t>
            </w:r>
            <w:r>
              <w:t>SEMO will aim to p</w:t>
            </w:r>
            <w:r w:rsidRPr="000D6579">
              <w:t>ublish ICCR</w:t>
            </w:r>
            <w:r>
              <w:t>, assuming all inputs e.g. relevant charges are approved etc.</w:t>
            </w:r>
          </w:p>
          <w:p w:rsidR="00847E74" w:rsidRDefault="00847E74" w:rsidP="00847E74">
            <w:pPr>
              <w:pStyle w:val="ListParagraph"/>
              <w:numPr>
                <w:ilvl w:val="0"/>
                <w:numId w:val="40"/>
              </w:numPr>
              <w:spacing w:before="0" w:after="0" w:line="240" w:lineRule="auto"/>
              <w:contextualSpacing w:val="0"/>
            </w:pPr>
            <w:r>
              <w:t>Define 8 weeks before I-SEM Cutover Time as the date Participants must have Deeds of Charge, Letter of Credit amendments and formal written instruction for interim facility provided to cover I-SEM TSC requirements</w:t>
            </w:r>
          </w:p>
          <w:p w:rsidR="00847E74" w:rsidRPr="009157FF" w:rsidRDefault="00847E74" w:rsidP="00847E74">
            <w:pPr>
              <w:pStyle w:val="ListParagraph"/>
              <w:numPr>
                <w:ilvl w:val="0"/>
                <w:numId w:val="40"/>
              </w:numPr>
              <w:spacing w:before="0" w:after="0" w:line="240" w:lineRule="auto"/>
              <w:contextualSpacing w:val="0"/>
            </w:pPr>
            <w:r>
              <w:t xml:space="preserve">Clause to say if </w:t>
            </w:r>
            <w:r w:rsidRPr="00BB3677">
              <w:rPr>
                <w:rFonts w:asciiTheme="minorHAnsi" w:hAnsiTheme="minorHAnsi"/>
              </w:rPr>
              <w:t>Participants</w:t>
            </w:r>
            <w:r>
              <w:rPr>
                <w:rFonts w:asciiTheme="minorHAnsi" w:hAnsiTheme="minorHAnsi"/>
              </w:rPr>
              <w:t xml:space="preserve"> have not:</w:t>
            </w:r>
          </w:p>
          <w:p w:rsidR="00847E74" w:rsidRPr="009157FF" w:rsidRDefault="00847E74" w:rsidP="00847E74">
            <w:pPr>
              <w:pStyle w:val="ListParagraph"/>
              <w:numPr>
                <w:ilvl w:val="1"/>
                <w:numId w:val="40"/>
              </w:numPr>
              <w:spacing w:before="0" w:after="0" w:line="240" w:lineRule="auto"/>
              <w:contextualSpacing w:val="0"/>
            </w:pPr>
            <w:r w:rsidRPr="00BB3677">
              <w:rPr>
                <w:rFonts w:asciiTheme="minorHAnsi" w:hAnsiTheme="minorHAnsi"/>
              </w:rPr>
              <w:t>provide</w:t>
            </w:r>
            <w:r>
              <w:rPr>
                <w:rFonts w:asciiTheme="minorHAnsi" w:hAnsiTheme="minorHAnsi"/>
              </w:rPr>
              <w:t>d</w:t>
            </w:r>
            <w:r w:rsidRPr="00BB3677">
              <w:rPr>
                <w:rFonts w:asciiTheme="minorHAnsi" w:hAnsiTheme="minorHAnsi"/>
              </w:rPr>
              <w:t xml:space="preserve"> a formal written instruction to SEMO that they wish to avail of the interim facility and</w:t>
            </w:r>
            <w:r>
              <w:rPr>
                <w:rFonts w:asciiTheme="minorHAnsi" w:hAnsiTheme="minorHAnsi"/>
              </w:rPr>
              <w:t xml:space="preserve"> have not confirmed the </w:t>
            </w:r>
            <w:r w:rsidRPr="00BB3677">
              <w:rPr>
                <w:rFonts w:asciiTheme="minorHAnsi" w:hAnsiTheme="minorHAnsi"/>
              </w:rPr>
              <w:t xml:space="preserve">correct linkage between the SEM and I-SEM </w:t>
            </w:r>
            <w:proofErr w:type="spellStart"/>
            <w:r w:rsidRPr="00BB3677">
              <w:rPr>
                <w:rFonts w:asciiTheme="minorHAnsi" w:hAnsiTheme="minorHAnsi"/>
              </w:rPr>
              <w:t>particpiants</w:t>
            </w:r>
            <w:proofErr w:type="spellEnd"/>
          </w:p>
          <w:p w:rsidR="00847E74" w:rsidRPr="009157FF" w:rsidRDefault="00847E74" w:rsidP="00847E74">
            <w:pPr>
              <w:pStyle w:val="ListParagraph"/>
              <w:numPr>
                <w:ilvl w:val="1"/>
                <w:numId w:val="40"/>
              </w:numPr>
              <w:spacing w:before="0" w:after="0" w:line="240" w:lineRule="auto"/>
              <w:contextualSpacing w:val="0"/>
            </w:pPr>
            <w:r>
              <w:rPr>
                <w:rFonts w:asciiTheme="minorHAnsi" w:hAnsiTheme="minorHAnsi"/>
              </w:rPr>
              <w:t>provided the relevant deeds of charge on collateral accounts to cover both the SEM and I-SEM</w:t>
            </w:r>
          </w:p>
          <w:p w:rsidR="00847E74" w:rsidRPr="009157FF" w:rsidRDefault="00847E74" w:rsidP="00847E74">
            <w:pPr>
              <w:pStyle w:val="ListParagraph"/>
              <w:numPr>
                <w:ilvl w:val="1"/>
                <w:numId w:val="40"/>
              </w:numPr>
              <w:spacing w:before="0" w:after="0" w:line="240" w:lineRule="auto"/>
              <w:contextualSpacing w:val="0"/>
            </w:pPr>
            <w:r>
              <w:rPr>
                <w:rFonts w:asciiTheme="minorHAnsi" w:hAnsiTheme="minorHAnsi"/>
              </w:rPr>
              <w:t>amended relevant LOC’s to cover both the SEM and I-SEM (or put in a combination of SEM and I-SEM LOC’s to cover their liabilities)</w:t>
            </w:r>
          </w:p>
          <w:p w:rsidR="00847E74" w:rsidRDefault="00847E74" w:rsidP="00915F97">
            <w:pPr>
              <w:ind w:left="720"/>
              <w:rPr>
                <w:rFonts w:ascii="Calibri" w:hAnsi="Calibri"/>
                <w:sz w:val="22"/>
                <w:szCs w:val="22"/>
                <w:lang w:val="en-US"/>
              </w:rPr>
            </w:pPr>
            <w:r w:rsidRPr="00A54BE5">
              <w:rPr>
                <w:rFonts w:ascii="Calibri" w:hAnsi="Calibri"/>
                <w:sz w:val="22"/>
                <w:szCs w:val="22"/>
                <w:lang w:val="en-US"/>
              </w:rPr>
              <w:t xml:space="preserve">then the SEM and I-SEM Participants will be treated as separate and distinct and the interim facility for accounting for collateral for the SEM and I-SEM will not apply. Each Participant must </w:t>
            </w:r>
            <w:r>
              <w:rPr>
                <w:rFonts w:ascii="Calibri" w:hAnsi="Calibri"/>
                <w:sz w:val="22"/>
                <w:szCs w:val="22"/>
                <w:lang w:val="en-US"/>
              </w:rPr>
              <w:t xml:space="preserve">instead </w:t>
            </w:r>
            <w:r w:rsidRPr="00A54BE5">
              <w:rPr>
                <w:rFonts w:ascii="Calibri" w:hAnsi="Calibri"/>
                <w:sz w:val="22"/>
                <w:szCs w:val="22"/>
                <w:lang w:val="en-US"/>
              </w:rPr>
              <w:t xml:space="preserve">have their own separate collateral accounts, letters of credit, and the I-SEM Participant will have to have collateral in place 10WD before the Cutover Time [meaning a duplication of collateral to cover the SEM and I-SEM </w:t>
            </w:r>
            <w:proofErr w:type="spellStart"/>
            <w:r w:rsidRPr="00A54BE5">
              <w:rPr>
                <w:rFonts w:ascii="Calibri" w:hAnsi="Calibri"/>
                <w:sz w:val="22"/>
                <w:szCs w:val="22"/>
                <w:lang w:val="en-US"/>
              </w:rPr>
              <w:t>Particpiants</w:t>
            </w:r>
            <w:proofErr w:type="spellEnd"/>
            <w:r w:rsidRPr="00A54BE5">
              <w:rPr>
                <w:rFonts w:ascii="Calibri" w:hAnsi="Calibri"/>
                <w:sz w:val="22"/>
                <w:szCs w:val="22"/>
                <w:lang w:val="en-US"/>
              </w:rPr>
              <w:t>]</w:t>
            </w:r>
          </w:p>
          <w:p w:rsidR="00847E74" w:rsidRPr="00BF7EBB" w:rsidRDefault="00847E74" w:rsidP="00847E74">
            <w:pPr>
              <w:pStyle w:val="ListParagraph"/>
              <w:numPr>
                <w:ilvl w:val="0"/>
                <w:numId w:val="40"/>
              </w:numPr>
              <w:spacing w:before="0" w:after="0" w:line="240" w:lineRule="auto"/>
              <w:contextualSpacing w:val="0"/>
            </w:pPr>
            <w:r w:rsidRPr="005355E6">
              <w:t xml:space="preserve">That new Deeds of Charge are required to secure Cash Collateral Accounts for the I-SEM and that these new Deeds </w:t>
            </w:r>
            <w:r w:rsidRPr="00BF7EBB">
              <w:t xml:space="preserve">of Charge and related Security documentation must have been approved by the deadline stipulated </w:t>
            </w:r>
            <w:r>
              <w:t>under item 6 above.</w:t>
            </w:r>
          </w:p>
          <w:p w:rsidR="00847E74" w:rsidRDefault="00847E74" w:rsidP="00847E74">
            <w:pPr>
              <w:pStyle w:val="ListParagraph"/>
              <w:numPr>
                <w:ilvl w:val="0"/>
                <w:numId w:val="40"/>
              </w:numPr>
              <w:spacing w:before="0" w:after="0" w:line="240" w:lineRule="auto"/>
              <w:contextualSpacing w:val="0"/>
            </w:pPr>
            <w:r w:rsidRPr="000D6579">
              <w:t xml:space="preserve">Methodology for calculation of initial </w:t>
            </w:r>
            <w:r>
              <w:t xml:space="preserve">Credit </w:t>
            </w:r>
            <w:r w:rsidRPr="000D6579">
              <w:t>Assessment Price given lack of historical Imbalance Prices</w:t>
            </w:r>
          </w:p>
          <w:p w:rsidR="00847E74" w:rsidRDefault="00847E74" w:rsidP="00847E74">
            <w:pPr>
              <w:pStyle w:val="ListParagraph"/>
              <w:numPr>
                <w:ilvl w:val="0"/>
                <w:numId w:val="40"/>
              </w:numPr>
              <w:spacing w:before="0" w:after="0" w:line="240" w:lineRule="auto"/>
              <w:contextualSpacing w:val="0"/>
            </w:pPr>
            <w:r>
              <w:t>FCR maintained for SEM Participants until after the last M+4 invoices are paid, then FCR halved in SEM and at the same time FCR in the I-SEM FCR applied (at half approved I-SEM FCR values).</w:t>
            </w:r>
          </w:p>
          <w:p w:rsidR="00847E74" w:rsidRDefault="00847E74" w:rsidP="00847E74">
            <w:pPr>
              <w:pStyle w:val="ListParagraph"/>
              <w:numPr>
                <w:ilvl w:val="0"/>
                <w:numId w:val="40"/>
              </w:numPr>
              <w:spacing w:before="0" w:after="0" w:line="240" w:lineRule="auto"/>
              <w:contextualSpacing w:val="0"/>
            </w:pPr>
            <w:r>
              <w:t>FCR set to zero in SEM once last M+13 or ad-hoc resettlement(which ever is the later) has invoices paid. FCR increased in the I-SEM to approved I-SEM FCR values at the same time.</w:t>
            </w:r>
          </w:p>
          <w:p w:rsidR="00847E74" w:rsidRPr="00F84653" w:rsidRDefault="00847E74" w:rsidP="00847E74">
            <w:pPr>
              <w:pStyle w:val="ListParagraph"/>
              <w:numPr>
                <w:ilvl w:val="0"/>
                <w:numId w:val="40"/>
              </w:numPr>
              <w:spacing w:before="0" w:after="0" w:line="240" w:lineRule="auto"/>
              <w:contextualSpacing w:val="0"/>
            </w:pPr>
            <w:r w:rsidRPr="00F84653">
              <w:t xml:space="preserve">For an interim period from the I-SEM Cutover Time until the day of the last SEM initial </w:t>
            </w:r>
            <w:r w:rsidRPr="00F84653">
              <w:lastRenderedPageBreak/>
              <w:t xml:space="preserve">settlement payments the Market Operator will perform </w:t>
            </w:r>
            <w:r>
              <w:t xml:space="preserve">reallocations </w:t>
            </w:r>
            <w:r w:rsidRPr="00F84653">
              <w:t xml:space="preserve">of collateral between the SEM and I-SEM. These </w:t>
            </w:r>
            <w:r>
              <w:t xml:space="preserve">reallocations </w:t>
            </w:r>
            <w:r w:rsidRPr="00F84653">
              <w:t xml:space="preserve">would occur (based on a 23rd May 2018 Cutover Time) as the evening of the 22nd May, evening of the 23rd May, evening of the 30th May and evening of the 6th June. With application of these accounting </w:t>
            </w:r>
            <w:r>
              <w:t>reallocations</w:t>
            </w:r>
            <w:r w:rsidRPr="00F84653">
              <w:t xml:space="preserve"> in the following days SEM and I-SEM credit reports.</w:t>
            </w:r>
          </w:p>
          <w:p w:rsidR="00847E74" w:rsidRDefault="00847E74" w:rsidP="00847E74">
            <w:pPr>
              <w:pStyle w:val="ListParagraph"/>
              <w:numPr>
                <w:ilvl w:val="0"/>
                <w:numId w:val="40"/>
              </w:numPr>
              <w:spacing w:before="0" w:after="0" w:line="240" w:lineRule="auto"/>
              <w:contextualSpacing w:val="0"/>
            </w:pPr>
            <w:r w:rsidRPr="00F84653">
              <w:t>The accounting</w:t>
            </w:r>
            <w:r>
              <w:t xml:space="preserve"> reallocations</w:t>
            </w:r>
            <w:r w:rsidRPr="00F84653">
              <w:t xml:space="preserve"> would be based on a predefined formula to determine the amount to transfer. The formula would be: Amount to Transfer from SEM to I-SEM = S</w:t>
            </w:r>
            <w:r>
              <w:t>EM Posted Credit Cover less (FC</w:t>
            </w:r>
            <w:r w:rsidRPr="00F84653">
              <w:t xml:space="preserve">R + Actual Exposure + Traded Exposure). </w:t>
            </w:r>
          </w:p>
          <w:p w:rsidR="00847E74" w:rsidRPr="00F84653" w:rsidRDefault="00847E74" w:rsidP="00847E74">
            <w:pPr>
              <w:pStyle w:val="ListParagraph"/>
              <w:numPr>
                <w:ilvl w:val="0"/>
                <w:numId w:val="40"/>
              </w:numPr>
              <w:spacing w:before="0" w:after="0" w:line="240" w:lineRule="auto"/>
              <w:contextualSpacing w:val="0"/>
            </w:pPr>
            <w:r>
              <w:t xml:space="preserve">Any deposits of cash collateral or amendments that increase LOC values will have the increased value allocated to the I-SEM Participant unless confirmed via email to SEMO that the deposit should be assigned to the SEM Participant. </w:t>
            </w:r>
          </w:p>
          <w:p w:rsidR="00847E74" w:rsidRPr="00F84653" w:rsidRDefault="00847E74" w:rsidP="00847E74">
            <w:pPr>
              <w:pStyle w:val="ListParagraph"/>
              <w:numPr>
                <w:ilvl w:val="0"/>
                <w:numId w:val="40"/>
              </w:numPr>
              <w:spacing w:before="0" w:after="0" w:line="240" w:lineRule="auto"/>
              <w:contextualSpacing w:val="0"/>
            </w:pPr>
            <w:r w:rsidRPr="00F84653">
              <w:t xml:space="preserve">The Participants involved must have provided prior to this, and in line with the deadline </w:t>
            </w:r>
            <w:r>
              <w:t xml:space="preserve">stipulated in item 6 above </w:t>
            </w:r>
            <w:r w:rsidRPr="00F84653">
              <w:t xml:space="preserve">, written instructions to transfer Excess Posted Credit Cover from SEM to I-SEM. </w:t>
            </w:r>
          </w:p>
          <w:p w:rsidR="00847E74" w:rsidRDefault="00847E74" w:rsidP="00847E74">
            <w:pPr>
              <w:pStyle w:val="ListParagraph"/>
              <w:numPr>
                <w:ilvl w:val="0"/>
                <w:numId w:val="40"/>
              </w:numPr>
              <w:spacing w:before="0" w:after="0" w:line="240" w:lineRule="auto"/>
              <w:contextualSpacing w:val="0"/>
            </w:pPr>
            <w:r w:rsidRPr="00F84653">
              <w:t xml:space="preserve">Refunds of </w:t>
            </w:r>
            <w:r>
              <w:t xml:space="preserve">cash </w:t>
            </w:r>
            <w:r w:rsidRPr="00F84653">
              <w:t>collateral or monetary reductions in L</w:t>
            </w:r>
            <w:r>
              <w:t>O</w:t>
            </w:r>
            <w:r w:rsidRPr="00F84653">
              <w:t>C’s will not be allowed for the 2 weeks either side of the I-SEM Cutover Time</w:t>
            </w:r>
            <w:r>
              <w:t xml:space="preserve"> to minimize risks and workload during the transition</w:t>
            </w:r>
            <w:r w:rsidRPr="00F84653">
              <w:t>.</w:t>
            </w:r>
          </w:p>
          <w:p w:rsidR="00847E74" w:rsidRDefault="00847E74" w:rsidP="00847E74">
            <w:pPr>
              <w:pStyle w:val="ListParagraph"/>
              <w:numPr>
                <w:ilvl w:val="0"/>
                <w:numId w:val="40"/>
              </w:numPr>
              <w:spacing w:before="0" w:after="0" w:line="240" w:lineRule="auto"/>
              <w:contextualSpacing w:val="0"/>
            </w:pPr>
            <w:r>
              <w:t>Where a default and Shortfall arises under a SEM/I-SEM Participant, and the related I-SEM/SEM Participant  has Excess Collateral, based on the latest credit cover report, the Market Operator will use this Excess Collateral to cover the Shortfall, or the proportion of the Shortfall that the excess collateral can cover.</w:t>
            </w:r>
          </w:p>
          <w:p w:rsidR="00847E74" w:rsidRPr="002F274C" w:rsidRDefault="00847E74" w:rsidP="00847E74">
            <w:pPr>
              <w:pStyle w:val="ListParagraph"/>
              <w:numPr>
                <w:ilvl w:val="0"/>
                <w:numId w:val="40"/>
              </w:numPr>
              <w:spacing w:before="0" w:after="0" w:line="240" w:lineRule="auto"/>
              <w:contextualSpacing w:val="0"/>
            </w:pPr>
            <w:r>
              <w:t xml:space="preserve"> </w:t>
            </w:r>
            <w:r w:rsidRPr="002F274C">
              <w:t>Participant will receive separate credit report and Credit Cover Increase Notice (if applicable) for each of the SEM and I-SEM.</w:t>
            </w:r>
          </w:p>
          <w:p w:rsidR="00847E74" w:rsidRDefault="00847E74" w:rsidP="00847E74">
            <w:pPr>
              <w:pStyle w:val="ListParagraph"/>
              <w:numPr>
                <w:ilvl w:val="0"/>
                <w:numId w:val="40"/>
              </w:numPr>
              <w:spacing w:before="0" w:after="0" w:line="240" w:lineRule="auto"/>
              <w:contextualSpacing w:val="0"/>
            </w:pPr>
            <w:r w:rsidRPr="00095A1C">
              <w:t>Where a SEM/I-SEM Participant receives a Credit Cover Increase Notice, through the relevant Authorised Person for Collateral Refunds, they may request the Market Operator to transfer any amount up to the Excess Collateral of the related I-SEM/SEM Participant to SEM/I-SEM Participant to cover part or all of the Credit Cover Increase Notice.</w:t>
            </w:r>
          </w:p>
          <w:p w:rsidR="00847E74" w:rsidRPr="00F84653" w:rsidRDefault="00847E74" w:rsidP="00915F97">
            <w:pPr>
              <w:rPr>
                <w:rFonts w:cs="Arial"/>
                <w:lang w:val="en-IE"/>
              </w:rPr>
            </w:pPr>
          </w:p>
        </w:tc>
      </w:tr>
      <w:tr w:rsidR="00847E74" w:rsidRPr="004C53E7" w:rsidDel="00404964" w:rsidTr="00915F97">
        <w:tc>
          <w:tcPr>
            <w:tcW w:w="9243" w:type="dxa"/>
            <w:gridSpan w:val="6"/>
            <w:shd w:val="clear" w:color="auto" w:fill="C6D9F1"/>
            <w:vAlign w:val="center"/>
          </w:tcPr>
          <w:p w:rsidR="00847E74" w:rsidRPr="004C53E7" w:rsidRDefault="00847E74" w:rsidP="00915F97">
            <w:pPr>
              <w:jc w:val="center"/>
              <w:rPr>
                <w:rFonts w:ascii="Calibri" w:hAnsi="Calibri" w:cs="Arial"/>
                <w:iCs/>
                <w:lang w:val="en-IE"/>
              </w:rPr>
            </w:pPr>
            <w:r w:rsidRPr="004C53E7">
              <w:rPr>
                <w:rFonts w:ascii="Calibri" w:hAnsi="Calibri" w:cs="Arial"/>
                <w:b/>
                <w:bCs/>
                <w:iCs/>
                <w:lang w:val="en-IE"/>
              </w:rPr>
              <w:lastRenderedPageBreak/>
              <w:t>Legal Drafting Change</w:t>
            </w:r>
          </w:p>
          <w:p w:rsidR="00847E74" w:rsidRPr="004C53E7" w:rsidDel="00404964" w:rsidRDefault="00847E74" w:rsidP="00915F9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847E74" w:rsidRPr="004C53E7" w:rsidDel="00404964" w:rsidTr="00915F97">
        <w:tc>
          <w:tcPr>
            <w:tcW w:w="9243" w:type="dxa"/>
            <w:gridSpan w:val="6"/>
            <w:vAlign w:val="center"/>
          </w:tcPr>
          <w:p w:rsidR="00847E74" w:rsidRDefault="00847E74" w:rsidP="00915F97">
            <w:pPr>
              <w:rPr>
                <w:rFonts w:cs="Arial"/>
                <w:lang w:val="en-IE"/>
              </w:rPr>
            </w:pPr>
          </w:p>
          <w:p w:rsidR="00847E74" w:rsidRPr="00AF0D8D" w:rsidRDefault="00847E74" w:rsidP="00915F97">
            <w:pPr>
              <w:rPr>
                <w:rFonts w:ascii="Calibri" w:hAnsi="Calibri" w:cs="Arial"/>
                <w:sz w:val="22"/>
                <w:szCs w:val="22"/>
                <w:lang w:val="en-IE"/>
              </w:rPr>
            </w:pPr>
            <w:r w:rsidRPr="00847E74">
              <w:rPr>
                <w:rFonts w:ascii="Calibri" w:hAnsi="Calibri" w:cs="Arial"/>
                <w:sz w:val="22"/>
                <w:szCs w:val="22"/>
                <w:lang w:val="en-IE"/>
              </w:rPr>
              <w:t>Refer to separate legal drafting document ”</w:t>
            </w:r>
            <w:hyperlink r:id="rId15" w:history="1">
              <w:r w:rsidRPr="00CD5F55">
                <w:rPr>
                  <w:rStyle w:val="Hyperlink"/>
                  <w:rFonts w:ascii="Calibri" w:hAnsi="Calibri" w:cs="Arial"/>
                  <w:sz w:val="22"/>
                  <w:szCs w:val="22"/>
                  <w:lang w:val="en-IE"/>
                </w:rPr>
                <w:t>MOD 06_17_Part_C_Legal_Text</w:t>
              </w:r>
              <w:r w:rsidR="0028103B" w:rsidRPr="00CD5F55">
                <w:rPr>
                  <w:rStyle w:val="Hyperlink"/>
                  <w:rFonts w:ascii="Calibri" w:hAnsi="Calibri" w:cs="Arial"/>
                  <w:sz w:val="22"/>
                  <w:szCs w:val="22"/>
                  <w:lang w:val="en-IE"/>
                </w:rPr>
                <w:t xml:space="preserve"> version 3</w:t>
              </w:r>
            </w:hyperlink>
            <w:r w:rsidRPr="00847E74">
              <w:rPr>
                <w:rFonts w:ascii="Calibri" w:hAnsi="Calibri" w:cs="Arial"/>
                <w:sz w:val="22"/>
                <w:szCs w:val="22"/>
                <w:lang w:val="en-IE"/>
              </w:rPr>
              <w:t>” and Deed drafting “</w:t>
            </w:r>
            <w:hyperlink r:id="rId16" w:history="1">
              <w:r w:rsidRPr="00847E74">
                <w:rPr>
                  <w:rStyle w:val="Hyperlink"/>
                  <w:rFonts w:ascii="Calibri" w:hAnsi="Calibri" w:cs="Arial"/>
                  <w:sz w:val="22"/>
                  <w:szCs w:val="22"/>
                  <w:lang w:val="en-IE"/>
                </w:rPr>
                <w:t>MOD_06_17_Part_C_Appendix_B</w:t>
              </w:r>
            </w:hyperlink>
            <w:r w:rsidRPr="00847E74">
              <w:rPr>
                <w:rFonts w:ascii="Calibri" w:hAnsi="Calibri" w:cs="Arial"/>
                <w:sz w:val="22"/>
                <w:szCs w:val="22"/>
                <w:lang w:val="en-IE"/>
              </w:rPr>
              <w:t>”</w:t>
            </w:r>
          </w:p>
          <w:p w:rsidR="00847E74" w:rsidRPr="00D44B18" w:rsidDel="00404964" w:rsidRDefault="00847E74" w:rsidP="00915F97">
            <w:pPr>
              <w:rPr>
                <w:rFonts w:cs="Arial"/>
                <w:lang w:val="en-IE"/>
              </w:rPr>
            </w:pPr>
          </w:p>
        </w:tc>
      </w:tr>
      <w:tr w:rsidR="00847E74" w:rsidRPr="004C53E7" w:rsidTr="00915F97">
        <w:tc>
          <w:tcPr>
            <w:tcW w:w="9243" w:type="dxa"/>
            <w:gridSpan w:val="6"/>
            <w:shd w:val="clear" w:color="auto" w:fill="C6D9F1"/>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Modification Proposal Justification</w:t>
            </w:r>
          </w:p>
          <w:p w:rsidR="00847E74" w:rsidRPr="004C53E7" w:rsidRDefault="00847E74" w:rsidP="00915F9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847E74" w:rsidRPr="004C53E7" w:rsidTr="00915F97">
        <w:tc>
          <w:tcPr>
            <w:tcW w:w="9243" w:type="dxa"/>
            <w:gridSpan w:val="6"/>
            <w:vAlign w:val="center"/>
          </w:tcPr>
          <w:p w:rsidR="00847E74" w:rsidRDefault="00847E74" w:rsidP="00915F97">
            <w:pPr>
              <w:rPr>
                <w:rFonts w:ascii="Calibri" w:hAnsi="Calibri" w:cs="Arial"/>
                <w:lang w:val="en-IE"/>
              </w:rPr>
            </w:pPr>
          </w:p>
          <w:p w:rsidR="00847E74" w:rsidRPr="00681F03" w:rsidRDefault="00847E74" w:rsidP="00915F97">
            <w:pPr>
              <w:rPr>
                <w:rFonts w:ascii="Calibri" w:hAnsi="Calibri" w:cs="Arial"/>
                <w:b/>
                <w:sz w:val="24"/>
                <w:szCs w:val="24"/>
                <w:lang w:val="en-IE"/>
              </w:rPr>
            </w:pPr>
            <w:r w:rsidRPr="00681F03">
              <w:rPr>
                <w:rFonts w:ascii="Calibri" w:hAnsi="Calibri" w:cs="Arial"/>
                <w:b/>
                <w:sz w:val="24"/>
                <w:szCs w:val="24"/>
                <w:lang w:val="en-IE"/>
              </w:rPr>
              <w:t>Why is the M</w:t>
            </w:r>
            <w:r>
              <w:rPr>
                <w:rFonts w:ascii="Calibri" w:hAnsi="Calibri" w:cs="Arial"/>
                <w:b/>
                <w:sz w:val="24"/>
                <w:szCs w:val="24"/>
                <w:lang w:val="en-IE"/>
              </w:rPr>
              <w:t>odification being raised</w:t>
            </w:r>
            <w:r w:rsidRPr="00681F03">
              <w:rPr>
                <w:rFonts w:ascii="Calibri" w:hAnsi="Calibri" w:cs="Arial"/>
                <w:b/>
                <w:sz w:val="24"/>
                <w:szCs w:val="24"/>
                <w:lang w:val="en-IE"/>
              </w:rPr>
              <w:t>?</w:t>
            </w:r>
          </w:p>
          <w:p w:rsidR="00847E74" w:rsidRDefault="00847E74" w:rsidP="00915F97"/>
          <w:p w:rsidR="00847E74" w:rsidRPr="00681F03" w:rsidRDefault="00847E74" w:rsidP="00915F97">
            <w:pPr>
              <w:rPr>
                <w:rFonts w:ascii="Calibri" w:hAnsi="Calibri" w:cs="Arial"/>
                <w:sz w:val="22"/>
                <w:szCs w:val="22"/>
                <w:lang w:val="en-IE"/>
              </w:rPr>
            </w:pPr>
            <w:r w:rsidRPr="00681F03">
              <w:rPr>
                <w:rFonts w:ascii="Calibri" w:hAnsi="Calibri" w:cs="Arial"/>
                <w:sz w:val="22"/>
                <w:szCs w:val="22"/>
                <w:lang w:val="en-IE"/>
              </w:rPr>
              <w:t xml:space="preserve">With the focus on the completion and approval of the main body of the TSC Part B (I-SEM arrangements) combined with, at the time, a lack of clarity on the transitional arrangements for credit cover, there is limited detail provided in the TSC on how SEM credit cover requirements will be managed during the transition </w:t>
            </w:r>
            <w:r>
              <w:rPr>
                <w:rFonts w:ascii="Calibri" w:hAnsi="Calibri" w:cs="Arial"/>
                <w:sz w:val="22"/>
                <w:szCs w:val="22"/>
                <w:lang w:val="en-IE"/>
              </w:rPr>
              <w:t xml:space="preserve">from </w:t>
            </w:r>
            <w:r w:rsidRPr="00681F03">
              <w:rPr>
                <w:rFonts w:ascii="Calibri" w:hAnsi="Calibri" w:cs="Arial"/>
                <w:sz w:val="22"/>
                <w:szCs w:val="22"/>
                <w:lang w:val="en-IE"/>
              </w:rPr>
              <w:t>the TSC Part A (SEM) to TSC Part B (I-SEM) arrangements.</w:t>
            </w:r>
          </w:p>
          <w:p w:rsidR="00847E74" w:rsidRDefault="00847E74" w:rsidP="00915F97">
            <w:pPr>
              <w:rPr>
                <w:rFonts w:ascii="Calibri" w:hAnsi="Calibri" w:cs="Arial"/>
                <w:sz w:val="22"/>
                <w:szCs w:val="22"/>
                <w:lang w:val="en-IE"/>
              </w:rPr>
            </w:pPr>
          </w:p>
          <w:p w:rsidR="00847E74" w:rsidRDefault="00847E74" w:rsidP="00915F97">
            <w:pPr>
              <w:rPr>
                <w:rFonts w:ascii="Calibri" w:hAnsi="Calibri" w:cs="Arial"/>
                <w:sz w:val="22"/>
                <w:szCs w:val="22"/>
                <w:lang w:val="en-IE"/>
              </w:rPr>
            </w:pPr>
            <w:r>
              <w:rPr>
                <w:rFonts w:ascii="Calibri" w:hAnsi="Calibri" w:cs="Arial"/>
                <w:sz w:val="22"/>
                <w:szCs w:val="22"/>
                <w:lang w:val="en-IE"/>
              </w:rPr>
              <w:lastRenderedPageBreak/>
              <w:t>T</w:t>
            </w:r>
            <w:r w:rsidRPr="00681F03">
              <w:rPr>
                <w:rFonts w:ascii="Calibri" w:hAnsi="Calibri" w:cs="Arial"/>
                <w:sz w:val="22"/>
                <w:szCs w:val="22"/>
                <w:lang w:val="en-IE"/>
              </w:rPr>
              <w:t xml:space="preserve">here are certain elements of the enduring TSC that </w:t>
            </w:r>
            <w:r>
              <w:rPr>
                <w:rFonts w:ascii="Calibri" w:hAnsi="Calibri" w:cs="Arial"/>
                <w:sz w:val="22"/>
                <w:szCs w:val="22"/>
                <w:lang w:val="en-IE"/>
              </w:rPr>
              <w:t>do not provide for the efficient transition of collateral requirements from the SEM to the I-SEM. For example, if enduring TSC rules were followed there would be a duplication of the collateral requirements and the need for separate cash collateral accounts and Letters of Credit to be setup for SEM and I-SEM Participants.</w:t>
            </w:r>
          </w:p>
          <w:p w:rsidR="00847E74" w:rsidRDefault="00847E74" w:rsidP="00915F97">
            <w:pPr>
              <w:rPr>
                <w:rFonts w:ascii="Calibri" w:hAnsi="Calibri" w:cs="Arial"/>
                <w:sz w:val="22"/>
                <w:szCs w:val="22"/>
                <w:lang w:val="en-IE"/>
              </w:rPr>
            </w:pPr>
          </w:p>
          <w:p w:rsidR="00847E74" w:rsidRPr="002F274C" w:rsidRDefault="00847E74" w:rsidP="00915F97">
            <w:pPr>
              <w:rPr>
                <w:rFonts w:ascii="Calibri" w:hAnsi="Calibri" w:cs="Arial"/>
                <w:sz w:val="22"/>
                <w:szCs w:val="22"/>
                <w:lang w:val="en-IE"/>
              </w:rPr>
            </w:pPr>
            <w:r>
              <w:rPr>
                <w:rFonts w:ascii="Calibri" w:hAnsi="Calibri" w:cs="Arial"/>
                <w:sz w:val="22"/>
                <w:szCs w:val="22"/>
                <w:lang w:val="en-IE"/>
              </w:rPr>
              <w:t xml:space="preserve">In addition, there are certain elements of the enduring TSC that </w:t>
            </w:r>
            <w:r w:rsidRPr="00681F03">
              <w:rPr>
                <w:rFonts w:ascii="Calibri" w:hAnsi="Calibri" w:cs="Arial"/>
                <w:sz w:val="22"/>
                <w:szCs w:val="22"/>
                <w:lang w:val="en-IE"/>
              </w:rPr>
              <w:t>do not cater for the initial start of the I-SEM arrangements</w:t>
            </w:r>
            <w:r>
              <w:rPr>
                <w:rFonts w:ascii="Calibri" w:hAnsi="Calibri" w:cs="Arial"/>
                <w:sz w:val="22"/>
                <w:szCs w:val="22"/>
                <w:lang w:val="en-IE"/>
              </w:rPr>
              <w:t xml:space="preserve"> when </w:t>
            </w:r>
            <w:r w:rsidRPr="002F274C">
              <w:rPr>
                <w:rFonts w:ascii="Calibri" w:hAnsi="Calibri" w:cs="Arial"/>
                <w:sz w:val="22"/>
                <w:szCs w:val="22"/>
                <w:lang w:val="en-IE"/>
              </w:rPr>
              <w:t>certain information may not be available. For example, use of historical Imbalance Prices for the calculation of the Credit Assessment Price.</w:t>
            </w:r>
          </w:p>
          <w:p w:rsidR="00847E74" w:rsidRPr="00681F03" w:rsidRDefault="00847E74" w:rsidP="00915F97">
            <w:pPr>
              <w:rPr>
                <w:rFonts w:ascii="Calibri" w:hAnsi="Calibri" w:cs="Arial"/>
                <w:sz w:val="22"/>
                <w:szCs w:val="22"/>
                <w:lang w:val="en-IE"/>
              </w:rPr>
            </w:pPr>
          </w:p>
          <w:p w:rsidR="00847E74" w:rsidRPr="00681F03" w:rsidRDefault="00847E74" w:rsidP="00915F97">
            <w:pPr>
              <w:rPr>
                <w:rFonts w:ascii="Calibri" w:hAnsi="Calibri" w:cs="Arial"/>
                <w:sz w:val="22"/>
                <w:szCs w:val="22"/>
                <w:lang w:val="en-IE"/>
              </w:rPr>
            </w:pPr>
            <w:r w:rsidRPr="00681F03">
              <w:rPr>
                <w:rFonts w:ascii="Calibri" w:hAnsi="Calibri" w:cs="Arial"/>
                <w:sz w:val="22"/>
                <w:szCs w:val="22"/>
                <w:lang w:val="en-IE"/>
              </w:rPr>
              <w:t xml:space="preserve">Participants have also become increasingly interested in what the </w:t>
            </w:r>
            <w:r>
              <w:rPr>
                <w:rFonts w:ascii="Calibri" w:hAnsi="Calibri" w:cs="Arial"/>
                <w:sz w:val="22"/>
                <w:szCs w:val="22"/>
                <w:lang w:val="en-IE"/>
              </w:rPr>
              <w:t>Transitional Credit C</w:t>
            </w:r>
            <w:r w:rsidRPr="00681F03">
              <w:rPr>
                <w:rFonts w:ascii="Calibri" w:hAnsi="Calibri" w:cs="Arial"/>
                <w:sz w:val="22"/>
                <w:szCs w:val="22"/>
                <w:lang w:val="en-IE"/>
              </w:rPr>
              <w:t xml:space="preserve">over </w:t>
            </w:r>
            <w:r>
              <w:rPr>
                <w:rFonts w:ascii="Calibri" w:hAnsi="Calibri" w:cs="Arial"/>
                <w:sz w:val="22"/>
                <w:szCs w:val="22"/>
                <w:lang w:val="en-IE"/>
              </w:rPr>
              <w:t>P</w:t>
            </w:r>
            <w:r w:rsidRPr="00681F03">
              <w:rPr>
                <w:rFonts w:ascii="Calibri" w:hAnsi="Calibri" w:cs="Arial"/>
                <w:sz w:val="22"/>
                <w:szCs w:val="22"/>
                <w:lang w:val="en-IE"/>
              </w:rPr>
              <w:t>rovisions are going to be in order to allow planning, preparation and compliance with the requirements.</w:t>
            </w:r>
          </w:p>
          <w:p w:rsidR="00847E74" w:rsidRPr="00681F03" w:rsidRDefault="00847E74" w:rsidP="00915F97">
            <w:pPr>
              <w:rPr>
                <w:rFonts w:ascii="Calibri" w:hAnsi="Calibri" w:cs="Arial"/>
                <w:sz w:val="22"/>
                <w:szCs w:val="22"/>
                <w:lang w:val="en-IE"/>
              </w:rPr>
            </w:pPr>
          </w:p>
          <w:p w:rsidR="00847E74" w:rsidRPr="00681F03" w:rsidRDefault="00847E74" w:rsidP="00915F97">
            <w:pPr>
              <w:rPr>
                <w:rFonts w:ascii="Calibri" w:hAnsi="Calibri" w:cs="Arial"/>
                <w:sz w:val="22"/>
                <w:szCs w:val="22"/>
                <w:lang w:val="en-IE"/>
              </w:rPr>
            </w:pPr>
            <w:r w:rsidRPr="00681F03">
              <w:rPr>
                <w:rFonts w:ascii="Calibri" w:hAnsi="Calibri" w:cs="Arial"/>
                <w:sz w:val="22"/>
                <w:szCs w:val="22"/>
                <w:lang w:val="en-IE"/>
              </w:rPr>
              <w:t>This modification provides a proposal to clarify the timelines, activities, methodologies and credit cover calculations over the transitional period.</w:t>
            </w:r>
          </w:p>
          <w:p w:rsidR="00847E74" w:rsidRPr="00AF0D8D" w:rsidRDefault="00847E74" w:rsidP="00915F97">
            <w:pPr>
              <w:rPr>
                <w:lang w:val="en-IE"/>
              </w:rPr>
            </w:pPr>
          </w:p>
        </w:tc>
      </w:tr>
      <w:tr w:rsidR="00847E74" w:rsidRPr="004C53E7" w:rsidTr="00915F97">
        <w:tc>
          <w:tcPr>
            <w:tcW w:w="9243" w:type="dxa"/>
            <w:gridSpan w:val="6"/>
            <w:shd w:val="clear" w:color="auto" w:fill="C6D9F1"/>
            <w:vAlign w:val="center"/>
          </w:tcPr>
          <w:p w:rsidR="00847E74" w:rsidRPr="004C53E7" w:rsidRDefault="00847E74" w:rsidP="00915F97">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847E74" w:rsidRPr="004C53E7" w:rsidRDefault="00847E74" w:rsidP="00915F9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847E74" w:rsidRPr="004C53E7" w:rsidTr="00915F97">
        <w:tc>
          <w:tcPr>
            <w:tcW w:w="9243" w:type="dxa"/>
            <w:gridSpan w:val="6"/>
            <w:vAlign w:val="center"/>
          </w:tcPr>
          <w:p w:rsidR="00847E74" w:rsidRPr="000F413D" w:rsidRDefault="00847E74" w:rsidP="00915F97">
            <w:pPr>
              <w:rPr>
                <w:rFonts w:ascii="Calibri" w:hAnsi="Calibri" w:cs="Arial"/>
                <w:sz w:val="22"/>
                <w:szCs w:val="22"/>
                <w:lang w:val="en-IE"/>
              </w:rPr>
            </w:pPr>
            <w:r>
              <w:rPr>
                <w:rFonts w:ascii="Calibri" w:hAnsi="Calibri" w:cs="Arial"/>
                <w:sz w:val="22"/>
                <w:szCs w:val="22"/>
                <w:lang w:val="en-IE"/>
              </w:rPr>
              <w:t>This Modification proposal aims to further the Code Objectives under the T&amp;SC , specifically the elements shown in bold below.</w:t>
            </w:r>
          </w:p>
          <w:p w:rsidR="00847E74" w:rsidRPr="000F413D" w:rsidRDefault="00847E74" w:rsidP="00915F97">
            <w:pPr>
              <w:rPr>
                <w:rFonts w:ascii="Calibri" w:hAnsi="Calibri" w:cs="Arial"/>
                <w:sz w:val="22"/>
                <w:szCs w:val="22"/>
                <w:lang w:val="en-IE"/>
              </w:rPr>
            </w:pPr>
            <w:r w:rsidRPr="000F413D">
              <w:rPr>
                <w:rFonts w:ascii="Calibri" w:hAnsi="Calibri" w:cs="Arial"/>
                <w:sz w:val="22"/>
                <w:szCs w:val="22"/>
                <w:lang w:val="en-IE"/>
              </w:rPr>
              <w:t>(</w:t>
            </w:r>
            <w:r>
              <w:rPr>
                <w:rFonts w:ascii="Calibri" w:hAnsi="Calibri" w:cs="Arial"/>
                <w:sz w:val="22"/>
                <w:szCs w:val="22"/>
                <w:lang w:val="en-IE"/>
              </w:rPr>
              <w:t>1</w:t>
            </w:r>
            <w:r w:rsidRPr="000F413D">
              <w:rPr>
                <w:rFonts w:ascii="Calibri" w:hAnsi="Calibri" w:cs="Arial"/>
                <w:sz w:val="22"/>
                <w:szCs w:val="22"/>
                <w:lang w:val="en-IE"/>
              </w:rPr>
              <w:t xml:space="preserve">) to </w:t>
            </w:r>
            <w:r w:rsidRPr="000F413D">
              <w:rPr>
                <w:rFonts w:ascii="Calibri" w:hAnsi="Calibri" w:cs="Arial"/>
                <w:b/>
                <w:sz w:val="22"/>
                <w:szCs w:val="22"/>
                <w:lang w:val="en-IE"/>
              </w:rPr>
              <w:t>facilitate the efficient discharge</w:t>
            </w:r>
            <w:r w:rsidRPr="000F413D">
              <w:rPr>
                <w:rFonts w:ascii="Calibri" w:hAnsi="Calibri" w:cs="Arial"/>
                <w:sz w:val="22"/>
                <w:szCs w:val="22"/>
                <w:lang w:val="en-IE"/>
              </w:rPr>
              <w:t xml:space="preserve"> by the Market Operator of the obligations</w:t>
            </w:r>
          </w:p>
          <w:p w:rsidR="00847E74" w:rsidRPr="000F413D" w:rsidRDefault="00847E74" w:rsidP="00915F97">
            <w:pPr>
              <w:rPr>
                <w:rFonts w:ascii="Calibri" w:hAnsi="Calibri" w:cs="Arial"/>
                <w:sz w:val="22"/>
                <w:szCs w:val="22"/>
                <w:lang w:val="en-IE"/>
              </w:rPr>
            </w:pPr>
            <w:r w:rsidRPr="000F413D">
              <w:rPr>
                <w:rFonts w:ascii="Calibri" w:hAnsi="Calibri" w:cs="Arial"/>
                <w:sz w:val="22"/>
                <w:szCs w:val="22"/>
                <w:lang w:val="en-IE"/>
              </w:rPr>
              <w:t>imposed upon it by its Market Operator Licences;</w:t>
            </w:r>
          </w:p>
          <w:p w:rsidR="00847E74" w:rsidRPr="000F413D" w:rsidRDefault="00847E74" w:rsidP="00915F97">
            <w:pPr>
              <w:rPr>
                <w:rFonts w:ascii="Calibri" w:hAnsi="Calibri" w:cs="Arial"/>
                <w:sz w:val="22"/>
                <w:szCs w:val="22"/>
                <w:lang w:val="en-IE"/>
              </w:rPr>
            </w:pPr>
            <w:r w:rsidRPr="000F413D">
              <w:rPr>
                <w:rFonts w:ascii="Calibri" w:hAnsi="Calibri" w:cs="Arial"/>
                <w:sz w:val="22"/>
                <w:szCs w:val="22"/>
                <w:lang w:val="en-IE"/>
              </w:rPr>
              <w:t>(</w:t>
            </w:r>
            <w:r>
              <w:rPr>
                <w:rFonts w:ascii="Calibri" w:hAnsi="Calibri" w:cs="Arial"/>
                <w:sz w:val="22"/>
                <w:szCs w:val="22"/>
                <w:lang w:val="en-IE"/>
              </w:rPr>
              <w:t>2</w:t>
            </w:r>
            <w:r w:rsidRPr="000F413D">
              <w:rPr>
                <w:rFonts w:ascii="Calibri" w:hAnsi="Calibri" w:cs="Arial"/>
                <w:sz w:val="22"/>
                <w:szCs w:val="22"/>
                <w:lang w:val="en-IE"/>
              </w:rPr>
              <w:t xml:space="preserve">) to </w:t>
            </w:r>
            <w:r w:rsidRPr="000F413D">
              <w:rPr>
                <w:rFonts w:ascii="Calibri" w:hAnsi="Calibri" w:cs="Arial"/>
                <w:b/>
                <w:sz w:val="22"/>
                <w:szCs w:val="22"/>
                <w:lang w:val="en-IE"/>
              </w:rPr>
              <w:t>facilitate the efficient, economic and coordinated operation</w:t>
            </w:r>
            <w:r w:rsidRPr="000F413D">
              <w:rPr>
                <w:rFonts w:ascii="Calibri" w:hAnsi="Calibri" w:cs="Arial"/>
                <w:sz w:val="22"/>
                <w:szCs w:val="22"/>
                <w:lang w:val="en-IE"/>
              </w:rPr>
              <w:t>, administration</w:t>
            </w:r>
          </w:p>
          <w:p w:rsidR="00847E74" w:rsidRPr="000F413D" w:rsidRDefault="00847E74" w:rsidP="00915F97">
            <w:pPr>
              <w:rPr>
                <w:rFonts w:ascii="Calibri" w:hAnsi="Calibri" w:cs="Arial"/>
                <w:b/>
                <w:sz w:val="22"/>
                <w:szCs w:val="22"/>
                <w:lang w:val="en-IE"/>
              </w:rPr>
            </w:pPr>
            <w:r w:rsidRPr="000F413D">
              <w:rPr>
                <w:rFonts w:ascii="Calibri" w:hAnsi="Calibri" w:cs="Arial"/>
                <w:sz w:val="22"/>
                <w:szCs w:val="22"/>
                <w:lang w:val="en-IE"/>
              </w:rPr>
              <w:t xml:space="preserve">and development of the Single Electricity Market </w:t>
            </w:r>
            <w:r w:rsidRPr="000F413D">
              <w:rPr>
                <w:rFonts w:ascii="Calibri" w:hAnsi="Calibri" w:cs="Arial"/>
                <w:b/>
                <w:sz w:val="22"/>
                <w:szCs w:val="22"/>
                <w:lang w:val="en-IE"/>
              </w:rPr>
              <w:t>in a financially secure</w:t>
            </w:r>
          </w:p>
          <w:p w:rsidR="00847E74" w:rsidRPr="000F413D" w:rsidRDefault="00847E74" w:rsidP="00915F97">
            <w:pPr>
              <w:rPr>
                <w:rFonts w:ascii="Calibri" w:hAnsi="Calibri" w:cs="Arial"/>
                <w:b/>
                <w:sz w:val="22"/>
                <w:szCs w:val="22"/>
                <w:lang w:val="en-IE"/>
              </w:rPr>
            </w:pPr>
            <w:r w:rsidRPr="000F413D">
              <w:rPr>
                <w:rFonts w:ascii="Calibri" w:hAnsi="Calibri" w:cs="Arial"/>
                <w:b/>
                <w:sz w:val="22"/>
                <w:szCs w:val="22"/>
                <w:lang w:val="en-IE"/>
              </w:rPr>
              <w:t>manner;</w:t>
            </w:r>
          </w:p>
          <w:p w:rsidR="00847E74" w:rsidRPr="000F413D" w:rsidRDefault="00847E74" w:rsidP="00915F97">
            <w:pPr>
              <w:rPr>
                <w:rFonts w:ascii="Calibri" w:hAnsi="Calibri" w:cs="Arial"/>
                <w:sz w:val="22"/>
                <w:szCs w:val="22"/>
                <w:lang w:val="en-IE"/>
              </w:rPr>
            </w:pPr>
            <w:r w:rsidRPr="000F413D">
              <w:rPr>
                <w:rFonts w:ascii="Calibri" w:hAnsi="Calibri" w:cs="Arial"/>
                <w:sz w:val="22"/>
                <w:szCs w:val="22"/>
                <w:lang w:val="en-IE"/>
              </w:rPr>
              <w:t>(</w:t>
            </w:r>
            <w:r>
              <w:rPr>
                <w:rFonts w:ascii="Calibri" w:hAnsi="Calibri" w:cs="Arial"/>
                <w:sz w:val="22"/>
                <w:szCs w:val="22"/>
                <w:lang w:val="en-IE"/>
              </w:rPr>
              <w:t>5</w:t>
            </w:r>
            <w:r w:rsidRPr="000F413D">
              <w:rPr>
                <w:rFonts w:ascii="Calibri" w:hAnsi="Calibri" w:cs="Arial"/>
                <w:sz w:val="22"/>
                <w:szCs w:val="22"/>
                <w:lang w:val="en-IE"/>
              </w:rPr>
              <w:t xml:space="preserve">) to </w:t>
            </w:r>
            <w:r w:rsidRPr="000F413D">
              <w:rPr>
                <w:rFonts w:ascii="Calibri" w:hAnsi="Calibri" w:cs="Arial"/>
                <w:b/>
                <w:sz w:val="22"/>
                <w:szCs w:val="22"/>
                <w:lang w:val="en-IE"/>
              </w:rPr>
              <w:t>provide transparency in the operation</w:t>
            </w:r>
            <w:r w:rsidRPr="000F413D">
              <w:rPr>
                <w:rFonts w:ascii="Calibri" w:hAnsi="Calibri" w:cs="Arial"/>
                <w:sz w:val="22"/>
                <w:szCs w:val="22"/>
                <w:lang w:val="en-IE"/>
              </w:rPr>
              <w:t xml:space="preserve"> of the Single Electricity Market;</w:t>
            </w:r>
          </w:p>
          <w:p w:rsidR="00847E74" w:rsidRPr="004C53E7" w:rsidRDefault="00847E74" w:rsidP="00915F97">
            <w:pPr>
              <w:rPr>
                <w:rFonts w:ascii="Calibri" w:hAnsi="Calibri" w:cs="Arial"/>
                <w:lang w:val="en-IE"/>
              </w:rPr>
            </w:pPr>
          </w:p>
        </w:tc>
      </w:tr>
      <w:tr w:rsidR="00847E74" w:rsidRPr="004C53E7" w:rsidTr="00915F97">
        <w:tc>
          <w:tcPr>
            <w:tcW w:w="9243" w:type="dxa"/>
            <w:gridSpan w:val="6"/>
            <w:shd w:val="clear" w:color="auto" w:fill="C6D9F1"/>
            <w:vAlign w:val="center"/>
          </w:tcPr>
          <w:p w:rsidR="00847E74" w:rsidRPr="004C53E7" w:rsidRDefault="00847E74" w:rsidP="00915F9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847E74" w:rsidRPr="004C53E7" w:rsidRDefault="00847E74" w:rsidP="00915F9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847E74" w:rsidRPr="004C53E7" w:rsidTr="00915F97">
        <w:tc>
          <w:tcPr>
            <w:tcW w:w="9243" w:type="dxa"/>
            <w:gridSpan w:val="6"/>
            <w:vAlign w:val="center"/>
          </w:tcPr>
          <w:p w:rsidR="00847E74" w:rsidRPr="00001773" w:rsidRDefault="00847E74" w:rsidP="00915F97">
            <w:pPr>
              <w:rPr>
                <w:rFonts w:ascii="Calibri" w:hAnsi="Calibri"/>
                <w:sz w:val="22"/>
                <w:szCs w:val="22"/>
                <w:lang w:val="en-US"/>
              </w:rPr>
            </w:pPr>
            <w:r w:rsidRPr="00001773">
              <w:rPr>
                <w:rFonts w:ascii="Calibri" w:hAnsi="Calibri"/>
                <w:sz w:val="22"/>
                <w:szCs w:val="22"/>
                <w:lang w:val="en-US"/>
              </w:rPr>
              <w:t>The implications of not implementing transitional arrangements include:</w:t>
            </w:r>
          </w:p>
          <w:p w:rsidR="00847E74" w:rsidRDefault="00847E74" w:rsidP="00B8262C">
            <w:pPr>
              <w:pStyle w:val="ListParagraph"/>
              <w:numPr>
                <w:ilvl w:val="0"/>
                <w:numId w:val="48"/>
              </w:numPr>
              <w:spacing w:before="0" w:after="0" w:line="240" w:lineRule="auto"/>
              <w:contextualSpacing w:val="0"/>
            </w:pPr>
            <w:r>
              <w:t>Participants will need to maintain SEM collateral at levels higher than what is actually needed</w:t>
            </w:r>
          </w:p>
          <w:p w:rsidR="00847E74" w:rsidRDefault="00847E74" w:rsidP="00B8262C">
            <w:pPr>
              <w:pStyle w:val="ListParagraph"/>
              <w:numPr>
                <w:ilvl w:val="0"/>
                <w:numId w:val="48"/>
              </w:numPr>
              <w:spacing w:before="0" w:after="0" w:line="240" w:lineRule="auto"/>
              <w:contextualSpacing w:val="0"/>
            </w:pPr>
            <w:r>
              <w:t>The I-SEM may not be collateralized appropriately (given Credit Assessment Prices will not be able to be calculated as historical Imbalance Prices are not available) leading to increased risks of bad debt to Participants</w:t>
            </w:r>
          </w:p>
          <w:p w:rsidR="00847E74" w:rsidRPr="004C53E7" w:rsidRDefault="00847E74" w:rsidP="00B8262C">
            <w:pPr>
              <w:pStyle w:val="ListParagraph"/>
              <w:numPr>
                <w:ilvl w:val="0"/>
                <w:numId w:val="48"/>
              </w:numPr>
              <w:spacing w:before="0" w:after="0" w:line="240" w:lineRule="auto"/>
              <w:contextualSpacing w:val="0"/>
              <w:rPr>
                <w:rFonts w:cs="Arial"/>
                <w:lang w:val="en-IE"/>
              </w:rPr>
            </w:pPr>
            <w:r>
              <w:t>Participants having limited time to put in place Initial Credit Cover Requirements for the I-SEM arrangements</w:t>
            </w:r>
          </w:p>
        </w:tc>
      </w:tr>
      <w:tr w:rsidR="00847E74" w:rsidRPr="004C53E7" w:rsidTr="00915F97">
        <w:trPr>
          <w:trHeight w:val="507"/>
        </w:trPr>
        <w:tc>
          <w:tcPr>
            <w:tcW w:w="4621" w:type="dxa"/>
            <w:gridSpan w:val="3"/>
            <w:shd w:val="clear" w:color="auto" w:fill="C6D9F1"/>
            <w:vAlign w:val="center"/>
          </w:tcPr>
          <w:p w:rsidR="00847E74" w:rsidRPr="004C53E7" w:rsidRDefault="00847E74" w:rsidP="00915F97">
            <w:pPr>
              <w:jc w:val="center"/>
              <w:rPr>
                <w:rFonts w:ascii="Calibri" w:hAnsi="Calibri" w:cs="Arial"/>
                <w:b/>
                <w:bCs/>
                <w:iCs/>
                <w:lang w:val="en-IE"/>
              </w:rPr>
            </w:pPr>
            <w:r w:rsidRPr="004C53E7">
              <w:rPr>
                <w:rFonts w:ascii="Calibri" w:hAnsi="Calibri" w:cs="Arial"/>
                <w:b/>
                <w:bCs/>
                <w:iCs/>
                <w:lang w:val="en-IE"/>
              </w:rPr>
              <w:lastRenderedPageBreak/>
              <w:t>Working Group</w:t>
            </w:r>
          </w:p>
          <w:p w:rsidR="00847E74" w:rsidRPr="004C53E7" w:rsidRDefault="00847E74" w:rsidP="00915F9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847E74" w:rsidRPr="004C53E7" w:rsidRDefault="00847E74" w:rsidP="00915F97">
            <w:pPr>
              <w:jc w:val="center"/>
              <w:rPr>
                <w:rFonts w:ascii="Calibri" w:hAnsi="Calibri" w:cs="Arial"/>
                <w:b/>
                <w:bCs/>
                <w:iCs/>
                <w:lang w:val="en-IE"/>
              </w:rPr>
            </w:pPr>
            <w:r w:rsidRPr="004C53E7">
              <w:rPr>
                <w:rFonts w:ascii="Calibri" w:hAnsi="Calibri" w:cs="Arial"/>
                <w:b/>
                <w:bCs/>
                <w:iCs/>
                <w:lang w:val="en-IE"/>
              </w:rPr>
              <w:t>Impacts</w:t>
            </w:r>
          </w:p>
          <w:p w:rsidR="00847E74" w:rsidRPr="004C53E7" w:rsidRDefault="00847E74" w:rsidP="00915F9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847E74" w:rsidRPr="004C53E7" w:rsidRDefault="00847E74" w:rsidP="00915F97">
            <w:pPr>
              <w:jc w:val="center"/>
              <w:rPr>
                <w:rFonts w:ascii="Calibri" w:hAnsi="Calibri" w:cs="Arial"/>
                <w:b/>
                <w:bCs/>
                <w:iCs/>
                <w:lang w:val="en-IE"/>
              </w:rPr>
            </w:pPr>
          </w:p>
        </w:tc>
      </w:tr>
      <w:tr w:rsidR="00847E74" w:rsidRPr="004C53E7" w:rsidDel="00404964" w:rsidTr="00915F97">
        <w:trPr>
          <w:trHeight w:val="507"/>
        </w:trPr>
        <w:tc>
          <w:tcPr>
            <w:tcW w:w="4621" w:type="dxa"/>
            <w:gridSpan w:val="3"/>
            <w:vAlign w:val="center"/>
          </w:tcPr>
          <w:p w:rsidR="00847E74" w:rsidRPr="004C53E7" w:rsidDel="00404964" w:rsidRDefault="00847E74" w:rsidP="00915F97">
            <w:pPr>
              <w:rPr>
                <w:rFonts w:ascii="Calibri" w:hAnsi="Calibri" w:cs="Arial"/>
                <w:lang w:val="en-IE"/>
              </w:rPr>
            </w:pPr>
            <w:r>
              <w:rPr>
                <w:rFonts w:ascii="Calibri" w:hAnsi="Calibri"/>
                <w:sz w:val="22"/>
                <w:szCs w:val="22"/>
                <w:lang w:val="en-US"/>
              </w:rPr>
              <w:t xml:space="preserve">In order to provide clarity and certainty to Participants about the </w:t>
            </w:r>
            <w:r w:rsidRPr="00BD4492">
              <w:rPr>
                <w:rFonts w:ascii="Calibri" w:hAnsi="Calibri"/>
                <w:sz w:val="22"/>
                <w:szCs w:val="22"/>
                <w:lang w:val="en-US"/>
              </w:rPr>
              <w:t>Transitional Credit Cover Provisions</w:t>
            </w:r>
            <w:r>
              <w:rPr>
                <w:rFonts w:ascii="Calibri" w:hAnsi="Calibri"/>
                <w:sz w:val="22"/>
                <w:szCs w:val="22"/>
                <w:lang w:val="en-US"/>
              </w:rPr>
              <w:t xml:space="preserve">, and allow </w:t>
            </w:r>
            <w:r w:rsidRPr="00BD4492">
              <w:rPr>
                <w:rFonts w:ascii="Calibri" w:hAnsi="Calibri"/>
                <w:sz w:val="22"/>
                <w:szCs w:val="22"/>
                <w:lang w:val="en-US"/>
              </w:rPr>
              <w:t>sufficient time for Participants to prepare financing and account setup</w:t>
            </w:r>
            <w:r>
              <w:rPr>
                <w:rFonts w:ascii="Calibri" w:hAnsi="Calibri"/>
                <w:sz w:val="22"/>
                <w:szCs w:val="22"/>
                <w:lang w:val="en-US"/>
              </w:rPr>
              <w:t xml:space="preserve">s, </w:t>
            </w:r>
            <w:r w:rsidRPr="00BD4492">
              <w:rPr>
                <w:rFonts w:ascii="Calibri" w:hAnsi="Calibri"/>
                <w:sz w:val="22"/>
                <w:szCs w:val="22"/>
                <w:lang w:val="en-US"/>
              </w:rPr>
              <w:t xml:space="preserve">it is proposed that the focus be on using this proposal as a basis for the </w:t>
            </w:r>
            <w:r>
              <w:rPr>
                <w:rFonts w:ascii="Calibri" w:hAnsi="Calibri"/>
                <w:sz w:val="22"/>
                <w:szCs w:val="22"/>
                <w:lang w:val="en-US"/>
              </w:rPr>
              <w:t xml:space="preserve">final </w:t>
            </w:r>
            <w:r w:rsidRPr="00BD4492">
              <w:rPr>
                <w:rFonts w:ascii="Calibri" w:hAnsi="Calibri"/>
                <w:sz w:val="22"/>
                <w:szCs w:val="22"/>
                <w:lang w:val="en-US"/>
              </w:rPr>
              <w:t>modification</w:t>
            </w:r>
            <w:r>
              <w:rPr>
                <w:rFonts w:ascii="Calibri" w:hAnsi="Calibri"/>
                <w:sz w:val="22"/>
                <w:szCs w:val="22"/>
                <w:lang w:val="en-US"/>
              </w:rPr>
              <w:t>. As such, we suggest that any amendments made to</w:t>
            </w:r>
            <w:r w:rsidRPr="00BD4492">
              <w:rPr>
                <w:rFonts w:ascii="Calibri" w:hAnsi="Calibri"/>
                <w:sz w:val="22"/>
                <w:szCs w:val="22"/>
                <w:lang w:val="en-US"/>
              </w:rPr>
              <w:t xml:space="preserve"> the proposal</w:t>
            </w:r>
            <w:r>
              <w:rPr>
                <w:rFonts w:ascii="Calibri" w:hAnsi="Calibri"/>
                <w:sz w:val="22"/>
                <w:szCs w:val="22"/>
                <w:lang w:val="en-US"/>
              </w:rPr>
              <w:t xml:space="preserve"> should be done via direct interaction at the Modifications Committee, </w:t>
            </w:r>
            <w:r w:rsidRPr="00BD4492">
              <w:rPr>
                <w:rFonts w:ascii="Calibri" w:hAnsi="Calibri"/>
                <w:sz w:val="22"/>
                <w:szCs w:val="22"/>
                <w:lang w:val="en-US"/>
              </w:rPr>
              <w:t xml:space="preserve">rather </w:t>
            </w:r>
            <w:r>
              <w:rPr>
                <w:rFonts w:ascii="Calibri" w:hAnsi="Calibri"/>
                <w:sz w:val="22"/>
                <w:szCs w:val="22"/>
                <w:lang w:val="en-US"/>
              </w:rPr>
              <w:t>than progressing via a separate working group which may take considerably more time and effort.</w:t>
            </w:r>
          </w:p>
        </w:tc>
        <w:tc>
          <w:tcPr>
            <w:tcW w:w="4622" w:type="dxa"/>
            <w:gridSpan w:val="3"/>
            <w:vAlign w:val="center"/>
          </w:tcPr>
          <w:p w:rsidR="00847E74" w:rsidRPr="00310F6B" w:rsidRDefault="00847E74" w:rsidP="00915F97">
            <w:pPr>
              <w:rPr>
                <w:rFonts w:ascii="Calibri" w:hAnsi="Calibri" w:cs="Arial"/>
                <w:sz w:val="22"/>
                <w:szCs w:val="22"/>
                <w:lang w:val="en-IE"/>
              </w:rPr>
            </w:pPr>
            <w:r w:rsidRPr="00310F6B">
              <w:rPr>
                <w:rFonts w:ascii="Calibri" w:hAnsi="Calibri" w:cs="Arial"/>
                <w:sz w:val="22"/>
                <w:szCs w:val="22"/>
                <w:lang w:val="en-IE"/>
              </w:rPr>
              <w:t>Based on the proposal, there may be impacts</w:t>
            </w:r>
            <w:r w:rsidRPr="00310F6B">
              <w:rPr>
                <w:sz w:val="22"/>
                <w:szCs w:val="22"/>
              </w:rPr>
              <w:t xml:space="preserve"> </w:t>
            </w:r>
            <w:r w:rsidRPr="00310F6B">
              <w:rPr>
                <w:rFonts w:ascii="Calibri" w:hAnsi="Calibri" w:cs="Arial"/>
                <w:sz w:val="22"/>
                <w:szCs w:val="22"/>
                <w:lang w:val="en-IE"/>
              </w:rPr>
              <w:t>during the transitional period requirements around managing collateral, requesting and processing refunds or transfer.  Although some of these may appear as negative impacts, the alternative options are less palatable.</w:t>
            </w:r>
          </w:p>
          <w:p w:rsidR="00847E74" w:rsidRPr="00310F6B" w:rsidRDefault="00847E74" w:rsidP="00915F97">
            <w:pPr>
              <w:rPr>
                <w:rFonts w:ascii="Calibri" w:hAnsi="Calibri" w:cs="Arial"/>
                <w:sz w:val="22"/>
                <w:szCs w:val="22"/>
                <w:lang w:val="en-IE"/>
              </w:rPr>
            </w:pPr>
            <w:r w:rsidRPr="00310F6B">
              <w:rPr>
                <w:rFonts w:ascii="Calibri" w:hAnsi="Calibri" w:cs="Arial"/>
                <w:sz w:val="22"/>
                <w:szCs w:val="22"/>
                <w:lang w:val="en-IE"/>
              </w:rPr>
              <w:t>Impacts include:</w:t>
            </w:r>
          </w:p>
          <w:p w:rsidR="00847E74" w:rsidRPr="00FD5B32" w:rsidRDefault="00847E74" w:rsidP="00847E74">
            <w:pPr>
              <w:pStyle w:val="ListParagraph"/>
              <w:numPr>
                <w:ilvl w:val="0"/>
                <w:numId w:val="41"/>
              </w:numPr>
              <w:spacing w:before="0" w:after="0" w:line="240" w:lineRule="auto"/>
              <w:contextualSpacing w:val="0"/>
              <w:rPr>
                <w:rFonts w:cs="Arial"/>
                <w:lang w:val="en-IE" w:eastAsia="en-GB"/>
              </w:rPr>
            </w:pPr>
            <w:r w:rsidRPr="00FD5B32">
              <w:rPr>
                <w:rFonts w:cs="Arial"/>
                <w:lang w:val="en-IE" w:eastAsia="en-GB"/>
              </w:rPr>
              <w:t>SEMO and Participant Transitional Credit Cover processes and procedures, as application of these in the credit systems will need defining and testing prior to use.</w:t>
            </w:r>
          </w:p>
          <w:p w:rsidR="00847E74" w:rsidRPr="005D6A1E" w:rsidDel="00404964" w:rsidRDefault="00847E74" w:rsidP="00847E74">
            <w:pPr>
              <w:numPr>
                <w:ilvl w:val="0"/>
                <w:numId w:val="41"/>
              </w:numPr>
              <w:overflowPunct w:val="0"/>
              <w:autoSpaceDE w:val="0"/>
              <w:autoSpaceDN w:val="0"/>
              <w:adjustRightInd w:val="0"/>
              <w:spacing w:before="0" w:after="0" w:line="240" w:lineRule="auto"/>
              <w:textAlignment w:val="baseline"/>
              <w:rPr>
                <w:rFonts w:ascii="Calibri" w:hAnsi="Calibri" w:cs="Arial"/>
                <w:sz w:val="22"/>
                <w:szCs w:val="22"/>
                <w:lang w:val="en-IE"/>
              </w:rPr>
            </w:pPr>
            <w:r w:rsidRPr="00FD5B32">
              <w:rPr>
                <w:rFonts w:ascii="Calibri" w:hAnsi="Calibri" w:cs="Arial"/>
                <w:sz w:val="22"/>
                <w:szCs w:val="22"/>
                <w:lang w:val="en-IE"/>
              </w:rPr>
              <w:t xml:space="preserve">SEMO </w:t>
            </w:r>
            <w:r>
              <w:rPr>
                <w:rFonts w:ascii="Calibri" w:hAnsi="Calibri" w:cs="Arial"/>
                <w:sz w:val="22"/>
                <w:szCs w:val="22"/>
                <w:lang w:val="en-IE"/>
              </w:rPr>
              <w:t>will require</w:t>
            </w:r>
            <w:r w:rsidRPr="00FD5B32">
              <w:rPr>
                <w:rFonts w:ascii="Calibri" w:hAnsi="Calibri" w:cs="Arial"/>
                <w:sz w:val="22"/>
                <w:szCs w:val="22"/>
                <w:lang w:val="en-IE"/>
              </w:rPr>
              <w:t xml:space="preserve"> ~ 1 additional person </w:t>
            </w:r>
            <w:r>
              <w:rPr>
                <w:rFonts w:ascii="Calibri" w:hAnsi="Calibri" w:cs="Arial"/>
                <w:sz w:val="22"/>
                <w:szCs w:val="22"/>
                <w:lang w:val="en-IE"/>
              </w:rPr>
              <w:t xml:space="preserve">for 2 months </w:t>
            </w:r>
            <w:r w:rsidRPr="00FD5B32">
              <w:rPr>
                <w:rFonts w:ascii="Calibri" w:hAnsi="Calibri" w:cs="Arial"/>
                <w:sz w:val="22"/>
                <w:szCs w:val="22"/>
                <w:lang w:val="en-IE"/>
              </w:rPr>
              <w:t xml:space="preserve">before the Cutover Time through to  ~ </w:t>
            </w:r>
            <w:r>
              <w:rPr>
                <w:rFonts w:ascii="Calibri" w:hAnsi="Calibri" w:cs="Arial"/>
                <w:sz w:val="22"/>
                <w:szCs w:val="22"/>
                <w:lang w:val="en-IE"/>
              </w:rPr>
              <w:t xml:space="preserve">1 month </w:t>
            </w:r>
            <w:r w:rsidRPr="00FD5B32">
              <w:rPr>
                <w:rFonts w:ascii="Calibri" w:hAnsi="Calibri" w:cs="Arial"/>
                <w:sz w:val="22"/>
                <w:szCs w:val="22"/>
                <w:lang w:val="en-IE"/>
              </w:rPr>
              <w:t xml:space="preserve"> after the I-SEM Cutover Time</w:t>
            </w:r>
            <w:r>
              <w:rPr>
                <w:rFonts w:ascii="Calibri" w:hAnsi="Calibri" w:cs="Arial"/>
                <w:sz w:val="22"/>
                <w:szCs w:val="22"/>
                <w:lang w:val="en-IE"/>
              </w:rPr>
              <w:t xml:space="preserve"> to prepare the relevant processes and procedures for managing the Transitional Credit Cover Provisions and to administer the additional tasks </w:t>
            </w:r>
            <w:proofErr w:type="spellStart"/>
            <w:r>
              <w:rPr>
                <w:rFonts w:ascii="Calibri" w:hAnsi="Calibri" w:cs="Arial"/>
                <w:sz w:val="22"/>
                <w:szCs w:val="22"/>
                <w:lang w:val="en-IE"/>
              </w:rPr>
              <w:t>realted</w:t>
            </w:r>
            <w:proofErr w:type="spellEnd"/>
            <w:r>
              <w:rPr>
                <w:rFonts w:ascii="Calibri" w:hAnsi="Calibri" w:cs="Arial"/>
                <w:sz w:val="22"/>
                <w:szCs w:val="22"/>
                <w:lang w:val="en-IE"/>
              </w:rPr>
              <w:t xml:space="preserve"> to the same.</w:t>
            </w:r>
          </w:p>
        </w:tc>
      </w:tr>
      <w:tr w:rsidR="00847E74" w:rsidRPr="004C53E7" w:rsidTr="00915F97">
        <w:tc>
          <w:tcPr>
            <w:tcW w:w="9243" w:type="dxa"/>
            <w:gridSpan w:val="6"/>
            <w:vAlign w:val="center"/>
          </w:tcPr>
          <w:p w:rsidR="00847E74" w:rsidRPr="004C53E7" w:rsidRDefault="00847E74" w:rsidP="00915F9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b/>
                  <w:bCs/>
                  <w:i/>
                  <w:iCs/>
                  <w:lang w:val="en-IE"/>
                </w:rPr>
                <w:t>modifications@sem-o.com</w:t>
              </w:r>
            </w:hyperlink>
          </w:p>
        </w:tc>
      </w:tr>
    </w:tbl>
    <w:p w:rsidR="00E45BBF" w:rsidRPr="00847E74" w:rsidRDefault="00E45BBF" w:rsidP="00847E74">
      <w:pPr>
        <w:rPr>
          <w:lang w:val="en-US" w:bidi="ar-SA"/>
        </w:rPr>
      </w:pPr>
    </w:p>
    <w:sectPr w:rsidR="00E45BBF" w:rsidRPr="00847E74" w:rsidSect="002B6441">
      <w:headerReference w:type="default" r:id="rId18"/>
      <w:footerReference w:type="default" r:id="rId19"/>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EF8" w:rsidRDefault="00BC6EF8">
      <w:r>
        <w:separator/>
      </w:r>
    </w:p>
  </w:endnote>
  <w:endnote w:type="continuationSeparator" w:id="0">
    <w:p w:rsidR="00BC6EF8" w:rsidRDefault="00BC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F8" w:rsidRDefault="009B53FD">
    <w:pPr>
      <w:pStyle w:val="Footer"/>
      <w:jc w:val="center"/>
    </w:pPr>
    <w:fldSimple w:instr=" PAGE   \* MERGEFORMAT ">
      <w:r w:rsidR="004006D2">
        <w:rPr>
          <w:noProof/>
        </w:rPr>
        <w:t>2</w:t>
      </w:r>
    </w:fldSimple>
  </w:p>
  <w:p w:rsidR="00BC6EF8" w:rsidRPr="00A53010" w:rsidRDefault="00BC6EF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EF8" w:rsidRDefault="00BC6EF8">
      <w:r>
        <w:separator/>
      </w:r>
    </w:p>
  </w:footnote>
  <w:footnote w:type="continuationSeparator" w:id="0">
    <w:p w:rsidR="00BC6EF8" w:rsidRDefault="00BC6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F8" w:rsidRPr="00DA2DEE" w:rsidRDefault="00BC6EF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06_17</w:t>
    </w:r>
  </w:p>
  <w:p w:rsidR="00BC6EF8" w:rsidRPr="0018497A" w:rsidRDefault="00BC6EF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BC6EF8" w:rsidRDefault="00BC6EF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E69"/>
    <w:multiLevelType w:val="hybridMultilevel"/>
    <w:tmpl w:val="02E8CD2A"/>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64667D8"/>
    <w:multiLevelType w:val="hybridMultilevel"/>
    <w:tmpl w:val="41CC9EC2"/>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9CF6F98"/>
    <w:multiLevelType w:val="hybridMultilevel"/>
    <w:tmpl w:val="41CC9EC2"/>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39412D"/>
    <w:multiLevelType w:val="hybridMultilevel"/>
    <w:tmpl w:val="E8883324"/>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7">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15AF1761"/>
    <w:multiLevelType w:val="hybridMultilevel"/>
    <w:tmpl w:val="83C484E2"/>
    <w:lvl w:ilvl="0" w:tplc="45D43638">
      <w:start w:val="2"/>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12">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B8F6C12"/>
    <w:multiLevelType w:val="hybridMultilevel"/>
    <w:tmpl w:val="3D042BE4"/>
    <w:lvl w:ilvl="0" w:tplc="B0E4AEA4">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8">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nsid w:val="3B5D140E"/>
    <w:multiLevelType w:val="hybridMultilevel"/>
    <w:tmpl w:val="0EAA16CE"/>
    <w:lvl w:ilvl="0" w:tplc="2BA82FD2">
      <w:start w:val="1"/>
      <w:numFmt w:val="decimal"/>
      <w:lvlText w:val="%1."/>
      <w:lvlJc w:val="left"/>
      <w:pPr>
        <w:ind w:left="1620" w:hanging="360"/>
      </w:pPr>
    </w:lvl>
    <w:lvl w:ilvl="1" w:tplc="0B041846" w:tentative="1">
      <w:start w:val="1"/>
      <w:numFmt w:val="lowerLetter"/>
      <w:lvlText w:val="%2."/>
      <w:lvlJc w:val="left"/>
      <w:pPr>
        <w:ind w:left="2340" w:hanging="360"/>
      </w:pPr>
    </w:lvl>
    <w:lvl w:ilvl="2" w:tplc="B276D40A" w:tentative="1">
      <w:start w:val="1"/>
      <w:numFmt w:val="lowerRoman"/>
      <w:lvlText w:val="%3."/>
      <w:lvlJc w:val="right"/>
      <w:pPr>
        <w:ind w:left="3060" w:hanging="180"/>
      </w:pPr>
    </w:lvl>
    <w:lvl w:ilvl="3" w:tplc="19706522" w:tentative="1">
      <w:start w:val="1"/>
      <w:numFmt w:val="decimal"/>
      <w:lvlText w:val="%4."/>
      <w:lvlJc w:val="left"/>
      <w:pPr>
        <w:ind w:left="3780" w:hanging="360"/>
      </w:pPr>
    </w:lvl>
    <w:lvl w:ilvl="4" w:tplc="2CBECA40" w:tentative="1">
      <w:start w:val="1"/>
      <w:numFmt w:val="lowerLetter"/>
      <w:lvlText w:val="%5."/>
      <w:lvlJc w:val="left"/>
      <w:pPr>
        <w:ind w:left="4500" w:hanging="360"/>
      </w:pPr>
    </w:lvl>
    <w:lvl w:ilvl="5" w:tplc="94723D6A" w:tentative="1">
      <w:start w:val="1"/>
      <w:numFmt w:val="lowerRoman"/>
      <w:lvlText w:val="%6."/>
      <w:lvlJc w:val="right"/>
      <w:pPr>
        <w:ind w:left="5220" w:hanging="180"/>
      </w:pPr>
    </w:lvl>
    <w:lvl w:ilvl="6" w:tplc="8A8EF5F0" w:tentative="1">
      <w:start w:val="1"/>
      <w:numFmt w:val="decimal"/>
      <w:lvlText w:val="%7."/>
      <w:lvlJc w:val="left"/>
      <w:pPr>
        <w:ind w:left="5940" w:hanging="360"/>
      </w:pPr>
    </w:lvl>
    <w:lvl w:ilvl="7" w:tplc="A5868DA8" w:tentative="1">
      <w:start w:val="1"/>
      <w:numFmt w:val="lowerLetter"/>
      <w:lvlText w:val="%8."/>
      <w:lvlJc w:val="left"/>
      <w:pPr>
        <w:ind w:left="6660" w:hanging="360"/>
      </w:pPr>
    </w:lvl>
    <w:lvl w:ilvl="8" w:tplc="DFB25216" w:tentative="1">
      <w:start w:val="1"/>
      <w:numFmt w:val="lowerRoman"/>
      <w:lvlText w:val="%9."/>
      <w:lvlJc w:val="right"/>
      <w:pPr>
        <w:ind w:left="7380" w:hanging="180"/>
      </w:pPr>
    </w:lvl>
  </w:abstractNum>
  <w:abstractNum w:abstractNumId="21">
    <w:nsid w:val="3C5A7BB1"/>
    <w:multiLevelType w:val="hybridMultilevel"/>
    <w:tmpl w:val="370ACDDA"/>
    <w:lvl w:ilvl="0" w:tplc="4F4212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8397127"/>
    <w:multiLevelType w:val="hybridMultilevel"/>
    <w:tmpl w:val="C4C0A47A"/>
    <w:lvl w:ilvl="0" w:tplc="451005FA">
      <w:start w:val="1"/>
      <w:numFmt w:val="decimal"/>
      <w:lvlText w:val="%1."/>
      <w:lvlJc w:val="left"/>
      <w:pPr>
        <w:ind w:left="1620" w:hanging="360"/>
      </w:pPr>
    </w:lvl>
    <w:lvl w:ilvl="1" w:tplc="B696376C" w:tentative="1">
      <w:start w:val="1"/>
      <w:numFmt w:val="lowerLetter"/>
      <w:lvlText w:val="%2."/>
      <w:lvlJc w:val="left"/>
      <w:pPr>
        <w:ind w:left="2340" w:hanging="360"/>
      </w:pPr>
    </w:lvl>
    <w:lvl w:ilvl="2" w:tplc="B588CC0A" w:tentative="1">
      <w:start w:val="1"/>
      <w:numFmt w:val="lowerRoman"/>
      <w:lvlText w:val="%3."/>
      <w:lvlJc w:val="right"/>
      <w:pPr>
        <w:ind w:left="3060" w:hanging="180"/>
      </w:pPr>
    </w:lvl>
    <w:lvl w:ilvl="3" w:tplc="178A8DC6" w:tentative="1">
      <w:start w:val="1"/>
      <w:numFmt w:val="decimal"/>
      <w:lvlText w:val="%4."/>
      <w:lvlJc w:val="left"/>
      <w:pPr>
        <w:ind w:left="3780" w:hanging="360"/>
      </w:pPr>
    </w:lvl>
    <w:lvl w:ilvl="4" w:tplc="50F40DE4" w:tentative="1">
      <w:start w:val="1"/>
      <w:numFmt w:val="lowerLetter"/>
      <w:lvlText w:val="%5."/>
      <w:lvlJc w:val="left"/>
      <w:pPr>
        <w:ind w:left="4500" w:hanging="360"/>
      </w:pPr>
    </w:lvl>
    <w:lvl w:ilvl="5" w:tplc="6116F5A6" w:tentative="1">
      <w:start w:val="1"/>
      <w:numFmt w:val="lowerRoman"/>
      <w:lvlText w:val="%6."/>
      <w:lvlJc w:val="right"/>
      <w:pPr>
        <w:ind w:left="5220" w:hanging="180"/>
      </w:pPr>
    </w:lvl>
    <w:lvl w:ilvl="6" w:tplc="6F42CDD4" w:tentative="1">
      <w:start w:val="1"/>
      <w:numFmt w:val="decimal"/>
      <w:lvlText w:val="%7."/>
      <w:lvlJc w:val="left"/>
      <w:pPr>
        <w:ind w:left="5940" w:hanging="360"/>
      </w:pPr>
    </w:lvl>
    <w:lvl w:ilvl="7" w:tplc="E6BA0810" w:tentative="1">
      <w:start w:val="1"/>
      <w:numFmt w:val="lowerLetter"/>
      <w:lvlText w:val="%8."/>
      <w:lvlJc w:val="left"/>
      <w:pPr>
        <w:ind w:left="6660" w:hanging="360"/>
      </w:pPr>
    </w:lvl>
    <w:lvl w:ilvl="8" w:tplc="B41ADE9C" w:tentative="1">
      <w:start w:val="1"/>
      <w:numFmt w:val="lowerRoman"/>
      <w:lvlText w:val="%9."/>
      <w:lvlJc w:val="right"/>
      <w:pPr>
        <w:ind w:left="7380" w:hanging="180"/>
      </w:pPr>
    </w:lvl>
  </w:abstractNum>
  <w:abstractNum w:abstractNumId="24">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4BA52F6E"/>
    <w:multiLevelType w:val="hybridMultilevel"/>
    <w:tmpl w:val="97BED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CC13DF0"/>
    <w:multiLevelType w:val="hybridMultilevel"/>
    <w:tmpl w:val="9DAC795C"/>
    <w:lvl w:ilvl="0" w:tplc="BE5A227A">
      <w:start w:val="1"/>
      <w:numFmt w:val="bullet"/>
      <w:lvlText w:val=""/>
      <w:lvlJc w:val="left"/>
      <w:pPr>
        <w:ind w:left="720" w:hanging="360"/>
      </w:pPr>
      <w:rPr>
        <w:rFonts w:ascii="Symbol" w:hAnsi="Symbol" w:hint="default"/>
      </w:rPr>
    </w:lvl>
    <w:lvl w:ilvl="1" w:tplc="0C32560A" w:tentative="1">
      <w:start w:val="1"/>
      <w:numFmt w:val="bullet"/>
      <w:lvlText w:val="o"/>
      <w:lvlJc w:val="left"/>
      <w:pPr>
        <w:ind w:left="1440" w:hanging="360"/>
      </w:pPr>
      <w:rPr>
        <w:rFonts w:ascii="Courier New" w:hAnsi="Courier New" w:hint="default"/>
      </w:rPr>
    </w:lvl>
    <w:lvl w:ilvl="2" w:tplc="19E25A56" w:tentative="1">
      <w:start w:val="1"/>
      <w:numFmt w:val="bullet"/>
      <w:lvlText w:val=""/>
      <w:lvlJc w:val="left"/>
      <w:pPr>
        <w:ind w:left="2160" w:hanging="360"/>
      </w:pPr>
      <w:rPr>
        <w:rFonts w:ascii="Wingdings" w:hAnsi="Wingdings" w:hint="default"/>
      </w:rPr>
    </w:lvl>
    <w:lvl w:ilvl="3" w:tplc="0C5A5138" w:tentative="1">
      <w:start w:val="1"/>
      <w:numFmt w:val="bullet"/>
      <w:lvlText w:val=""/>
      <w:lvlJc w:val="left"/>
      <w:pPr>
        <w:ind w:left="2880" w:hanging="360"/>
      </w:pPr>
      <w:rPr>
        <w:rFonts w:ascii="Symbol" w:hAnsi="Symbol" w:hint="default"/>
      </w:rPr>
    </w:lvl>
    <w:lvl w:ilvl="4" w:tplc="664E5972" w:tentative="1">
      <w:start w:val="1"/>
      <w:numFmt w:val="bullet"/>
      <w:lvlText w:val="o"/>
      <w:lvlJc w:val="left"/>
      <w:pPr>
        <w:ind w:left="3600" w:hanging="360"/>
      </w:pPr>
      <w:rPr>
        <w:rFonts w:ascii="Courier New" w:hAnsi="Courier New" w:hint="default"/>
      </w:rPr>
    </w:lvl>
    <w:lvl w:ilvl="5" w:tplc="FB127256" w:tentative="1">
      <w:start w:val="1"/>
      <w:numFmt w:val="bullet"/>
      <w:lvlText w:val=""/>
      <w:lvlJc w:val="left"/>
      <w:pPr>
        <w:ind w:left="4320" w:hanging="360"/>
      </w:pPr>
      <w:rPr>
        <w:rFonts w:ascii="Wingdings" w:hAnsi="Wingdings" w:hint="default"/>
      </w:rPr>
    </w:lvl>
    <w:lvl w:ilvl="6" w:tplc="DE503812" w:tentative="1">
      <w:start w:val="1"/>
      <w:numFmt w:val="bullet"/>
      <w:lvlText w:val=""/>
      <w:lvlJc w:val="left"/>
      <w:pPr>
        <w:ind w:left="5040" w:hanging="360"/>
      </w:pPr>
      <w:rPr>
        <w:rFonts w:ascii="Symbol" w:hAnsi="Symbol" w:hint="default"/>
      </w:rPr>
    </w:lvl>
    <w:lvl w:ilvl="7" w:tplc="52EEDF22" w:tentative="1">
      <w:start w:val="1"/>
      <w:numFmt w:val="bullet"/>
      <w:lvlText w:val="o"/>
      <w:lvlJc w:val="left"/>
      <w:pPr>
        <w:ind w:left="5760" w:hanging="360"/>
      </w:pPr>
      <w:rPr>
        <w:rFonts w:ascii="Courier New" w:hAnsi="Courier New" w:hint="default"/>
      </w:rPr>
    </w:lvl>
    <w:lvl w:ilvl="8" w:tplc="9496E80E" w:tentative="1">
      <w:start w:val="1"/>
      <w:numFmt w:val="bullet"/>
      <w:lvlText w:val=""/>
      <w:lvlJc w:val="left"/>
      <w:pPr>
        <w:ind w:left="6480" w:hanging="360"/>
      </w:pPr>
      <w:rPr>
        <w:rFonts w:ascii="Wingdings" w:hAnsi="Wingdings" w:hint="default"/>
      </w:rPr>
    </w:lvl>
  </w:abstractNum>
  <w:abstractNum w:abstractNumId="27">
    <w:nsid w:val="4D9814E2"/>
    <w:multiLevelType w:val="hybridMultilevel"/>
    <w:tmpl w:val="BC78EDDC"/>
    <w:lvl w:ilvl="0" w:tplc="61E894C4">
      <w:start w:val="1"/>
      <w:numFmt w:val="bullet"/>
      <w:lvlText w:val=""/>
      <w:lvlJc w:val="left"/>
      <w:pPr>
        <w:ind w:left="1080" w:hanging="360"/>
      </w:pPr>
      <w:rPr>
        <w:rFonts w:ascii="Symbol" w:hAnsi="Symbol" w:hint="default"/>
      </w:rPr>
    </w:lvl>
    <w:lvl w:ilvl="1" w:tplc="C5387742" w:tentative="1">
      <w:start w:val="1"/>
      <w:numFmt w:val="bullet"/>
      <w:lvlText w:val="o"/>
      <w:lvlJc w:val="left"/>
      <w:pPr>
        <w:ind w:left="1800" w:hanging="360"/>
      </w:pPr>
      <w:rPr>
        <w:rFonts w:ascii="Courier New" w:hAnsi="Courier New" w:hint="default"/>
      </w:rPr>
    </w:lvl>
    <w:lvl w:ilvl="2" w:tplc="7A36F3A2" w:tentative="1">
      <w:start w:val="1"/>
      <w:numFmt w:val="bullet"/>
      <w:lvlText w:val=""/>
      <w:lvlJc w:val="left"/>
      <w:pPr>
        <w:ind w:left="2520" w:hanging="360"/>
      </w:pPr>
      <w:rPr>
        <w:rFonts w:ascii="Wingdings" w:hAnsi="Wingdings" w:hint="default"/>
      </w:rPr>
    </w:lvl>
    <w:lvl w:ilvl="3" w:tplc="3C588784" w:tentative="1">
      <w:start w:val="1"/>
      <w:numFmt w:val="bullet"/>
      <w:lvlText w:val=""/>
      <w:lvlJc w:val="left"/>
      <w:pPr>
        <w:ind w:left="3240" w:hanging="360"/>
      </w:pPr>
      <w:rPr>
        <w:rFonts w:ascii="Symbol" w:hAnsi="Symbol" w:hint="default"/>
      </w:rPr>
    </w:lvl>
    <w:lvl w:ilvl="4" w:tplc="70DC1CB2" w:tentative="1">
      <w:start w:val="1"/>
      <w:numFmt w:val="bullet"/>
      <w:lvlText w:val="o"/>
      <w:lvlJc w:val="left"/>
      <w:pPr>
        <w:ind w:left="3960" w:hanging="360"/>
      </w:pPr>
      <w:rPr>
        <w:rFonts w:ascii="Courier New" w:hAnsi="Courier New" w:hint="default"/>
      </w:rPr>
    </w:lvl>
    <w:lvl w:ilvl="5" w:tplc="241CB1D6" w:tentative="1">
      <w:start w:val="1"/>
      <w:numFmt w:val="bullet"/>
      <w:lvlText w:val=""/>
      <w:lvlJc w:val="left"/>
      <w:pPr>
        <w:ind w:left="4680" w:hanging="360"/>
      </w:pPr>
      <w:rPr>
        <w:rFonts w:ascii="Wingdings" w:hAnsi="Wingdings" w:hint="default"/>
      </w:rPr>
    </w:lvl>
    <w:lvl w:ilvl="6" w:tplc="EA4629EA" w:tentative="1">
      <w:start w:val="1"/>
      <w:numFmt w:val="bullet"/>
      <w:lvlText w:val=""/>
      <w:lvlJc w:val="left"/>
      <w:pPr>
        <w:ind w:left="5400" w:hanging="360"/>
      </w:pPr>
      <w:rPr>
        <w:rFonts w:ascii="Symbol" w:hAnsi="Symbol" w:hint="default"/>
      </w:rPr>
    </w:lvl>
    <w:lvl w:ilvl="7" w:tplc="8156200E" w:tentative="1">
      <w:start w:val="1"/>
      <w:numFmt w:val="bullet"/>
      <w:lvlText w:val="o"/>
      <w:lvlJc w:val="left"/>
      <w:pPr>
        <w:ind w:left="6120" w:hanging="360"/>
      </w:pPr>
      <w:rPr>
        <w:rFonts w:ascii="Courier New" w:hAnsi="Courier New" w:hint="default"/>
      </w:rPr>
    </w:lvl>
    <w:lvl w:ilvl="8" w:tplc="0590A692" w:tentative="1">
      <w:start w:val="1"/>
      <w:numFmt w:val="bullet"/>
      <w:lvlText w:val=""/>
      <w:lvlJc w:val="left"/>
      <w:pPr>
        <w:ind w:left="6840" w:hanging="360"/>
      </w:pPr>
      <w:rPr>
        <w:rFonts w:ascii="Wingdings" w:hAnsi="Wingdings" w:hint="default"/>
      </w:rPr>
    </w:lvl>
  </w:abstractNum>
  <w:abstractNum w:abstractNumId="28">
    <w:nsid w:val="52321268"/>
    <w:multiLevelType w:val="hybridMultilevel"/>
    <w:tmpl w:val="E97E45C6"/>
    <w:lvl w:ilvl="0" w:tplc="B0E4AEA4">
      <w:start w:val="1"/>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C19696E"/>
    <w:multiLevelType w:val="hybridMultilevel"/>
    <w:tmpl w:val="BDDAF966"/>
    <w:lvl w:ilvl="0" w:tplc="18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18090003">
      <w:start w:val="1"/>
      <w:numFmt w:val="lowerLetter"/>
      <w:lvlText w:val="%2."/>
      <w:lvlJc w:val="left"/>
      <w:pPr>
        <w:tabs>
          <w:tab w:val="num" w:pos="1440"/>
        </w:tabs>
        <w:ind w:left="1440" w:hanging="360"/>
      </w:pPr>
      <w:rPr>
        <w:rFonts w:cs="Times New Roman"/>
      </w:rPr>
    </w:lvl>
    <w:lvl w:ilvl="2" w:tplc="18090005" w:tentative="1">
      <w:start w:val="1"/>
      <w:numFmt w:val="lowerRoman"/>
      <w:lvlText w:val="%3."/>
      <w:lvlJc w:val="right"/>
      <w:pPr>
        <w:tabs>
          <w:tab w:val="num" w:pos="2160"/>
        </w:tabs>
        <w:ind w:left="2160" w:hanging="180"/>
      </w:pPr>
      <w:rPr>
        <w:rFonts w:cs="Times New Roman"/>
      </w:rPr>
    </w:lvl>
    <w:lvl w:ilvl="3" w:tplc="18090001" w:tentative="1">
      <w:start w:val="1"/>
      <w:numFmt w:val="decimal"/>
      <w:lvlText w:val="%4."/>
      <w:lvlJc w:val="left"/>
      <w:pPr>
        <w:tabs>
          <w:tab w:val="num" w:pos="2880"/>
        </w:tabs>
        <w:ind w:left="2880" w:hanging="360"/>
      </w:pPr>
      <w:rPr>
        <w:rFonts w:cs="Times New Roman"/>
      </w:rPr>
    </w:lvl>
    <w:lvl w:ilvl="4" w:tplc="18090003" w:tentative="1">
      <w:start w:val="1"/>
      <w:numFmt w:val="lowerLetter"/>
      <w:lvlText w:val="%5."/>
      <w:lvlJc w:val="left"/>
      <w:pPr>
        <w:tabs>
          <w:tab w:val="num" w:pos="3600"/>
        </w:tabs>
        <w:ind w:left="3600" w:hanging="360"/>
      </w:pPr>
      <w:rPr>
        <w:rFonts w:cs="Times New Roman"/>
      </w:rPr>
    </w:lvl>
    <w:lvl w:ilvl="5" w:tplc="18090005" w:tentative="1">
      <w:start w:val="1"/>
      <w:numFmt w:val="lowerRoman"/>
      <w:lvlText w:val="%6."/>
      <w:lvlJc w:val="right"/>
      <w:pPr>
        <w:tabs>
          <w:tab w:val="num" w:pos="4320"/>
        </w:tabs>
        <w:ind w:left="4320" w:hanging="180"/>
      </w:pPr>
      <w:rPr>
        <w:rFonts w:cs="Times New Roman"/>
      </w:rPr>
    </w:lvl>
    <w:lvl w:ilvl="6" w:tplc="18090001" w:tentative="1">
      <w:start w:val="1"/>
      <w:numFmt w:val="decimal"/>
      <w:lvlText w:val="%7."/>
      <w:lvlJc w:val="left"/>
      <w:pPr>
        <w:tabs>
          <w:tab w:val="num" w:pos="5040"/>
        </w:tabs>
        <w:ind w:left="5040" w:hanging="360"/>
      </w:pPr>
      <w:rPr>
        <w:rFonts w:cs="Times New Roman"/>
      </w:rPr>
    </w:lvl>
    <w:lvl w:ilvl="7" w:tplc="18090003" w:tentative="1">
      <w:start w:val="1"/>
      <w:numFmt w:val="lowerLetter"/>
      <w:lvlText w:val="%8."/>
      <w:lvlJc w:val="left"/>
      <w:pPr>
        <w:tabs>
          <w:tab w:val="num" w:pos="5760"/>
        </w:tabs>
        <w:ind w:left="5760" w:hanging="360"/>
      </w:pPr>
      <w:rPr>
        <w:rFonts w:cs="Times New Roman"/>
      </w:rPr>
    </w:lvl>
    <w:lvl w:ilvl="8" w:tplc="18090005" w:tentative="1">
      <w:start w:val="1"/>
      <w:numFmt w:val="lowerRoman"/>
      <w:lvlText w:val="%9."/>
      <w:lvlJc w:val="right"/>
      <w:pPr>
        <w:tabs>
          <w:tab w:val="num" w:pos="6480"/>
        </w:tabs>
        <w:ind w:left="6480" w:hanging="180"/>
      </w:pPr>
      <w:rPr>
        <w:rFonts w:cs="Times New Roman"/>
      </w:rPr>
    </w:lvl>
  </w:abstractNum>
  <w:abstractNum w:abstractNumId="31">
    <w:nsid w:val="5CC64F76"/>
    <w:multiLevelType w:val="hybridMultilevel"/>
    <w:tmpl w:val="35F0A074"/>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nsid w:val="5DB25275"/>
    <w:multiLevelType w:val="hybridMultilevel"/>
    <w:tmpl w:val="381861E2"/>
    <w:lvl w:ilvl="0" w:tplc="1F3206E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5E1055C8"/>
    <w:multiLevelType w:val="hybridMultilevel"/>
    <w:tmpl w:val="564C2CC4"/>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609758EB"/>
    <w:multiLevelType w:val="hybridMultilevel"/>
    <w:tmpl w:val="D0CA7A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0DD3BA9"/>
    <w:multiLevelType w:val="hybridMultilevel"/>
    <w:tmpl w:val="EF4A9194"/>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6">
    <w:nsid w:val="62E0658A"/>
    <w:multiLevelType w:val="hybridMultilevel"/>
    <w:tmpl w:val="3AA435BE"/>
    <w:lvl w:ilvl="0" w:tplc="18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18090003">
      <w:start w:val="1"/>
      <w:numFmt w:val="bullet"/>
      <w:lvlText w:val="o"/>
      <w:lvlJc w:val="left"/>
      <w:pPr>
        <w:tabs>
          <w:tab w:val="num" w:pos="1725"/>
        </w:tabs>
        <w:ind w:left="1725" w:hanging="360"/>
      </w:pPr>
      <w:rPr>
        <w:rFonts w:ascii="Courier New" w:hAnsi="Courier New" w:hint="default"/>
      </w:rPr>
    </w:lvl>
    <w:lvl w:ilvl="2" w:tplc="18090005">
      <w:start w:val="1"/>
      <w:numFmt w:val="bullet"/>
      <w:lvlText w:val=""/>
      <w:lvlJc w:val="left"/>
      <w:pPr>
        <w:tabs>
          <w:tab w:val="num" w:pos="2445"/>
        </w:tabs>
        <w:ind w:left="2445" w:hanging="360"/>
      </w:pPr>
      <w:rPr>
        <w:rFonts w:ascii="Wingdings" w:hAnsi="Wingdings" w:hint="default"/>
      </w:rPr>
    </w:lvl>
    <w:lvl w:ilvl="3" w:tplc="18090001">
      <w:start w:val="1"/>
      <w:numFmt w:val="decimal"/>
      <w:lvlText w:val="%4."/>
      <w:lvlJc w:val="left"/>
      <w:pPr>
        <w:tabs>
          <w:tab w:val="num" w:pos="3645"/>
        </w:tabs>
        <w:ind w:left="3645" w:hanging="840"/>
      </w:pPr>
      <w:rPr>
        <w:rFonts w:cs="Times New Roman" w:hint="default"/>
      </w:rPr>
    </w:lvl>
    <w:lvl w:ilvl="4" w:tplc="18090003" w:tentative="1">
      <w:start w:val="1"/>
      <w:numFmt w:val="bullet"/>
      <w:lvlText w:val="o"/>
      <w:lvlJc w:val="left"/>
      <w:pPr>
        <w:tabs>
          <w:tab w:val="num" w:pos="3885"/>
        </w:tabs>
        <w:ind w:left="3885" w:hanging="360"/>
      </w:pPr>
      <w:rPr>
        <w:rFonts w:ascii="Courier New" w:hAnsi="Courier New" w:hint="default"/>
      </w:rPr>
    </w:lvl>
    <w:lvl w:ilvl="5" w:tplc="18090005" w:tentative="1">
      <w:start w:val="1"/>
      <w:numFmt w:val="bullet"/>
      <w:lvlText w:val=""/>
      <w:lvlJc w:val="left"/>
      <w:pPr>
        <w:tabs>
          <w:tab w:val="num" w:pos="4605"/>
        </w:tabs>
        <w:ind w:left="4605" w:hanging="360"/>
      </w:pPr>
      <w:rPr>
        <w:rFonts w:ascii="Wingdings" w:hAnsi="Wingdings" w:hint="default"/>
      </w:rPr>
    </w:lvl>
    <w:lvl w:ilvl="6" w:tplc="18090001" w:tentative="1">
      <w:start w:val="1"/>
      <w:numFmt w:val="bullet"/>
      <w:lvlText w:val=""/>
      <w:lvlJc w:val="left"/>
      <w:pPr>
        <w:tabs>
          <w:tab w:val="num" w:pos="5325"/>
        </w:tabs>
        <w:ind w:left="5325" w:hanging="360"/>
      </w:pPr>
      <w:rPr>
        <w:rFonts w:ascii="Symbol" w:hAnsi="Symbol" w:hint="default"/>
      </w:rPr>
    </w:lvl>
    <w:lvl w:ilvl="7" w:tplc="18090003" w:tentative="1">
      <w:start w:val="1"/>
      <w:numFmt w:val="bullet"/>
      <w:lvlText w:val="o"/>
      <w:lvlJc w:val="left"/>
      <w:pPr>
        <w:tabs>
          <w:tab w:val="num" w:pos="6045"/>
        </w:tabs>
        <w:ind w:left="6045" w:hanging="360"/>
      </w:pPr>
      <w:rPr>
        <w:rFonts w:ascii="Courier New" w:hAnsi="Courier New" w:hint="default"/>
      </w:rPr>
    </w:lvl>
    <w:lvl w:ilvl="8" w:tplc="18090005" w:tentative="1">
      <w:start w:val="1"/>
      <w:numFmt w:val="bullet"/>
      <w:lvlText w:val=""/>
      <w:lvlJc w:val="left"/>
      <w:pPr>
        <w:tabs>
          <w:tab w:val="num" w:pos="6765"/>
        </w:tabs>
        <w:ind w:left="6765" w:hanging="360"/>
      </w:pPr>
      <w:rPr>
        <w:rFonts w:ascii="Wingdings" w:hAnsi="Wingdings" w:hint="default"/>
      </w:rPr>
    </w:lvl>
  </w:abstractNum>
  <w:abstractNum w:abstractNumId="37">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8">
    <w:nsid w:val="676A12D6"/>
    <w:multiLevelType w:val="hybridMultilevel"/>
    <w:tmpl w:val="C2A024B6"/>
    <w:lvl w:ilvl="0" w:tplc="CD8032F6">
      <w:start w:val="1"/>
      <w:numFmt w:val="decimal"/>
      <w:lvlText w:val="%1."/>
      <w:lvlJc w:val="left"/>
      <w:pPr>
        <w:ind w:left="360" w:hanging="360"/>
      </w:pPr>
      <w:rPr>
        <w:rFonts w:hint="default"/>
      </w:rPr>
    </w:lvl>
    <w:lvl w:ilvl="1" w:tplc="94483BF0" w:tentative="1">
      <w:start w:val="1"/>
      <w:numFmt w:val="bullet"/>
      <w:lvlText w:val="o"/>
      <w:lvlJc w:val="left"/>
      <w:pPr>
        <w:ind w:left="1080" w:hanging="360"/>
      </w:pPr>
      <w:rPr>
        <w:rFonts w:ascii="Courier New" w:hAnsi="Courier New" w:cs="Courier New" w:hint="default"/>
      </w:rPr>
    </w:lvl>
    <w:lvl w:ilvl="2" w:tplc="E2242022" w:tentative="1">
      <w:start w:val="1"/>
      <w:numFmt w:val="bullet"/>
      <w:lvlText w:val=""/>
      <w:lvlJc w:val="left"/>
      <w:pPr>
        <w:ind w:left="1800" w:hanging="360"/>
      </w:pPr>
      <w:rPr>
        <w:rFonts w:ascii="Wingdings" w:hAnsi="Wingdings" w:hint="default"/>
      </w:rPr>
    </w:lvl>
    <w:lvl w:ilvl="3" w:tplc="4184C0F2" w:tentative="1">
      <w:start w:val="1"/>
      <w:numFmt w:val="bullet"/>
      <w:lvlText w:val=""/>
      <w:lvlJc w:val="left"/>
      <w:pPr>
        <w:ind w:left="2520" w:hanging="360"/>
      </w:pPr>
      <w:rPr>
        <w:rFonts w:ascii="Symbol" w:hAnsi="Symbol" w:hint="default"/>
      </w:rPr>
    </w:lvl>
    <w:lvl w:ilvl="4" w:tplc="AB6A8CBA" w:tentative="1">
      <w:start w:val="1"/>
      <w:numFmt w:val="bullet"/>
      <w:lvlText w:val="o"/>
      <w:lvlJc w:val="left"/>
      <w:pPr>
        <w:ind w:left="3240" w:hanging="360"/>
      </w:pPr>
      <w:rPr>
        <w:rFonts w:ascii="Courier New" w:hAnsi="Courier New" w:cs="Courier New" w:hint="default"/>
      </w:rPr>
    </w:lvl>
    <w:lvl w:ilvl="5" w:tplc="480EB686" w:tentative="1">
      <w:start w:val="1"/>
      <w:numFmt w:val="bullet"/>
      <w:lvlText w:val=""/>
      <w:lvlJc w:val="left"/>
      <w:pPr>
        <w:ind w:left="3960" w:hanging="360"/>
      </w:pPr>
      <w:rPr>
        <w:rFonts w:ascii="Wingdings" w:hAnsi="Wingdings" w:hint="default"/>
      </w:rPr>
    </w:lvl>
    <w:lvl w:ilvl="6" w:tplc="AA96C802" w:tentative="1">
      <w:start w:val="1"/>
      <w:numFmt w:val="bullet"/>
      <w:lvlText w:val=""/>
      <w:lvlJc w:val="left"/>
      <w:pPr>
        <w:ind w:left="4680" w:hanging="360"/>
      </w:pPr>
      <w:rPr>
        <w:rFonts w:ascii="Symbol" w:hAnsi="Symbol" w:hint="default"/>
      </w:rPr>
    </w:lvl>
    <w:lvl w:ilvl="7" w:tplc="94E821B6" w:tentative="1">
      <w:start w:val="1"/>
      <w:numFmt w:val="bullet"/>
      <w:lvlText w:val="o"/>
      <w:lvlJc w:val="left"/>
      <w:pPr>
        <w:ind w:left="5400" w:hanging="360"/>
      </w:pPr>
      <w:rPr>
        <w:rFonts w:ascii="Courier New" w:hAnsi="Courier New" w:cs="Courier New" w:hint="default"/>
      </w:rPr>
    </w:lvl>
    <w:lvl w:ilvl="8" w:tplc="914ED7D4" w:tentative="1">
      <w:start w:val="1"/>
      <w:numFmt w:val="bullet"/>
      <w:lvlText w:val=""/>
      <w:lvlJc w:val="left"/>
      <w:pPr>
        <w:ind w:left="6120" w:hanging="360"/>
      </w:pPr>
      <w:rPr>
        <w:rFonts w:ascii="Wingdings" w:hAnsi="Wingdings" w:hint="default"/>
      </w:r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6DDF6336"/>
    <w:multiLevelType w:val="hybridMultilevel"/>
    <w:tmpl w:val="1E723AEE"/>
    <w:lvl w:ilvl="0" w:tplc="1586FE8A">
      <w:start w:val="1"/>
      <w:numFmt w:val="decimalZero"/>
      <w:lvlText w:val="(%1)"/>
      <w:lvlJc w:val="left"/>
      <w:pPr>
        <w:ind w:left="720" w:hanging="360"/>
      </w:pPr>
      <w:rPr>
        <w:rFonts w:hint="default"/>
      </w:rPr>
    </w:lvl>
    <w:lvl w:ilvl="1" w:tplc="A5808D3A" w:tentative="1">
      <w:start w:val="1"/>
      <w:numFmt w:val="lowerLetter"/>
      <w:lvlText w:val="%2."/>
      <w:lvlJc w:val="left"/>
      <w:pPr>
        <w:ind w:left="1440" w:hanging="360"/>
      </w:pPr>
    </w:lvl>
    <w:lvl w:ilvl="2" w:tplc="7EC25380" w:tentative="1">
      <w:start w:val="1"/>
      <w:numFmt w:val="lowerRoman"/>
      <w:lvlText w:val="%3."/>
      <w:lvlJc w:val="right"/>
      <w:pPr>
        <w:ind w:left="2160" w:hanging="180"/>
      </w:pPr>
    </w:lvl>
    <w:lvl w:ilvl="3" w:tplc="B6B8401A" w:tentative="1">
      <w:start w:val="1"/>
      <w:numFmt w:val="decimal"/>
      <w:lvlText w:val="%4."/>
      <w:lvlJc w:val="left"/>
      <w:pPr>
        <w:ind w:left="2880" w:hanging="360"/>
      </w:pPr>
    </w:lvl>
    <w:lvl w:ilvl="4" w:tplc="9252EF50" w:tentative="1">
      <w:start w:val="1"/>
      <w:numFmt w:val="lowerLetter"/>
      <w:lvlText w:val="%5."/>
      <w:lvlJc w:val="left"/>
      <w:pPr>
        <w:ind w:left="3600" w:hanging="360"/>
      </w:pPr>
    </w:lvl>
    <w:lvl w:ilvl="5" w:tplc="531E1658" w:tentative="1">
      <w:start w:val="1"/>
      <w:numFmt w:val="lowerRoman"/>
      <w:lvlText w:val="%6."/>
      <w:lvlJc w:val="right"/>
      <w:pPr>
        <w:ind w:left="4320" w:hanging="180"/>
      </w:pPr>
    </w:lvl>
    <w:lvl w:ilvl="6" w:tplc="93BE7A6A" w:tentative="1">
      <w:start w:val="1"/>
      <w:numFmt w:val="decimal"/>
      <w:lvlText w:val="%7."/>
      <w:lvlJc w:val="left"/>
      <w:pPr>
        <w:ind w:left="5040" w:hanging="360"/>
      </w:pPr>
    </w:lvl>
    <w:lvl w:ilvl="7" w:tplc="DA7A363E" w:tentative="1">
      <w:start w:val="1"/>
      <w:numFmt w:val="lowerLetter"/>
      <w:lvlText w:val="%8."/>
      <w:lvlJc w:val="left"/>
      <w:pPr>
        <w:ind w:left="5760" w:hanging="360"/>
      </w:pPr>
    </w:lvl>
    <w:lvl w:ilvl="8" w:tplc="678ABA90" w:tentative="1">
      <w:start w:val="1"/>
      <w:numFmt w:val="lowerRoman"/>
      <w:lvlText w:val="%9."/>
      <w:lvlJc w:val="right"/>
      <w:pPr>
        <w:ind w:left="6480" w:hanging="180"/>
      </w:pPr>
    </w:lvl>
  </w:abstractNum>
  <w:abstractNum w:abstractNumId="41">
    <w:nsid w:val="6DF52AE4"/>
    <w:multiLevelType w:val="hybridMultilevel"/>
    <w:tmpl w:val="3174B30E"/>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785E71D1"/>
    <w:multiLevelType w:val="hybridMultilevel"/>
    <w:tmpl w:val="4AE239FC"/>
    <w:lvl w:ilvl="0" w:tplc="1809000F">
      <w:start w:val="1"/>
      <w:numFmt w:val="decimal"/>
      <w:lvlText w:val="%1."/>
      <w:lvlJc w:val="left"/>
      <w:pPr>
        <w:ind w:left="720" w:hanging="360"/>
      </w:pPr>
      <w:rPr>
        <w:rFonts w:cs="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9AF7E1D"/>
    <w:multiLevelType w:val="hybridMultilevel"/>
    <w:tmpl w:val="35B23F90"/>
    <w:lvl w:ilvl="0" w:tplc="A484F4AC">
      <w:start w:val="1"/>
      <w:numFmt w:val="decimal"/>
      <w:lvlText w:val="%1."/>
      <w:lvlJc w:val="left"/>
      <w:pPr>
        <w:ind w:left="360" w:hanging="360"/>
      </w:pPr>
    </w:lvl>
    <w:lvl w:ilvl="1" w:tplc="079A0956">
      <w:start w:val="1"/>
      <w:numFmt w:val="lowerLetter"/>
      <w:lvlText w:val="%2."/>
      <w:lvlJc w:val="left"/>
      <w:pPr>
        <w:ind w:left="1080" w:hanging="360"/>
      </w:pPr>
    </w:lvl>
    <w:lvl w:ilvl="2" w:tplc="6EA67886" w:tentative="1">
      <w:start w:val="1"/>
      <w:numFmt w:val="lowerRoman"/>
      <w:lvlText w:val="%3."/>
      <w:lvlJc w:val="right"/>
      <w:pPr>
        <w:ind w:left="1800" w:hanging="180"/>
      </w:pPr>
    </w:lvl>
    <w:lvl w:ilvl="3" w:tplc="28165728" w:tentative="1">
      <w:start w:val="1"/>
      <w:numFmt w:val="decimal"/>
      <w:lvlText w:val="%4."/>
      <w:lvlJc w:val="left"/>
      <w:pPr>
        <w:ind w:left="2520" w:hanging="360"/>
      </w:pPr>
    </w:lvl>
    <w:lvl w:ilvl="4" w:tplc="2BACEE04" w:tentative="1">
      <w:start w:val="1"/>
      <w:numFmt w:val="lowerLetter"/>
      <w:lvlText w:val="%5."/>
      <w:lvlJc w:val="left"/>
      <w:pPr>
        <w:ind w:left="3240" w:hanging="360"/>
      </w:pPr>
    </w:lvl>
    <w:lvl w:ilvl="5" w:tplc="A0487448" w:tentative="1">
      <w:start w:val="1"/>
      <w:numFmt w:val="lowerRoman"/>
      <w:lvlText w:val="%6."/>
      <w:lvlJc w:val="right"/>
      <w:pPr>
        <w:ind w:left="3960" w:hanging="180"/>
      </w:pPr>
    </w:lvl>
    <w:lvl w:ilvl="6" w:tplc="66960E76" w:tentative="1">
      <w:start w:val="1"/>
      <w:numFmt w:val="decimal"/>
      <w:lvlText w:val="%7."/>
      <w:lvlJc w:val="left"/>
      <w:pPr>
        <w:ind w:left="4680" w:hanging="360"/>
      </w:pPr>
    </w:lvl>
    <w:lvl w:ilvl="7" w:tplc="33D0FA9C" w:tentative="1">
      <w:start w:val="1"/>
      <w:numFmt w:val="lowerLetter"/>
      <w:lvlText w:val="%8."/>
      <w:lvlJc w:val="left"/>
      <w:pPr>
        <w:ind w:left="5400" w:hanging="360"/>
      </w:pPr>
    </w:lvl>
    <w:lvl w:ilvl="8" w:tplc="C810AC16" w:tentative="1">
      <w:start w:val="1"/>
      <w:numFmt w:val="lowerRoman"/>
      <w:lvlText w:val="%9."/>
      <w:lvlJc w:val="right"/>
      <w:pPr>
        <w:ind w:left="6120" w:hanging="180"/>
      </w:pPr>
    </w:lvl>
  </w:abstractNum>
  <w:num w:numId="1">
    <w:abstractNumId w:val="45"/>
  </w:num>
  <w:num w:numId="2">
    <w:abstractNumId w:val="39"/>
  </w:num>
  <w:num w:numId="3">
    <w:abstractNumId w:val="6"/>
  </w:num>
  <w:num w:numId="4">
    <w:abstractNumId w:val="19"/>
  </w:num>
  <w:num w:numId="5">
    <w:abstractNumId w:val="17"/>
  </w:num>
  <w:num w:numId="6">
    <w:abstractNumId w:val="15"/>
  </w:num>
  <w:num w:numId="7">
    <w:abstractNumId w:val="11"/>
  </w:num>
  <w:num w:numId="8">
    <w:abstractNumId w:val="37"/>
  </w:num>
  <w:num w:numId="9">
    <w:abstractNumId w:val="43"/>
  </w:num>
  <w:num w:numId="10">
    <w:abstractNumId w:val="30"/>
  </w:num>
  <w:num w:numId="11">
    <w:abstractNumId w:val="36"/>
  </w:num>
  <w:num w:numId="12">
    <w:abstractNumId w:val="40"/>
  </w:num>
  <w:num w:numId="13">
    <w:abstractNumId w:val="20"/>
  </w:num>
  <w:num w:numId="14">
    <w:abstractNumId w:val="34"/>
  </w:num>
  <w:num w:numId="15">
    <w:abstractNumId w:val="12"/>
  </w:num>
  <w:num w:numId="16">
    <w:abstractNumId w:val="23"/>
  </w:num>
  <w:num w:numId="17">
    <w:abstractNumId w:val="18"/>
  </w:num>
  <w:num w:numId="18">
    <w:abstractNumId w:val="21"/>
  </w:num>
  <w:num w:numId="19">
    <w:abstractNumId w:val="16"/>
  </w:num>
  <w:num w:numId="20">
    <w:abstractNumId w:val="35"/>
  </w:num>
  <w:num w:numId="21">
    <w:abstractNumId w:val="32"/>
  </w:num>
  <w:num w:numId="22">
    <w:abstractNumId w:val="46"/>
  </w:num>
  <w:num w:numId="23">
    <w:abstractNumId w:val="38"/>
  </w:num>
  <w:num w:numId="24">
    <w:abstractNumId w:val="27"/>
  </w:num>
  <w:num w:numId="25">
    <w:abstractNumId w:val="8"/>
  </w:num>
  <w:num w:numId="26">
    <w:abstractNumId w:val="14"/>
  </w:num>
  <w:num w:numId="27">
    <w:abstractNumId w:val="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6"/>
  </w:num>
  <w:num w:numId="31">
    <w:abstractNumId w:val="33"/>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4"/>
  </w:num>
  <w:num w:numId="36">
    <w:abstractNumId w:val="42"/>
  </w:num>
  <w:num w:numId="37">
    <w:abstractNumId w:val="4"/>
  </w:num>
  <w:num w:numId="38">
    <w:abstractNumId w:val="22"/>
  </w:num>
  <w:num w:numId="39">
    <w:abstractNumId w:val="25"/>
  </w:num>
  <w:num w:numId="40">
    <w:abstractNumId w:val="9"/>
  </w:num>
  <w:num w:numId="41">
    <w:abstractNumId w:val="10"/>
  </w:num>
  <w:num w:numId="42">
    <w:abstractNumId w:val="2"/>
  </w:num>
  <w:num w:numId="43">
    <w:abstractNumId w:val="5"/>
  </w:num>
  <w:num w:numId="44">
    <w:abstractNumId w:val="13"/>
  </w:num>
  <w:num w:numId="45">
    <w:abstractNumId w:val="28"/>
  </w:num>
  <w:num w:numId="46">
    <w:abstractNumId w:val="44"/>
  </w:num>
  <w:num w:numId="47">
    <w:abstractNumId w:val="0"/>
  </w:num>
  <w:num w:numId="48">
    <w:abstractNumId w:val="3"/>
  </w:num>
  <w:num w:numId="49">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324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1D9E"/>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121"/>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38C"/>
    <w:rsid w:val="001C4421"/>
    <w:rsid w:val="001C4B0E"/>
    <w:rsid w:val="001C4BAF"/>
    <w:rsid w:val="001C57AA"/>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1C59"/>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8C9"/>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03B"/>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A41"/>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957"/>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379"/>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4C22"/>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754"/>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6D2"/>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4D2E"/>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4B0E"/>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2E6A"/>
    <w:rsid w:val="004A31C1"/>
    <w:rsid w:val="004A3670"/>
    <w:rsid w:val="004A41D3"/>
    <w:rsid w:val="004A42AF"/>
    <w:rsid w:val="004A47A7"/>
    <w:rsid w:val="004A487C"/>
    <w:rsid w:val="004A6E78"/>
    <w:rsid w:val="004A782D"/>
    <w:rsid w:val="004B0871"/>
    <w:rsid w:val="004B18A3"/>
    <w:rsid w:val="004B2E64"/>
    <w:rsid w:val="004B31B0"/>
    <w:rsid w:val="004B3BF5"/>
    <w:rsid w:val="004B74AD"/>
    <w:rsid w:val="004B7530"/>
    <w:rsid w:val="004B7BCE"/>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3DBE"/>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32AB"/>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688"/>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0993"/>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6B9"/>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760"/>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6C2B"/>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D7D"/>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E74"/>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364A"/>
    <w:rsid w:val="00884CF6"/>
    <w:rsid w:val="0088552B"/>
    <w:rsid w:val="008855EB"/>
    <w:rsid w:val="00885E7C"/>
    <w:rsid w:val="008867C9"/>
    <w:rsid w:val="008867F6"/>
    <w:rsid w:val="008902CA"/>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5F97"/>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50DF"/>
    <w:rsid w:val="009560D0"/>
    <w:rsid w:val="00956912"/>
    <w:rsid w:val="0095699F"/>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3FD"/>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6F3A"/>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0D14"/>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35D"/>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262C"/>
    <w:rsid w:val="00B832A3"/>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6EF8"/>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97E"/>
    <w:rsid w:val="00BE0B25"/>
    <w:rsid w:val="00BE0E26"/>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67117"/>
    <w:rsid w:val="00C70DF0"/>
    <w:rsid w:val="00C72AB4"/>
    <w:rsid w:val="00C72BE3"/>
    <w:rsid w:val="00C739E5"/>
    <w:rsid w:val="00C73AA1"/>
    <w:rsid w:val="00C73D91"/>
    <w:rsid w:val="00C7417F"/>
    <w:rsid w:val="00C758F8"/>
    <w:rsid w:val="00C75911"/>
    <w:rsid w:val="00C75FA5"/>
    <w:rsid w:val="00C76205"/>
    <w:rsid w:val="00C7663B"/>
    <w:rsid w:val="00C77849"/>
    <w:rsid w:val="00C80616"/>
    <w:rsid w:val="00C817EC"/>
    <w:rsid w:val="00C82508"/>
    <w:rsid w:val="00C83762"/>
    <w:rsid w:val="00C83AED"/>
    <w:rsid w:val="00C83CF4"/>
    <w:rsid w:val="00C85713"/>
    <w:rsid w:val="00C85DE1"/>
    <w:rsid w:val="00C86583"/>
    <w:rsid w:val="00C867C9"/>
    <w:rsid w:val="00C9150E"/>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5F55"/>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1DE"/>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0F7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3C5B"/>
    <w:rsid w:val="00D84BD6"/>
    <w:rsid w:val="00D85517"/>
    <w:rsid w:val="00D8575B"/>
    <w:rsid w:val="00D86620"/>
    <w:rsid w:val="00D87C2F"/>
    <w:rsid w:val="00D92308"/>
    <w:rsid w:val="00D92A7D"/>
    <w:rsid w:val="00D94850"/>
    <w:rsid w:val="00D9678B"/>
    <w:rsid w:val="00D96C90"/>
    <w:rsid w:val="00D96E51"/>
    <w:rsid w:val="00D97EE9"/>
    <w:rsid w:val="00DA1033"/>
    <w:rsid w:val="00DA23CA"/>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5B6"/>
    <w:rsid w:val="00E718F2"/>
    <w:rsid w:val="00E719F5"/>
    <w:rsid w:val="00E733DF"/>
    <w:rsid w:val="00E73E6F"/>
    <w:rsid w:val="00E745CF"/>
    <w:rsid w:val="00E75422"/>
    <w:rsid w:val="00E75923"/>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3C8"/>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B69"/>
    <w:rsid w:val="00F20CA2"/>
    <w:rsid w:val="00F213F2"/>
    <w:rsid w:val="00F221AE"/>
    <w:rsid w:val="00F22398"/>
    <w:rsid w:val="00F2644E"/>
    <w:rsid w:val="00F26C36"/>
    <w:rsid w:val="00F26E90"/>
    <w:rsid w:val="00F27669"/>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B1685"/>
    <w:rsid w:val="00FB20EA"/>
    <w:rsid w:val="00FB2B30"/>
    <w:rsid w:val="00FB32F4"/>
    <w:rsid w:val="00FB3EC9"/>
    <w:rsid w:val="00FB41A1"/>
    <w:rsid w:val="00FB41A8"/>
    <w:rsid w:val="00FB466B"/>
    <w:rsid w:val="00FB4E42"/>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148"/>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uiPriority="11"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F2644E"/>
    <w:pPr>
      <w:keepNext/>
      <w:numPr>
        <w:numId w:val="38"/>
      </w:numPr>
      <w:pBdr>
        <w:top w:val="single" w:sz="4" w:space="1" w:color="auto"/>
        <w:bottom w:val="single" w:sz="4" w:space="1" w:color="auto"/>
      </w:pBdr>
      <w:spacing w:before="240" w:after="120" w:line="240" w:lineRule="auto"/>
      <w:jc w:val="center"/>
      <w:outlineLvl w:val="0"/>
    </w:pPr>
    <w:rPr>
      <w:rFonts w:eastAsiaTheme="minorEastAsia"/>
      <w:b/>
      <w:caps/>
      <w:sz w:val="28"/>
      <w:szCs w:val="22"/>
      <w:lang w:val="en-US" w:bidi="ar-SA"/>
    </w:rPr>
  </w:style>
  <w:style w:type="paragraph" w:customStyle="1" w:styleId="CERLEVEL2">
    <w:name w:val="CER LEVEL 2"/>
    <w:basedOn w:val="Normal"/>
    <w:qFormat/>
    <w:rsid w:val="00F2644E"/>
    <w:pPr>
      <w:keepNext/>
      <w:numPr>
        <w:ilvl w:val="1"/>
        <w:numId w:val="38"/>
      </w:numPr>
      <w:spacing w:before="240" w:after="120" w:line="240" w:lineRule="auto"/>
      <w:jc w:val="both"/>
      <w:outlineLvl w:val="1"/>
    </w:pPr>
    <w:rPr>
      <w:rFonts w:eastAsiaTheme="minorEastAsia"/>
      <w:b/>
      <w:caps/>
      <w:sz w:val="24"/>
      <w:szCs w:val="22"/>
      <w:lang w:val="en-US" w:bidi="ar-SA"/>
    </w:rPr>
  </w:style>
  <w:style w:type="paragraph" w:customStyle="1" w:styleId="CERLEVEL3">
    <w:name w:val="CER LEVEL 3"/>
    <w:basedOn w:val="Normal"/>
    <w:qFormat/>
    <w:rsid w:val="00F2644E"/>
    <w:pPr>
      <w:keepNext/>
      <w:numPr>
        <w:ilvl w:val="2"/>
        <w:numId w:val="38"/>
      </w:numPr>
      <w:spacing w:before="240" w:after="120" w:line="240" w:lineRule="auto"/>
      <w:jc w:val="both"/>
      <w:outlineLvl w:val="2"/>
    </w:pPr>
    <w:rPr>
      <w:rFonts w:eastAsiaTheme="minorEastAsia"/>
      <w:b/>
      <w:sz w:val="22"/>
      <w:szCs w:val="22"/>
      <w:lang w:val="en-US" w:bidi="ar-SA"/>
    </w:rPr>
  </w:style>
  <w:style w:type="paragraph" w:customStyle="1" w:styleId="CERLEVEL4">
    <w:name w:val="CER LEVEL 4"/>
    <w:basedOn w:val="Normal"/>
    <w:next w:val="CERLEVEL5"/>
    <w:link w:val="CERLEVEL4Char"/>
    <w:qFormat/>
    <w:rsid w:val="00F2644E"/>
    <w:pPr>
      <w:numPr>
        <w:ilvl w:val="3"/>
        <w:numId w:val="38"/>
      </w:numPr>
      <w:spacing w:before="120" w:after="120" w:line="240" w:lineRule="auto"/>
      <w:jc w:val="both"/>
      <w:outlineLvl w:val="4"/>
    </w:pPr>
    <w:rPr>
      <w:rFonts w:eastAsiaTheme="minorEastAsia"/>
      <w:sz w:val="22"/>
      <w:szCs w:val="22"/>
      <w:lang w:val="en-IE" w:bidi="ar-SA"/>
    </w:rPr>
  </w:style>
  <w:style w:type="paragraph" w:customStyle="1" w:styleId="CERLEVEL5">
    <w:name w:val="CER LEVEL 5"/>
    <w:basedOn w:val="Normal"/>
    <w:qFormat/>
    <w:rsid w:val="00F2644E"/>
    <w:pPr>
      <w:numPr>
        <w:ilvl w:val="4"/>
        <w:numId w:val="38"/>
      </w:numPr>
      <w:spacing w:before="120" w:after="120" w:line="240" w:lineRule="auto"/>
      <w:jc w:val="both"/>
    </w:pPr>
    <w:rPr>
      <w:rFonts w:eastAsiaTheme="minorEastAsia"/>
      <w:sz w:val="22"/>
      <w:szCs w:val="22"/>
      <w:lang w:val="en-US" w:bidi="ar-SA"/>
    </w:rPr>
  </w:style>
  <w:style w:type="paragraph" w:customStyle="1" w:styleId="CERLEVEL6">
    <w:name w:val="CER LEVEL 6"/>
    <w:basedOn w:val="Normal"/>
    <w:qFormat/>
    <w:rsid w:val="00F2644E"/>
    <w:pPr>
      <w:numPr>
        <w:ilvl w:val="5"/>
        <w:numId w:val="38"/>
      </w:numPr>
      <w:spacing w:before="120" w:after="120" w:line="240" w:lineRule="auto"/>
      <w:jc w:val="both"/>
    </w:pPr>
    <w:rPr>
      <w:rFonts w:eastAsiaTheme="minorEastAsia"/>
      <w:sz w:val="22"/>
      <w:szCs w:val="22"/>
      <w:lang w:val="en-US" w:bidi="ar-SA"/>
    </w:rPr>
  </w:style>
  <w:style w:type="paragraph" w:customStyle="1" w:styleId="CERLEVEL7">
    <w:name w:val="CER LEVEL 7"/>
    <w:basedOn w:val="Normal"/>
    <w:qFormat/>
    <w:rsid w:val="00F2644E"/>
    <w:pPr>
      <w:numPr>
        <w:ilvl w:val="6"/>
        <w:numId w:val="38"/>
      </w:numPr>
      <w:spacing w:before="120" w:after="120" w:line="240" w:lineRule="auto"/>
      <w:jc w:val="both"/>
    </w:pPr>
    <w:rPr>
      <w:rFonts w:eastAsiaTheme="minorEastAsia"/>
      <w:sz w:val="22"/>
      <w:szCs w:val="22"/>
      <w:lang w:val="en-US" w:bidi="ar-SA"/>
    </w:rPr>
  </w:style>
  <w:style w:type="character" w:customStyle="1" w:styleId="CERLEVEL4Char">
    <w:name w:val="CER LEVEL 4 Char"/>
    <w:basedOn w:val="DefaultParagraphFont"/>
    <w:link w:val="CERLEVEL4"/>
    <w:locked/>
    <w:rsid w:val="00F2644E"/>
    <w:rPr>
      <w:rFonts w:ascii="Arial" w:eastAsiaTheme="minorEastAsia" w:hAnsi="Arial"/>
      <w:sz w:val="22"/>
      <w:szCs w:val="22"/>
      <w:lang w:eastAsia="en-US"/>
    </w:rPr>
  </w:style>
  <w:style w:type="paragraph" w:customStyle="1" w:styleId="LightShading-Accent21">
    <w:name w:val="Light Shading - Accent 21"/>
    <w:basedOn w:val="Normal"/>
    <w:next w:val="Normal"/>
    <w:link w:val="LightShading-Accent2Char"/>
    <w:qFormat/>
    <w:rsid w:val="00132121"/>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132121"/>
    <w:rPr>
      <w:rFonts w:ascii="Arial" w:hAnsi="Arial"/>
      <w:b/>
      <w:bCs/>
      <w:i/>
      <w:iCs/>
      <w:color w:val="4F81BD"/>
      <w:lang w:val="en-GB" w:eastAsia="en-US"/>
    </w:rPr>
  </w:style>
  <w:style w:type="paragraph" w:styleId="Subtitle">
    <w:name w:val="Subtitle"/>
    <w:basedOn w:val="Normal"/>
    <w:next w:val="Normal"/>
    <w:link w:val="SubtitleChar"/>
    <w:uiPriority w:val="11"/>
    <w:qFormat/>
    <w:rsid w:val="00847E74"/>
    <w:pPr>
      <w:numPr>
        <w:ilvl w:val="1"/>
      </w:numPr>
      <w:spacing w:before="0" w:after="0" w:line="240" w:lineRule="auto"/>
    </w:pPr>
    <w:rPr>
      <w:rFonts w:asciiTheme="majorHAnsi" w:eastAsiaTheme="majorEastAsia" w:hAnsiTheme="majorHAnsi" w:cstheme="majorBidi"/>
      <w:i/>
      <w:iCs/>
      <w:color w:val="4F81BD" w:themeColor="accent1"/>
      <w:spacing w:val="15"/>
      <w:sz w:val="24"/>
      <w:szCs w:val="24"/>
      <w:lang w:val="en-US" w:bidi="ar-SA"/>
    </w:rPr>
  </w:style>
  <w:style w:type="character" w:customStyle="1" w:styleId="SubtitleChar">
    <w:name w:val="Subtitle Char"/>
    <w:basedOn w:val="DefaultParagraphFont"/>
    <w:link w:val="Subtitle"/>
    <w:uiPriority w:val="11"/>
    <w:rsid w:val="00847E74"/>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15892116">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difications@sem-o.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m-o.com/MarketDevelopment/ModificationDocuments/Transitional%20Credit%20Cover%20Provisions%20Mod.pdf" TargetMode="External"/><Relationship Id="rId17" Type="http://schemas.openxmlformats.org/officeDocument/2006/relationships/hyperlink" Target="mailto:modifications@sem-o.com" TargetMode="External"/><Relationship Id="rId2" Type="http://schemas.openxmlformats.org/officeDocument/2006/relationships/numbering" Target="numbering.xml"/><Relationship Id="rId16" Type="http://schemas.openxmlformats.org/officeDocument/2006/relationships/hyperlink" Target="http://www.sem-o.com/MarketDevelopment/ModificationDocuments/MOD_06_17_Part_C_Appendix_B.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Transitional%20Credit%20Cover%20Provisions%20Mod.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em-o.com/Publications/General/MOD_06_17_Part_C_Legal_Text%20v3.docx" TargetMode="External"/><Relationship Id="rId23" Type="http://schemas.openxmlformats.org/officeDocument/2006/relationships/customXml" Target="../customXml/item3.xml"/><Relationship Id="rId10" Type="http://schemas.openxmlformats.org/officeDocument/2006/relationships/hyperlink" Target="http://www.sem-o.com/MarketDevelopment/ModificationDocuments/MOD_06_17%20-%20Modification%20Proposal%20version%20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image" Target="media/image2.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1780</MMTID>
    <ModID xmlns="bd8dd43f-48f8-46ce-9b8d-78f402b7750b">724</ModID>
  </documentManagement>
</p:properties>
</file>

<file path=customXml/itemProps1.xml><?xml version="1.0" encoding="utf-8"?>
<ds:datastoreItem xmlns:ds="http://schemas.openxmlformats.org/officeDocument/2006/customXml" ds:itemID="{2B98A227-9A9B-429B-84AC-997DDA06861C}"/>
</file>

<file path=customXml/itemProps2.xml><?xml version="1.0" encoding="utf-8"?>
<ds:datastoreItem xmlns:ds="http://schemas.openxmlformats.org/officeDocument/2006/customXml" ds:itemID="{FB782B8E-BB2D-47E4-9AA1-857D3708A166}"/>
</file>

<file path=customXml/itemProps3.xml><?xml version="1.0" encoding="utf-8"?>
<ds:datastoreItem xmlns:ds="http://schemas.openxmlformats.org/officeDocument/2006/customXml" ds:itemID="{68B39E77-8C94-489D-9ED4-64646D027D7B}"/>
</file>

<file path=customXml/itemProps4.xml><?xml version="1.0" encoding="utf-8"?>
<ds:datastoreItem xmlns:ds="http://schemas.openxmlformats.org/officeDocument/2006/customXml" ds:itemID="{6E3EA285-5708-471C-B2F9-342D532AFF26}"/>
</file>

<file path=docProps/app.xml><?xml version="1.0" encoding="utf-8"?>
<Properties xmlns="http://schemas.openxmlformats.org/officeDocument/2006/extended-properties" xmlns:vt="http://schemas.openxmlformats.org/officeDocument/2006/docPropsVTypes">
  <Template>Normal</Template>
  <TotalTime>0</TotalTime>
  <Pages>17</Pages>
  <Words>5574</Words>
  <Characters>31732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37232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dc:description/>
  <cp:lastModifiedBy/>
  <cp:revision>1</cp:revision>
  <dcterms:created xsi:type="dcterms:W3CDTF">2018-01-10T10:23:00Z</dcterms:created>
  <dcterms:modified xsi:type="dcterms:W3CDTF">2018-01-10T10:23:00Z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1062</vt:lpwstr>
  </property>
  <property fmtid="{D5CDD505-2E9C-101B-9397-08002B2CF9AE}" pid="7" name="Year of Modification Proposal">
    <vt:lpwstr>2017</vt:lpwstr>
  </property>
  <property fmtid="{D5CDD505-2E9C-101B-9397-08002B2CF9AE}" pid="8" name="Document Type">
    <vt:lpwstr>FRR</vt:lpwstr>
  </property>
  <property fmtid="{D5CDD505-2E9C-101B-9397-08002B2CF9AE}" pid="10" name="_CopySource">
    <vt:lpwstr>FRR MOD_06_17 TRANSITIONAL CREDIT COVER PROVISIONS version 2.0.docx</vt:lpwstr>
  </property>
  <property fmtid="{D5CDD505-2E9C-101B-9397-08002B2CF9AE}" pid="11" name="Order">
    <vt:r8>376000</vt:r8>
  </property>
</Properties>
</file>