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EE2B02">
              <w:t>10_18</w:t>
            </w:r>
            <w:r w:rsidR="00C552A8">
              <w:t xml:space="preserve"> </w:t>
            </w:r>
            <w:r w:rsidR="00EE2B02" w:rsidRPr="00EE2B02">
              <w:t>Amendment to Capacity Settlement Statement publication from Monthly to Daily</w:t>
            </w:r>
          </w:p>
          <w:p w:rsidR="001D4616" w:rsidRPr="003D3D96" w:rsidRDefault="001D4616" w:rsidP="00564D58">
            <w:pPr>
              <w:pStyle w:val="DocTitle"/>
              <w:jc w:val="left"/>
            </w:pPr>
          </w:p>
          <w:p w:rsidR="00A572DA" w:rsidRPr="003D3D96" w:rsidRDefault="00FC5B49" w:rsidP="00BB510F">
            <w:pPr>
              <w:pStyle w:val="DocTitle"/>
              <w:tabs>
                <w:tab w:val="center" w:pos="4771"/>
                <w:tab w:val="left" w:pos="6570"/>
              </w:tabs>
              <w:jc w:val="left"/>
            </w:pPr>
            <w:r w:rsidRPr="003D3D96">
              <w:tab/>
            </w:r>
            <w:r w:rsidR="00BB510F">
              <w:t>10 May</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2E6AE2" w:rsidP="00B10A0B">
            <w:pPr>
              <w:spacing w:before="0" w:after="0" w:line="240" w:lineRule="auto"/>
              <w:rPr>
                <w:rStyle w:val="TableText"/>
              </w:rPr>
            </w:pPr>
            <w:r>
              <w:rPr>
                <w:rStyle w:val="TableText"/>
              </w:rPr>
              <w:t>10 May</w:t>
            </w:r>
            <w:r w:rsidR="000E4447">
              <w:rPr>
                <w:rStyle w:val="TableText"/>
              </w:rPr>
              <w:t xml:space="preserve"> </w:t>
            </w:r>
            <w:bookmarkStart w:id="4" w:name="_GoBack"/>
            <w:bookmarkEnd w:id="4"/>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4C3C66" w:rsidP="008C599B">
            <w:pPr>
              <w:spacing w:before="0" w:after="0" w:line="240" w:lineRule="auto"/>
              <w:rPr>
                <w:rStyle w:val="TableText"/>
              </w:rPr>
            </w:pPr>
            <w:r>
              <w:rPr>
                <w:rStyle w:val="TableText"/>
              </w:rPr>
              <w:t>25 May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963A96"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963A96" w:rsidP="00A830EF">
            <w:pPr>
              <w:spacing w:before="0" w:after="0" w:line="240" w:lineRule="auto"/>
            </w:pPr>
            <w:hyperlink r:id="rId13" w:history="1">
              <w:r w:rsidR="00EE2B02" w:rsidRPr="00EE2B02">
                <w:rPr>
                  <w:rStyle w:val="Hyperlink"/>
                </w:rPr>
                <w:t>Modification Proposal</w:t>
              </w:r>
            </w:hyperlink>
          </w:p>
        </w:tc>
      </w:tr>
      <w:tr w:rsidR="000E4447" w:rsidRPr="003D3D96" w:rsidTr="007840E4">
        <w:trPr>
          <w:trHeight w:val="64"/>
        </w:trPr>
        <w:tc>
          <w:tcPr>
            <w:tcW w:w="5000" w:type="pct"/>
          </w:tcPr>
          <w:p w:rsidR="000E4447" w:rsidRDefault="00963A96" w:rsidP="00A830EF">
            <w:pPr>
              <w:spacing w:before="0" w:after="0" w:line="240" w:lineRule="auto"/>
            </w:pPr>
            <w:hyperlink r:id="rId14" w:history="1">
              <w:r w:rsidR="000E4447" w:rsidRPr="002E6AE2">
                <w:rPr>
                  <w:rStyle w:val="Hyperlink"/>
                </w:rPr>
                <w:t>Presentation</w:t>
              </w:r>
            </w:hyperlink>
          </w:p>
        </w:tc>
      </w:tr>
    </w:tbl>
    <w:p w:rsidR="00C12DA8" w:rsidRPr="003D3D96" w:rsidRDefault="00C12DA8"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963A96">
        <w:fldChar w:fldCharType="begin"/>
      </w:r>
      <w:r w:rsidR="0008245D" w:rsidRPr="003D3D96">
        <w:instrText xml:space="preserve"> TOC \o "1-3" \h \z \u </w:instrText>
      </w:r>
      <w:r w:rsidRPr="00963A96">
        <w:fldChar w:fldCharType="separate"/>
      </w:r>
      <w:hyperlink w:anchor="_Toc513811487" w:history="1">
        <w:r w:rsidR="002E6AE2" w:rsidRPr="001D69C0">
          <w:rPr>
            <w:rStyle w:val="Hyperlink"/>
            <w:noProof/>
            <w:lang w:eastAsia="en-GB"/>
          </w:rPr>
          <w:t>1.</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MODIFICATIONS COMMITTEE RECOMMENDATION</w:t>
        </w:r>
        <w:r w:rsidR="002E6AE2">
          <w:rPr>
            <w:noProof/>
            <w:webHidden/>
          </w:rPr>
          <w:tab/>
        </w:r>
        <w:r>
          <w:rPr>
            <w:noProof/>
            <w:webHidden/>
          </w:rPr>
          <w:fldChar w:fldCharType="begin"/>
        </w:r>
        <w:r w:rsidR="002E6AE2">
          <w:rPr>
            <w:noProof/>
            <w:webHidden/>
          </w:rPr>
          <w:instrText xml:space="preserve"> PAGEREF _Toc513811487 \h </w:instrText>
        </w:r>
        <w:r>
          <w:rPr>
            <w:noProof/>
            <w:webHidden/>
          </w:rPr>
        </w:r>
        <w:r>
          <w:rPr>
            <w:noProof/>
            <w:webHidden/>
          </w:rPr>
          <w:fldChar w:fldCharType="separate"/>
        </w:r>
        <w:r w:rsidR="002E6AE2">
          <w:rPr>
            <w:noProof/>
            <w:webHidden/>
          </w:rPr>
          <w:t>3</w:t>
        </w:r>
        <w:r>
          <w:rPr>
            <w:noProof/>
            <w:webHidden/>
          </w:rPr>
          <w:fldChar w:fldCharType="end"/>
        </w:r>
      </w:hyperlink>
    </w:p>
    <w:p w:rsidR="002E6AE2" w:rsidRDefault="00963A9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1488" w:history="1">
        <w:r w:rsidR="002E6AE2" w:rsidRPr="001D69C0">
          <w:rPr>
            <w:rStyle w:val="Hyperlink"/>
            <w:b/>
            <w:bCs/>
            <w:noProof/>
            <w:spacing w:val="5"/>
          </w:rPr>
          <w:t>Recommended for approval– Unanimous Vote</w:t>
        </w:r>
        <w:r w:rsidR="002E6AE2">
          <w:rPr>
            <w:noProof/>
            <w:webHidden/>
          </w:rPr>
          <w:tab/>
        </w:r>
        <w:r>
          <w:rPr>
            <w:noProof/>
            <w:webHidden/>
          </w:rPr>
          <w:fldChar w:fldCharType="begin"/>
        </w:r>
        <w:r w:rsidR="002E6AE2">
          <w:rPr>
            <w:noProof/>
            <w:webHidden/>
          </w:rPr>
          <w:instrText xml:space="preserve"> PAGEREF _Toc513811488 \h </w:instrText>
        </w:r>
        <w:r>
          <w:rPr>
            <w:noProof/>
            <w:webHidden/>
          </w:rPr>
        </w:r>
        <w:r>
          <w:rPr>
            <w:noProof/>
            <w:webHidden/>
          </w:rPr>
          <w:fldChar w:fldCharType="separate"/>
        </w:r>
        <w:r w:rsidR="002E6AE2">
          <w:rPr>
            <w:noProof/>
            <w:webHidden/>
          </w:rPr>
          <w:t>3</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89" w:history="1">
        <w:r w:rsidR="002E6AE2" w:rsidRPr="001D69C0">
          <w:rPr>
            <w:rStyle w:val="Hyperlink"/>
            <w:noProof/>
            <w:lang w:eastAsia="en-GB"/>
          </w:rPr>
          <w:t>2.</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Background</w:t>
        </w:r>
        <w:r w:rsidR="002E6AE2">
          <w:rPr>
            <w:noProof/>
            <w:webHidden/>
          </w:rPr>
          <w:tab/>
        </w:r>
        <w:r>
          <w:rPr>
            <w:noProof/>
            <w:webHidden/>
          </w:rPr>
          <w:fldChar w:fldCharType="begin"/>
        </w:r>
        <w:r w:rsidR="002E6AE2">
          <w:rPr>
            <w:noProof/>
            <w:webHidden/>
          </w:rPr>
          <w:instrText xml:space="preserve"> PAGEREF _Toc513811489 \h </w:instrText>
        </w:r>
        <w:r>
          <w:rPr>
            <w:noProof/>
            <w:webHidden/>
          </w:rPr>
        </w:r>
        <w:r>
          <w:rPr>
            <w:noProof/>
            <w:webHidden/>
          </w:rPr>
          <w:fldChar w:fldCharType="separate"/>
        </w:r>
        <w:r w:rsidR="002E6AE2">
          <w:rPr>
            <w:noProof/>
            <w:webHidden/>
          </w:rPr>
          <w:t>3</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0" w:history="1">
        <w:r w:rsidR="002E6AE2" w:rsidRPr="001D69C0">
          <w:rPr>
            <w:rStyle w:val="Hyperlink"/>
            <w:noProof/>
            <w:lang w:eastAsia="en-GB"/>
          </w:rPr>
          <w:t>3.</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PURPOSE OF PROPOSED MODIFICATION</w:t>
        </w:r>
        <w:r w:rsidR="002E6AE2">
          <w:rPr>
            <w:noProof/>
            <w:webHidden/>
          </w:rPr>
          <w:tab/>
        </w:r>
        <w:r>
          <w:rPr>
            <w:noProof/>
            <w:webHidden/>
          </w:rPr>
          <w:fldChar w:fldCharType="begin"/>
        </w:r>
        <w:r w:rsidR="002E6AE2">
          <w:rPr>
            <w:noProof/>
            <w:webHidden/>
          </w:rPr>
          <w:instrText xml:space="preserve"> PAGEREF _Toc513811490 \h </w:instrText>
        </w:r>
        <w:r>
          <w:rPr>
            <w:noProof/>
            <w:webHidden/>
          </w:rPr>
        </w:r>
        <w:r>
          <w:rPr>
            <w:noProof/>
            <w:webHidden/>
          </w:rPr>
          <w:fldChar w:fldCharType="separate"/>
        </w:r>
        <w:r w:rsidR="002E6AE2">
          <w:rPr>
            <w:noProof/>
            <w:webHidden/>
          </w:rPr>
          <w:t>3</w:t>
        </w:r>
        <w:r>
          <w:rPr>
            <w:noProof/>
            <w:webHidden/>
          </w:rPr>
          <w:fldChar w:fldCharType="end"/>
        </w:r>
      </w:hyperlink>
    </w:p>
    <w:p w:rsidR="002E6AE2" w:rsidRDefault="00963A9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1491" w:history="1">
        <w:r w:rsidR="002E6AE2" w:rsidRPr="001D69C0">
          <w:rPr>
            <w:rStyle w:val="Hyperlink"/>
            <w:b/>
            <w:bCs/>
            <w:caps/>
            <w:noProof/>
            <w:spacing w:val="5"/>
            <w:lang w:eastAsia="en-GB"/>
          </w:rPr>
          <w:t>3A.) justification of Modification</w:t>
        </w:r>
        <w:r w:rsidR="002E6AE2">
          <w:rPr>
            <w:noProof/>
            <w:webHidden/>
          </w:rPr>
          <w:tab/>
        </w:r>
        <w:r>
          <w:rPr>
            <w:noProof/>
            <w:webHidden/>
          </w:rPr>
          <w:fldChar w:fldCharType="begin"/>
        </w:r>
        <w:r w:rsidR="002E6AE2">
          <w:rPr>
            <w:noProof/>
            <w:webHidden/>
          </w:rPr>
          <w:instrText xml:space="preserve"> PAGEREF _Toc513811491 \h </w:instrText>
        </w:r>
        <w:r>
          <w:rPr>
            <w:noProof/>
            <w:webHidden/>
          </w:rPr>
        </w:r>
        <w:r>
          <w:rPr>
            <w:noProof/>
            <w:webHidden/>
          </w:rPr>
          <w:fldChar w:fldCharType="separate"/>
        </w:r>
        <w:r w:rsidR="002E6AE2">
          <w:rPr>
            <w:noProof/>
            <w:webHidden/>
          </w:rPr>
          <w:t>3</w:t>
        </w:r>
        <w:r>
          <w:rPr>
            <w:noProof/>
            <w:webHidden/>
          </w:rPr>
          <w:fldChar w:fldCharType="end"/>
        </w:r>
      </w:hyperlink>
    </w:p>
    <w:p w:rsidR="002E6AE2" w:rsidRDefault="00963A9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1492" w:history="1">
        <w:r w:rsidR="002E6AE2" w:rsidRPr="001D69C0">
          <w:rPr>
            <w:rStyle w:val="Hyperlink"/>
            <w:b/>
            <w:bCs/>
            <w:caps/>
            <w:noProof/>
            <w:spacing w:val="5"/>
            <w:lang w:eastAsia="en-GB"/>
          </w:rPr>
          <w:t>3B.) Impact of not Implementing a Solution</w:t>
        </w:r>
        <w:r w:rsidR="002E6AE2">
          <w:rPr>
            <w:noProof/>
            <w:webHidden/>
          </w:rPr>
          <w:tab/>
        </w:r>
        <w:r>
          <w:rPr>
            <w:noProof/>
            <w:webHidden/>
          </w:rPr>
          <w:fldChar w:fldCharType="begin"/>
        </w:r>
        <w:r w:rsidR="002E6AE2">
          <w:rPr>
            <w:noProof/>
            <w:webHidden/>
          </w:rPr>
          <w:instrText xml:space="preserve"> PAGEREF _Toc513811492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1493" w:history="1">
        <w:r w:rsidR="002E6AE2" w:rsidRPr="001D69C0">
          <w:rPr>
            <w:rStyle w:val="Hyperlink"/>
            <w:b/>
            <w:bCs/>
            <w:caps/>
            <w:noProof/>
            <w:spacing w:val="5"/>
            <w:lang w:eastAsia="en-GB"/>
          </w:rPr>
          <w:t>3c.) Impact on Code Objectives</w:t>
        </w:r>
        <w:r w:rsidR="002E6AE2">
          <w:rPr>
            <w:noProof/>
            <w:webHidden/>
          </w:rPr>
          <w:tab/>
        </w:r>
        <w:r>
          <w:rPr>
            <w:noProof/>
            <w:webHidden/>
          </w:rPr>
          <w:fldChar w:fldCharType="begin"/>
        </w:r>
        <w:r w:rsidR="002E6AE2">
          <w:rPr>
            <w:noProof/>
            <w:webHidden/>
          </w:rPr>
          <w:instrText xml:space="preserve"> PAGEREF _Toc513811493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4" w:history="1">
        <w:r w:rsidR="002E6AE2" w:rsidRPr="001D69C0">
          <w:rPr>
            <w:rStyle w:val="Hyperlink"/>
            <w:noProof/>
            <w:spacing w:val="15"/>
            <w:lang w:eastAsia="en-GB"/>
          </w:rPr>
          <w:t>4.</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spacing w:val="15"/>
            <w:lang w:eastAsia="en-GB"/>
          </w:rPr>
          <w:t>Assessment of Alternatives</w:t>
        </w:r>
        <w:r w:rsidR="002E6AE2">
          <w:rPr>
            <w:noProof/>
            <w:webHidden/>
          </w:rPr>
          <w:tab/>
        </w:r>
        <w:r>
          <w:rPr>
            <w:noProof/>
            <w:webHidden/>
          </w:rPr>
          <w:fldChar w:fldCharType="begin"/>
        </w:r>
        <w:r w:rsidR="002E6AE2">
          <w:rPr>
            <w:noProof/>
            <w:webHidden/>
          </w:rPr>
          <w:instrText xml:space="preserve"> PAGEREF _Toc513811494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5" w:history="1">
        <w:r w:rsidR="002E6AE2" w:rsidRPr="001D69C0">
          <w:rPr>
            <w:rStyle w:val="Hyperlink"/>
            <w:noProof/>
            <w:lang w:eastAsia="en-GB"/>
          </w:rPr>
          <w:t>5.</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Working Group and/or Consultation</w:t>
        </w:r>
        <w:r w:rsidR="002E6AE2">
          <w:rPr>
            <w:noProof/>
            <w:webHidden/>
          </w:rPr>
          <w:tab/>
        </w:r>
        <w:r>
          <w:rPr>
            <w:noProof/>
            <w:webHidden/>
          </w:rPr>
          <w:fldChar w:fldCharType="begin"/>
        </w:r>
        <w:r w:rsidR="002E6AE2">
          <w:rPr>
            <w:noProof/>
            <w:webHidden/>
          </w:rPr>
          <w:instrText xml:space="preserve"> PAGEREF _Toc513811495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6" w:history="1">
        <w:r w:rsidR="002E6AE2" w:rsidRPr="001D69C0">
          <w:rPr>
            <w:rStyle w:val="Hyperlink"/>
            <w:noProof/>
            <w:lang w:eastAsia="en-GB"/>
          </w:rPr>
          <w:t>6.</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impact on systems and resources</w:t>
        </w:r>
        <w:r w:rsidR="002E6AE2">
          <w:rPr>
            <w:noProof/>
            <w:webHidden/>
          </w:rPr>
          <w:tab/>
        </w:r>
        <w:r>
          <w:rPr>
            <w:noProof/>
            <w:webHidden/>
          </w:rPr>
          <w:fldChar w:fldCharType="begin"/>
        </w:r>
        <w:r w:rsidR="002E6AE2">
          <w:rPr>
            <w:noProof/>
            <w:webHidden/>
          </w:rPr>
          <w:instrText xml:space="preserve"> PAGEREF _Toc513811496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7" w:history="1">
        <w:r w:rsidR="002E6AE2" w:rsidRPr="001D69C0">
          <w:rPr>
            <w:rStyle w:val="Hyperlink"/>
            <w:noProof/>
            <w:lang w:eastAsia="en-GB"/>
          </w:rPr>
          <w:t>7.</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Impact on other Codes/Documents</w:t>
        </w:r>
        <w:r w:rsidR="002E6AE2">
          <w:rPr>
            <w:noProof/>
            <w:webHidden/>
          </w:rPr>
          <w:tab/>
        </w:r>
        <w:r>
          <w:rPr>
            <w:noProof/>
            <w:webHidden/>
          </w:rPr>
          <w:fldChar w:fldCharType="begin"/>
        </w:r>
        <w:r w:rsidR="002E6AE2">
          <w:rPr>
            <w:noProof/>
            <w:webHidden/>
          </w:rPr>
          <w:instrText xml:space="preserve"> PAGEREF _Toc513811497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498" w:history="1">
        <w:r w:rsidR="002E6AE2" w:rsidRPr="001D69C0">
          <w:rPr>
            <w:rStyle w:val="Hyperlink"/>
            <w:noProof/>
            <w:lang w:eastAsia="en-GB"/>
          </w:rPr>
          <w:t>8.</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MODIFICATION COMMITTEE VIEWS</w:t>
        </w:r>
        <w:r w:rsidR="002E6AE2">
          <w:rPr>
            <w:noProof/>
            <w:webHidden/>
          </w:rPr>
          <w:tab/>
        </w:r>
        <w:r>
          <w:rPr>
            <w:noProof/>
            <w:webHidden/>
          </w:rPr>
          <w:fldChar w:fldCharType="begin"/>
        </w:r>
        <w:r w:rsidR="002E6AE2">
          <w:rPr>
            <w:noProof/>
            <w:webHidden/>
          </w:rPr>
          <w:instrText xml:space="preserve"> PAGEREF _Toc513811498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13811499" w:history="1">
        <w:r w:rsidR="002E6AE2" w:rsidRPr="001D69C0">
          <w:rPr>
            <w:rStyle w:val="Hyperlink"/>
            <w:b/>
            <w:bCs/>
            <w:noProof/>
            <w:spacing w:val="5"/>
          </w:rPr>
          <w:t>Meeting  81 – 13 March 2018</w:t>
        </w:r>
        <w:r w:rsidR="002E6AE2">
          <w:rPr>
            <w:noProof/>
            <w:webHidden/>
          </w:rPr>
          <w:tab/>
        </w:r>
        <w:r>
          <w:rPr>
            <w:noProof/>
            <w:webHidden/>
          </w:rPr>
          <w:fldChar w:fldCharType="begin"/>
        </w:r>
        <w:r w:rsidR="002E6AE2">
          <w:rPr>
            <w:noProof/>
            <w:webHidden/>
          </w:rPr>
          <w:instrText xml:space="preserve"> PAGEREF _Toc513811499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500" w:history="1">
        <w:r w:rsidR="002E6AE2" w:rsidRPr="001D69C0">
          <w:rPr>
            <w:rStyle w:val="Hyperlink"/>
            <w:noProof/>
            <w:lang w:eastAsia="en-GB"/>
          </w:rPr>
          <w:t>9.</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Proposed Legal Drafting</w:t>
        </w:r>
        <w:r w:rsidR="002E6AE2">
          <w:rPr>
            <w:noProof/>
            <w:webHidden/>
          </w:rPr>
          <w:tab/>
        </w:r>
        <w:r>
          <w:rPr>
            <w:noProof/>
            <w:webHidden/>
          </w:rPr>
          <w:fldChar w:fldCharType="begin"/>
        </w:r>
        <w:r w:rsidR="002E6AE2">
          <w:rPr>
            <w:noProof/>
            <w:webHidden/>
          </w:rPr>
          <w:instrText xml:space="preserve"> PAGEREF _Toc513811500 \h </w:instrText>
        </w:r>
        <w:r>
          <w:rPr>
            <w:noProof/>
            <w:webHidden/>
          </w:rPr>
        </w:r>
        <w:r>
          <w:rPr>
            <w:noProof/>
            <w:webHidden/>
          </w:rPr>
          <w:fldChar w:fldCharType="separate"/>
        </w:r>
        <w:r w:rsidR="002E6AE2">
          <w:rPr>
            <w:noProof/>
            <w:webHidden/>
          </w:rPr>
          <w:t>4</w:t>
        </w:r>
        <w:r>
          <w:rPr>
            <w:noProof/>
            <w:webHidden/>
          </w:rPr>
          <w:fldChar w:fldCharType="end"/>
        </w:r>
      </w:hyperlink>
    </w:p>
    <w:p w:rsidR="002E6AE2" w:rsidRDefault="00963A9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501" w:history="1">
        <w:r w:rsidR="002E6AE2" w:rsidRPr="001D69C0">
          <w:rPr>
            <w:rStyle w:val="Hyperlink"/>
            <w:smallCaps/>
            <w:noProof/>
            <w:lang w:eastAsia="en-GB"/>
          </w:rPr>
          <w:t>10.</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smallCaps/>
            <w:noProof/>
            <w:lang w:eastAsia="en-GB"/>
          </w:rPr>
          <w:t>LEGAL REVIEW</w:t>
        </w:r>
        <w:r w:rsidR="002E6AE2">
          <w:rPr>
            <w:noProof/>
            <w:webHidden/>
          </w:rPr>
          <w:tab/>
        </w:r>
        <w:r>
          <w:rPr>
            <w:noProof/>
            <w:webHidden/>
          </w:rPr>
          <w:fldChar w:fldCharType="begin"/>
        </w:r>
        <w:r w:rsidR="002E6AE2">
          <w:rPr>
            <w:noProof/>
            <w:webHidden/>
          </w:rPr>
          <w:instrText xml:space="preserve"> PAGEREF _Toc513811501 \h </w:instrText>
        </w:r>
        <w:r>
          <w:rPr>
            <w:noProof/>
            <w:webHidden/>
          </w:rPr>
        </w:r>
        <w:r>
          <w:rPr>
            <w:noProof/>
            <w:webHidden/>
          </w:rPr>
          <w:fldChar w:fldCharType="separate"/>
        </w:r>
        <w:r w:rsidR="002E6AE2">
          <w:rPr>
            <w:noProof/>
            <w:webHidden/>
          </w:rPr>
          <w:t>5</w:t>
        </w:r>
        <w:r>
          <w:rPr>
            <w:noProof/>
            <w:webHidden/>
          </w:rPr>
          <w:fldChar w:fldCharType="end"/>
        </w:r>
      </w:hyperlink>
    </w:p>
    <w:p w:rsidR="002E6AE2" w:rsidRDefault="00963A96">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502" w:history="1">
        <w:r w:rsidR="002E6AE2" w:rsidRPr="001D69C0">
          <w:rPr>
            <w:rStyle w:val="Hyperlink"/>
            <w:noProof/>
            <w:lang w:eastAsia="en-GB"/>
          </w:rPr>
          <w:t>11.</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IMPLEMENTATION TIMESCALE</w:t>
        </w:r>
        <w:r w:rsidR="002E6AE2">
          <w:rPr>
            <w:noProof/>
            <w:webHidden/>
          </w:rPr>
          <w:tab/>
        </w:r>
        <w:r>
          <w:rPr>
            <w:noProof/>
            <w:webHidden/>
          </w:rPr>
          <w:fldChar w:fldCharType="begin"/>
        </w:r>
        <w:r w:rsidR="002E6AE2">
          <w:rPr>
            <w:noProof/>
            <w:webHidden/>
          </w:rPr>
          <w:instrText xml:space="preserve"> PAGEREF _Toc513811502 \h </w:instrText>
        </w:r>
        <w:r>
          <w:rPr>
            <w:noProof/>
            <w:webHidden/>
          </w:rPr>
        </w:r>
        <w:r>
          <w:rPr>
            <w:noProof/>
            <w:webHidden/>
          </w:rPr>
          <w:fldChar w:fldCharType="separate"/>
        </w:r>
        <w:r w:rsidR="002E6AE2">
          <w:rPr>
            <w:noProof/>
            <w:webHidden/>
          </w:rPr>
          <w:t>5</w:t>
        </w:r>
        <w:r>
          <w:rPr>
            <w:noProof/>
            <w:webHidden/>
          </w:rPr>
          <w:fldChar w:fldCharType="end"/>
        </w:r>
      </w:hyperlink>
    </w:p>
    <w:p w:rsidR="002E6AE2" w:rsidRDefault="00963A96">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13811503" w:history="1">
        <w:r w:rsidR="002E6AE2" w:rsidRPr="001D69C0">
          <w:rPr>
            <w:rStyle w:val="Hyperlink"/>
            <w:rFonts w:cs="Arial"/>
            <w:noProof/>
            <w:lang w:val="en-IE"/>
          </w:rPr>
          <w:t>1</w:t>
        </w:r>
        <w:r w:rsidR="002E6AE2">
          <w:rPr>
            <w:rFonts w:asciiTheme="minorHAnsi" w:eastAsiaTheme="minorEastAsia" w:hAnsiTheme="minorHAnsi" w:cstheme="minorBidi"/>
            <w:b w:val="0"/>
            <w:bCs w:val="0"/>
            <w:caps w:val="0"/>
            <w:noProof/>
            <w:sz w:val="22"/>
            <w:szCs w:val="22"/>
            <w:lang w:val="en-IE" w:eastAsia="en-IE" w:bidi="ar-SA"/>
          </w:rPr>
          <w:tab/>
        </w:r>
        <w:r w:rsidR="002E6AE2" w:rsidRPr="001D69C0">
          <w:rPr>
            <w:rStyle w:val="Hyperlink"/>
            <w:noProof/>
            <w:lang w:eastAsia="en-GB"/>
          </w:rPr>
          <w:t xml:space="preserve">Appendix 1:  Mod_10_18 </w:t>
        </w:r>
        <w:r w:rsidR="002E6AE2" w:rsidRPr="001D69C0">
          <w:rPr>
            <w:rStyle w:val="Hyperlink"/>
            <w:rFonts w:cs="Arial"/>
            <w:noProof/>
            <w:lang w:val="en-IE"/>
          </w:rPr>
          <w:t>Amendment to Capacity Settlement Statement Publication from Monthly to Daily</w:t>
        </w:r>
        <w:r w:rsidR="002E6AE2">
          <w:rPr>
            <w:noProof/>
            <w:webHidden/>
          </w:rPr>
          <w:tab/>
        </w:r>
        <w:r>
          <w:rPr>
            <w:noProof/>
            <w:webHidden/>
          </w:rPr>
          <w:fldChar w:fldCharType="begin"/>
        </w:r>
        <w:r w:rsidR="002E6AE2">
          <w:rPr>
            <w:noProof/>
            <w:webHidden/>
          </w:rPr>
          <w:instrText xml:space="preserve"> PAGEREF _Toc513811503 \h </w:instrText>
        </w:r>
        <w:r>
          <w:rPr>
            <w:noProof/>
            <w:webHidden/>
          </w:rPr>
        </w:r>
        <w:r>
          <w:rPr>
            <w:noProof/>
            <w:webHidden/>
          </w:rPr>
          <w:fldChar w:fldCharType="separate"/>
        </w:r>
        <w:r w:rsidR="002E6AE2">
          <w:rPr>
            <w:noProof/>
            <w:webHidden/>
          </w:rPr>
          <w:t>6</w:t>
        </w:r>
        <w:r>
          <w:rPr>
            <w:noProof/>
            <w:webHidden/>
          </w:rPr>
          <w:fldChar w:fldCharType="end"/>
        </w:r>
      </w:hyperlink>
    </w:p>
    <w:p w:rsidR="00B74531" w:rsidRPr="003D3D96" w:rsidRDefault="00963A96"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3811487"/>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381148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BB510F">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B510F" w:rsidRPr="00756CCD" w:rsidTr="002B237F">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B510F" w:rsidRPr="00756CCD" w:rsidRDefault="00BB510F" w:rsidP="002B237F">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B510F" w:rsidTr="002B237F">
        <w:trPr>
          <w:jc w:val="center"/>
        </w:trPr>
        <w:tc>
          <w:tcPr>
            <w:tcW w:w="15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Cormac Daly</w:t>
            </w:r>
          </w:p>
        </w:tc>
        <w:tc>
          <w:tcPr>
            <w:tcW w:w="17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Generator Member</w:t>
            </w:r>
          </w:p>
        </w:tc>
        <w:tc>
          <w:tcPr>
            <w:tcW w:w="1776" w:type="pct"/>
            <w:shd w:val="clear" w:color="auto" w:fill="auto"/>
          </w:tcPr>
          <w:p w:rsidR="00BB510F" w:rsidRDefault="00BB510F" w:rsidP="002B237F">
            <w:r w:rsidRPr="002473E0">
              <w:rPr>
                <w:sz w:val="16"/>
                <w:szCs w:val="16"/>
              </w:rPr>
              <w:t>Approved</w:t>
            </w:r>
          </w:p>
        </w:tc>
      </w:tr>
      <w:tr w:rsidR="00BB510F" w:rsidTr="002B237F">
        <w:trPr>
          <w:jc w:val="center"/>
        </w:trPr>
        <w:tc>
          <w:tcPr>
            <w:tcW w:w="15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Brian Mongan</w:t>
            </w:r>
          </w:p>
        </w:tc>
        <w:tc>
          <w:tcPr>
            <w:tcW w:w="17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Generator Member</w:t>
            </w:r>
          </w:p>
        </w:tc>
        <w:tc>
          <w:tcPr>
            <w:tcW w:w="1776" w:type="pct"/>
            <w:shd w:val="clear" w:color="auto" w:fill="auto"/>
          </w:tcPr>
          <w:p w:rsidR="00BB510F" w:rsidRDefault="00BB510F" w:rsidP="002B237F">
            <w:r w:rsidRPr="002473E0">
              <w:rPr>
                <w:sz w:val="16"/>
                <w:szCs w:val="16"/>
              </w:rPr>
              <w:t>Approved</w:t>
            </w:r>
          </w:p>
        </w:tc>
      </w:tr>
      <w:tr w:rsidR="00BB510F" w:rsidTr="002B237F">
        <w:trPr>
          <w:jc w:val="center"/>
        </w:trPr>
        <w:tc>
          <w:tcPr>
            <w:tcW w:w="15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William Steele</w:t>
            </w:r>
          </w:p>
        </w:tc>
        <w:tc>
          <w:tcPr>
            <w:tcW w:w="17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Supplier Member</w:t>
            </w:r>
          </w:p>
        </w:tc>
        <w:tc>
          <w:tcPr>
            <w:tcW w:w="1776" w:type="pct"/>
            <w:shd w:val="clear" w:color="auto" w:fill="auto"/>
          </w:tcPr>
          <w:p w:rsidR="00BB510F" w:rsidRDefault="00BB510F" w:rsidP="002B237F">
            <w:r w:rsidRPr="002473E0">
              <w:rPr>
                <w:sz w:val="16"/>
                <w:szCs w:val="16"/>
              </w:rPr>
              <w:t>Approved</w:t>
            </w:r>
          </w:p>
        </w:tc>
      </w:tr>
      <w:tr w:rsidR="00BB510F" w:rsidTr="002B237F">
        <w:trPr>
          <w:jc w:val="center"/>
        </w:trPr>
        <w:tc>
          <w:tcPr>
            <w:tcW w:w="1512" w:type="pct"/>
            <w:shd w:val="clear" w:color="auto" w:fill="auto"/>
            <w:vAlign w:val="bottom"/>
          </w:tcPr>
          <w:p w:rsidR="00BB510F" w:rsidRDefault="00BB510F" w:rsidP="002B237F">
            <w:pPr>
              <w:spacing w:before="40" w:after="40"/>
              <w:rPr>
                <w:rFonts w:cs="Arial"/>
                <w:sz w:val="16"/>
                <w:szCs w:val="16"/>
              </w:rPr>
            </w:pPr>
            <w:r>
              <w:rPr>
                <w:rFonts w:cs="Arial"/>
                <w:sz w:val="16"/>
                <w:szCs w:val="16"/>
              </w:rPr>
              <w:t>Jim Wynne</w:t>
            </w:r>
          </w:p>
        </w:tc>
        <w:tc>
          <w:tcPr>
            <w:tcW w:w="17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Supplier Member</w:t>
            </w:r>
          </w:p>
        </w:tc>
        <w:tc>
          <w:tcPr>
            <w:tcW w:w="1776" w:type="pct"/>
            <w:shd w:val="clear" w:color="auto" w:fill="auto"/>
          </w:tcPr>
          <w:p w:rsidR="00BB510F" w:rsidRDefault="00BB510F" w:rsidP="002B237F">
            <w:r w:rsidRPr="002473E0">
              <w:rPr>
                <w:sz w:val="16"/>
                <w:szCs w:val="16"/>
              </w:rPr>
              <w:t>Approved</w:t>
            </w:r>
          </w:p>
        </w:tc>
      </w:tr>
      <w:tr w:rsidR="00BB510F" w:rsidTr="002B237F">
        <w:trPr>
          <w:jc w:val="center"/>
        </w:trPr>
        <w:tc>
          <w:tcPr>
            <w:tcW w:w="15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BB510F" w:rsidRPr="00CE31E6" w:rsidRDefault="00BB510F" w:rsidP="002B237F">
            <w:pPr>
              <w:spacing w:before="40" w:after="40"/>
              <w:rPr>
                <w:rFonts w:cs="Arial"/>
                <w:sz w:val="16"/>
                <w:szCs w:val="16"/>
              </w:rPr>
            </w:pPr>
            <w:r>
              <w:rPr>
                <w:rFonts w:cs="Arial"/>
                <w:sz w:val="16"/>
                <w:szCs w:val="16"/>
              </w:rPr>
              <w:t>Supplier Member</w:t>
            </w:r>
          </w:p>
        </w:tc>
        <w:tc>
          <w:tcPr>
            <w:tcW w:w="1776" w:type="pct"/>
            <w:shd w:val="clear" w:color="auto" w:fill="auto"/>
          </w:tcPr>
          <w:p w:rsidR="00BB510F" w:rsidRDefault="00BB510F" w:rsidP="002B237F">
            <w:r w:rsidRPr="002473E0">
              <w:rPr>
                <w:sz w:val="16"/>
                <w:szCs w:val="16"/>
              </w:rPr>
              <w:t>Approved</w:t>
            </w:r>
          </w:p>
        </w:tc>
      </w:tr>
    </w:tbl>
    <w:p w:rsidR="00BB510F" w:rsidRDefault="00BB510F" w:rsidP="008A753C">
      <w:pPr>
        <w:pStyle w:val="Bullet1"/>
        <w:numPr>
          <w:ilvl w:val="0"/>
          <w:numId w:val="0"/>
        </w:numPr>
        <w:jc w:val="both"/>
        <w:rPr>
          <w:rStyle w:val="IntenseReference1"/>
          <w:b w:val="0"/>
          <w:bCs w:val="0"/>
          <w:smallCaps w:val="0"/>
          <w:highlight w:val="yellow"/>
          <w:lang w:val="en-IE"/>
        </w:rPr>
      </w:pPr>
    </w:p>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3811489"/>
      <w:r w:rsidRPr="003D3D96">
        <w:rPr>
          <w:lang w:eastAsia="en-GB"/>
        </w:rPr>
        <w:t>Background</w:t>
      </w:r>
      <w:bookmarkEnd w:id="19"/>
      <w:bookmarkEnd w:id="20"/>
      <w:bookmarkEnd w:id="21"/>
      <w:bookmarkEnd w:id="22"/>
      <w:bookmarkEnd w:id="23"/>
      <w:bookmarkEnd w:id="24"/>
      <w:bookmarkEnd w:id="25"/>
    </w:p>
    <w:p w:rsidR="007F4B58" w:rsidRDefault="007F4B58" w:rsidP="002C2D99">
      <w:pPr>
        <w:jc w:val="both"/>
      </w:pPr>
    </w:p>
    <w:p w:rsidR="002C2D99" w:rsidRDefault="00581DAD" w:rsidP="002C2D99">
      <w:pPr>
        <w:jc w:val="both"/>
      </w:pPr>
      <w:r w:rsidRPr="003D3D96">
        <w:t>This Mod</w:t>
      </w:r>
      <w:r w:rsidR="000B641B">
        <w:t>ifica</w:t>
      </w:r>
      <w:r w:rsidR="002C2D99">
        <w:t xml:space="preserve">tion Proposal was raised by </w:t>
      </w:r>
      <w:r w:rsidR="00EE2B02">
        <w:t>SEMO</w:t>
      </w:r>
      <w:r w:rsidR="00EF16B0" w:rsidRPr="003D3D96">
        <w:t xml:space="preserve"> and was received by the Secretariat</w:t>
      </w:r>
      <w:r w:rsidR="00EE2B02">
        <w:t xml:space="preserve"> on 14 February 2018</w:t>
      </w:r>
      <w:r w:rsidR="002F5D26" w:rsidRPr="006D2765">
        <w:t>.</w:t>
      </w:r>
      <w:r w:rsidR="008110AF" w:rsidRPr="006D2765">
        <w:t xml:space="preserve"> </w:t>
      </w:r>
    </w:p>
    <w:p w:rsidR="00EE2B02" w:rsidRPr="00EE2B02" w:rsidRDefault="00EE2B02" w:rsidP="00EE2B02">
      <w:pPr>
        <w:rPr>
          <w:rFonts w:cs="Arial"/>
          <w:lang w:val="en-IE"/>
        </w:rPr>
      </w:pPr>
      <w:r w:rsidRPr="00EE2B02">
        <w:rPr>
          <w:rFonts w:cs="Arial"/>
          <w:lang w:val="en-IE"/>
        </w:rPr>
        <w:t>This proposal seeks to provide for daily publication of Capacity Settlement Statements where these are currently stated as being published on a monthly Capacity Period Basis.</w:t>
      </w:r>
    </w:p>
    <w:p w:rsidR="00EE2B02" w:rsidRPr="00EE2B02" w:rsidRDefault="00EE2B02" w:rsidP="00EE2B02">
      <w:pPr>
        <w:rPr>
          <w:rFonts w:cs="Arial"/>
          <w:lang w:val="en-IE"/>
        </w:rPr>
      </w:pPr>
      <w:r w:rsidRPr="00EE2B02">
        <w:rPr>
          <w:rFonts w:cs="Arial"/>
          <w:lang w:val="en-IE"/>
        </w:rPr>
        <w:t>It is necessary for Capacity Payments and Charges to be calculated on a daily basis for credit calculations. As a result the ISEM systems have been designed to also publish the associated Settlement Statements on a daily basis. Since this is earlier provision of data it is appropriate to change the rules to reflect daily publication rather than change the systems to publish monthly.</w:t>
      </w:r>
    </w:p>
    <w:p w:rsidR="002C2D99" w:rsidRPr="00BB510F" w:rsidRDefault="00EE2B02" w:rsidP="00BB510F">
      <w:pPr>
        <w:rPr>
          <w:rFonts w:cs="Arial"/>
          <w:lang w:val="en-IE"/>
        </w:rPr>
      </w:pPr>
      <w:r w:rsidRPr="00EE2B02">
        <w:rPr>
          <w:rFonts w:cs="Arial"/>
          <w:lang w:val="en-IE"/>
        </w:rPr>
        <w:t>Although it could be argued that earlier publication still meets the existing month end obligations without changing the rules, SEMO are of the view that it is best to amend the rules to reflect daily publication of these reports for transparency. To leave the rules stating that publication is by a number of working days post month end and publish the information daily could potentially be misleading.</w:t>
      </w:r>
      <w:ins w:id="26" w:author="Author">
        <w:r w:rsidRPr="00EE2B02">
          <w:rPr>
            <w:rFonts w:cs="Arial"/>
            <w:lang w:val="en-IE"/>
          </w:rPr>
          <w:t xml:space="preserve"> </w:t>
        </w:r>
      </w:ins>
      <w:r w:rsidRPr="00EE2B02">
        <w:rPr>
          <w:rFonts w:cs="Arial"/>
          <w:lang w:val="en-IE"/>
        </w:rPr>
        <w:t xml:space="preserve">It’s worth noting that Settlement Statements for Capacity Settlement Reruns will still be issued as a single ‘batch’. </w:t>
      </w: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BB510F">
        <w:t>and voted on at Meeting 81 on 13 March</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513811490"/>
      <w:r w:rsidRPr="003D3D96">
        <w:rPr>
          <w:lang w:eastAsia="en-GB"/>
        </w:rPr>
        <w:t>PURPOSE OF PROPOSED MODIFICATION</w:t>
      </w:r>
      <w:bookmarkEnd w:id="27"/>
      <w:bookmarkEnd w:id="28"/>
      <w:bookmarkEnd w:id="29"/>
      <w:bookmarkEnd w:id="30"/>
      <w:bookmarkEnd w:id="31"/>
      <w:bookmarkEnd w:id="32"/>
      <w:bookmarkEnd w:id="33"/>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bookmarkStart w:id="41" w:name="_Toc513811491"/>
      <w:bookmarkStart w:id="42" w:name="_Toc313526633"/>
      <w:bookmarkStart w:id="43" w:name="_Toc313526774"/>
      <w:bookmarkStart w:id="44" w:name="_Toc313526828"/>
      <w:bookmarkStart w:id="45" w:name="_Toc313526914"/>
      <w:bookmarkStart w:id="46" w:name="_Toc313527003"/>
      <w:bookmarkStart w:id="47" w:name="_Toc313527113"/>
      <w:r w:rsidRPr="003D3D96">
        <w:rPr>
          <w:b/>
          <w:bCs/>
          <w:caps/>
          <w:smallCaps/>
          <w:color w:val="1F497D"/>
          <w:spacing w:val="5"/>
          <w:sz w:val="22"/>
          <w:szCs w:val="22"/>
          <w:u w:val="single"/>
          <w:lang w:eastAsia="en-GB" w:bidi="ar-SA"/>
        </w:rPr>
        <w:t>3A.) justification of Modification</w:t>
      </w:r>
      <w:bookmarkEnd w:id="34"/>
      <w:bookmarkEnd w:id="35"/>
      <w:bookmarkEnd w:id="36"/>
      <w:bookmarkEnd w:id="37"/>
      <w:bookmarkEnd w:id="38"/>
      <w:bookmarkEnd w:id="39"/>
      <w:bookmarkEnd w:id="40"/>
      <w:bookmarkEnd w:id="41"/>
    </w:p>
    <w:p w:rsidR="007F4B58" w:rsidRPr="00EE2B02" w:rsidRDefault="00EE2B02" w:rsidP="00EE2B02">
      <w:pPr>
        <w:rPr>
          <w:rFonts w:cs="Arial"/>
          <w:lang w:val="en-IE"/>
        </w:rPr>
      </w:pPr>
      <w:r w:rsidRPr="00EE2B02">
        <w:rPr>
          <w:rFonts w:cs="Arial"/>
          <w:lang w:val="en-IE"/>
        </w:rPr>
        <w:t>By detailing daily publication of Capacity Settlement Statements in the Trading and Settlement Code the market rules will more accurately reflect these publication timelines ensuring clarity in the area. This also ensures provision of this data at the earliest possible point</w:t>
      </w:r>
    </w:p>
    <w:p w:rsidR="004A31C1" w:rsidRDefault="004A31C1" w:rsidP="00CD48B2">
      <w:pPr>
        <w:spacing w:before="120" w:after="120" w:line="240" w:lineRule="auto"/>
        <w:jc w:val="both"/>
      </w:pPr>
    </w:p>
    <w:p w:rsidR="007F4B58" w:rsidRPr="003D3D96" w:rsidRDefault="007F4B58"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2"/>
      <w:bookmarkStart w:id="49" w:name="_Toc513811492"/>
      <w:r w:rsidRPr="003D3D96">
        <w:rPr>
          <w:b/>
          <w:bCs/>
          <w:caps/>
          <w:smallCaps/>
          <w:color w:val="1F497D"/>
          <w:spacing w:val="5"/>
          <w:sz w:val="22"/>
          <w:szCs w:val="22"/>
          <w:u w:val="single"/>
          <w:lang w:eastAsia="en-GB" w:bidi="ar-SA"/>
        </w:rPr>
        <w:lastRenderedPageBreak/>
        <w:t>3B.) Impact of not Implementing a Solution</w:t>
      </w:r>
      <w:bookmarkEnd w:id="48"/>
      <w:bookmarkEnd w:id="49"/>
    </w:p>
    <w:p w:rsidR="00EE2B02" w:rsidRPr="00EE2B02" w:rsidRDefault="00EE2B02" w:rsidP="00EE2B02">
      <w:pPr>
        <w:rPr>
          <w:rFonts w:cs="Arial"/>
          <w:lang w:val="en-IE"/>
        </w:rPr>
      </w:pPr>
      <w:bookmarkStart w:id="50" w:name="_Toc334796303"/>
      <w:r w:rsidRPr="00EE2B02">
        <w:rPr>
          <w:rFonts w:cs="Arial"/>
          <w:lang w:val="en-IE"/>
        </w:rPr>
        <w:t>If this proposal is not implemented the publication timelines for issuing Capacity Settlement Statements in the code will remain by a number of working days after the capacity period where these Statements will be published daily by the Market Operator so that the market rules would not clearly reflect the timing of these publications.</w:t>
      </w:r>
    </w:p>
    <w:p w:rsidR="000B1F52" w:rsidRPr="00B173F5" w:rsidRDefault="000B1F52"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1" w:name="_Toc513811493"/>
      <w:r w:rsidRPr="003D3D96">
        <w:rPr>
          <w:b/>
          <w:bCs/>
          <w:caps/>
          <w:smallCaps/>
          <w:color w:val="1F497D"/>
          <w:spacing w:val="5"/>
          <w:sz w:val="22"/>
          <w:szCs w:val="22"/>
          <w:u w:val="single"/>
          <w:lang w:eastAsia="en-GB" w:bidi="ar-SA"/>
        </w:rPr>
        <w:t>3c.) Impact on Code Objectives</w:t>
      </w:r>
      <w:bookmarkEnd w:id="50"/>
      <w:bookmarkEnd w:id="51"/>
    </w:p>
    <w:p w:rsidR="00EE2B02" w:rsidRPr="00EE2B02" w:rsidRDefault="00EE2B02" w:rsidP="00EE2B02">
      <w:pPr>
        <w:rPr>
          <w:rFonts w:cs="Arial"/>
          <w:lang w:val="en-IE"/>
        </w:rPr>
      </w:pPr>
      <w:r w:rsidRPr="00EE2B02">
        <w:rPr>
          <w:rFonts w:cs="Arial"/>
          <w:lang w:val="en-IE"/>
        </w:rPr>
        <w:t xml:space="preserve">This Modification furthers Code Objective  1.3 (5) </w:t>
      </w:r>
    </w:p>
    <w:p w:rsidR="00EE2B02" w:rsidRPr="00EE2B02" w:rsidRDefault="00EE2B02" w:rsidP="00EE2B02">
      <w:pPr>
        <w:ind w:left="720"/>
        <w:rPr>
          <w:rFonts w:cs="Arial"/>
          <w:lang w:val="en-IE"/>
        </w:rPr>
      </w:pPr>
      <w:r w:rsidRPr="00EE2B02">
        <w:rPr>
          <w:rFonts w:cs="Arial"/>
          <w:lang w:val="en-IE"/>
        </w:rPr>
        <w:t>(5)</w:t>
      </w:r>
      <w:r w:rsidRPr="00EE2B02">
        <w:rPr>
          <w:rFonts w:cs="Arial"/>
          <w:lang w:val="en-IE"/>
        </w:rPr>
        <w:tab/>
        <w:t>to provide transparency in the operation of the Single Electricity Market;</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2" w:name="_Toc327198773"/>
      <w:bookmarkStart w:id="53" w:name="_Toc313527112"/>
      <w:bookmarkStart w:id="54" w:name="_Toc313527002"/>
      <w:bookmarkStart w:id="55" w:name="_Toc313526913"/>
      <w:bookmarkStart w:id="56" w:name="_Toc313526827"/>
      <w:bookmarkStart w:id="57" w:name="_Toc313526773"/>
      <w:bookmarkStart w:id="58" w:name="_Toc313526632"/>
      <w:bookmarkStart w:id="59" w:name="_Toc413406753"/>
      <w:bookmarkStart w:id="60" w:name="_Toc513811494"/>
      <w:r w:rsidRPr="003D3D96">
        <w:rPr>
          <w:b/>
          <w:bCs/>
          <w:caps/>
          <w:color w:val="FFFFFF"/>
          <w:spacing w:val="15"/>
          <w:sz w:val="22"/>
          <w:szCs w:val="22"/>
          <w:lang w:eastAsia="en-GB" w:bidi="ar-SA"/>
        </w:rPr>
        <w:t>Assessment of Alternatives</w:t>
      </w:r>
      <w:bookmarkEnd w:id="52"/>
      <w:bookmarkEnd w:id="53"/>
      <w:bookmarkEnd w:id="54"/>
      <w:bookmarkEnd w:id="55"/>
      <w:bookmarkEnd w:id="56"/>
      <w:bookmarkEnd w:id="57"/>
      <w:bookmarkEnd w:id="58"/>
      <w:bookmarkEnd w:id="59"/>
      <w:bookmarkEnd w:id="60"/>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1" w:name="_Toc513811495"/>
      <w:r w:rsidRPr="003D3D96">
        <w:rPr>
          <w:lang w:eastAsia="en-GB"/>
        </w:rPr>
        <w:t>Working Group and/or Consultation</w:t>
      </w:r>
      <w:bookmarkEnd w:id="42"/>
      <w:bookmarkEnd w:id="43"/>
      <w:bookmarkEnd w:id="44"/>
      <w:bookmarkEnd w:id="45"/>
      <w:bookmarkEnd w:id="46"/>
      <w:bookmarkEnd w:id="47"/>
      <w:bookmarkEnd w:id="61"/>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2" w:name="_Toc313526634"/>
      <w:bookmarkStart w:id="63" w:name="_Toc313526775"/>
      <w:bookmarkStart w:id="64" w:name="_Toc313526829"/>
      <w:bookmarkStart w:id="65" w:name="_Toc313526915"/>
      <w:bookmarkStart w:id="66" w:name="_Toc313527004"/>
      <w:bookmarkStart w:id="67" w:name="_Toc313527114"/>
      <w:bookmarkStart w:id="68" w:name="_Toc513811496"/>
      <w:r w:rsidRPr="003D3D96">
        <w:rPr>
          <w:lang w:eastAsia="en-GB"/>
        </w:rPr>
        <w:t>impact on systems and resources</w:t>
      </w:r>
      <w:bookmarkStart w:id="69" w:name="_Toc313526635"/>
      <w:bookmarkStart w:id="70" w:name="_Toc313526776"/>
      <w:bookmarkStart w:id="71" w:name="_Toc313526830"/>
      <w:bookmarkStart w:id="72" w:name="_Toc313526916"/>
      <w:bookmarkStart w:id="73" w:name="_Toc313527005"/>
      <w:bookmarkStart w:id="74" w:name="_Toc313527115"/>
      <w:bookmarkEnd w:id="62"/>
      <w:bookmarkEnd w:id="63"/>
      <w:bookmarkEnd w:id="64"/>
      <w:bookmarkEnd w:id="65"/>
      <w:bookmarkEnd w:id="66"/>
      <w:bookmarkEnd w:id="67"/>
      <w:bookmarkEnd w:id="68"/>
    </w:p>
    <w:p w:rsidR="007F4B58" w:rsidRPr="007F4B58" w:rsidRDefault="007F4B58" w:rsidP="007F4B58">
      <w:pPr>
        <w:rPr>
          <w:rFonts w:cs="Arial"/>
          <w:lang w:val="en-IE"/>
        </w:rPr>
      </w:pPr>
      <w:r w:rsidRPr="007F4B58">
        <w:rPr>
          <w:rFonts w:cs="Arial"/>
          <w:lang w:val="en-IE"/>
        </w:rPr>
        <w:t xml:space="preserve">No impact on market systems since this proposal is reflected in the current ISEM build. </w:t>
      </w:r>
    </w:p>
    <w:p w:rsidR="000B1F52" w:rsidRDefault="007F4B58" w:rsidP="007F4B58">
      <w:pPr>
        <w:rPr>
          <w:rFonts w:cs="Arial"/>
          <w:lang w:val="en-IE"/>
        </w:rPr>
      </w:pPr>
      <w:r w:rsidRPr="007F4B58">
        <w:rPr>
          <w:rFonts w:cs="Arial"/>
          <w:lang w:val="en-IE"/>
        </w:rPr>
        <w:t>Also would not anticipate impacts for Participant systems as these will either be configurable to consume daily reports or will be able to consume a months worth of reports at month end despite their earlier publication.</w:t>
      </w:r>
    </w:p>
    <w:p w:rsidR="007F4B58" w:rsidRPr="007F4B58" w:rsidRDefault="007F4B58" w:rsidP="007F4B58">
      <w:pPr>
        <w:rPr>
          <w:rFonts w:cs="Arial"/>
          <w:lang w:val="en-IE"/>
        </w:rPr>
      </w:pPr>
    </w:p>
    <w:p w:rsidR="00425E05" w:rsidRPr="003D3D96" w:rsidRDefault="00425E05" w:rsidP="00AD60CD">
      <w:pPr>
        <w:pStyle w:val="Heading1"/>
        <w:pageBreakBefore w:val="0"/>
        <w:numPr>
          <w:ilvl w:val="0"/>
          <w:numId w:val="12"/>
        </w:numPr>
        <w:rPr>
          <w:lang w:eastAsia="en-GB"/>
        </w:rPr>
      </w:pPr>
      <w:bookmarkStart w:id="75" w:name="_Toc513811497"/>
      <w:r w:rsidRPr="003D3D96">
        <w:rPr>
          <w:lang w:eastAsia="en-GB"/>
        </w:rPr>
        <w:t>Impact on other Codes/Documents</w:t>
      </w:r>
      <w:bookmarkEnd w:id="69"/>
      <w:bookmarkEnd w:id="70"/>
      <w:bookmarkEnd w:id="71"/>
      <w:bookmarkEnd w:id="72"/>
      <w:bookmarkEnd w:id="73"/>
      <w:bookmarkEnd w:id="74"/>
      <w:bookmarkEnd w:id="75"/>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6" w:name="_Toc313526636"/>
      <w:bookmarkStart w:id="77" w:name="_Toc313526777"/>
      <w:bookmarkStart w:id="78" w:name="_Toc313526831"/>
      <w:bookmarkStart w:id="79" w:name="_Toc313526917"/>
      <w:bookmarkStart w:id="80" w:name="_Toc313527006"/>
      <w:bookmarkStart w:id="81" w:name="_Toc313527116"/>
      <w:bookmarkStart w:id="82" w:name="_Toc513811498"/>
      <w:r w:rsidRPr="003D3D96">
        <w:rPr>
          <w:lang w:eastAsia="en-GB"/>
        </w:rPr>
        <w:t>MODIFICATION COMMITTEE VIEWS</w:t>
      </w:r>
      <w:bookmarkEnd w:id="76"/>
      <w:bookmarkEnd w:id="77"/>
      <w:bookmarkEnd w:id="78"/>
      <w:bookmarkEnd w:id="79"/>
      <w:bookmarkEnd w:id="80"/>
      <w:bookmarkEnd w:id="81"/>
      <w:bookmarkEnd w:id="82"/>
    </w:p>
    <w:p w:rsidR="00C8222D" w:rsidRPr="007E0773" w:rsidRDefault="002142FA" w:rsidP="007E0773">
      <w:pPr>
        <w:pStyle w:val="Heading2"/>
        <w:numPr>
          <w:ilvl w:val="0"/>
          <w:numId w:val="0"/>
        </w:numPr>
        <w:ind w:left="576" w:hanging="576"/>
        <w:rPr>
          <w:b/>
          <w:bCs/>
          <w:smallCaps/>
          <w:color w:val="1F497D"/>
          <w:spacing w:val="5"/>
          <w:u w:val="single"/>
        </w:rPr>
      </w:pPr>
      <w:bookmarkStart w:id="83" w:name="_Toc513811499"/>
      <w:bookmarkStart w:id="84" w:name="_Toc313526639"/>
      <w:bookmarkStart w:id="85" w:name="_Toc313526780"/>
      <w:bookmarkStart w:id="86" w:name="_Toc313526834"/>
      <w:bookmarkStart w:id="87" w:name="_Toc313526920"/>
      <w:bookmarkStart w:id="88" w:name="_Toc313527009"/>
      <w:bookmarkStart w:id="89"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7F4B58">
        <w:rPr>
          <w:b/>
          <w:bCs/>
          <w:smallCaps/>
          <w:color w:val="1F497D"/>
          <w:spacing w:val="5"/>
          <w:u w:val="single"/>
        </w:rPr>
        <w:t>81 – 13 March 2018</w:t>
      </w:r>
      <w:bookmarkEnd w:id="83"/>
    </w:p>
    <w:p w:rsidR="007F4B58" w:rsidRPr="007F4B58" w:rsidRDefault="007F4B58" w:rsidP="007F4B58">
      <w:pPr>
        <w:jc w:val="both"/>
        <w:rPr>
          <w:rFonts w:cs="Arial"/>
        </w:rPr>
      </w:pPr>
      <w:r w:rsidRPr="007F4B58">
        <w:rPr>
          <w:rFonts w:cs="Arial"/>
        </w:rPr>
        <w:t xml:space="preserve">Proposer delivered a </w:t>
      </w:r>
      <w:hyperlink r:id="rId15" w:history="1">
        <w:r w:rsidRPr="007F4B58">
          <w:rPr>
            <w:rStyle w:val="Hyperlink"/>
            <w:rFonts w:cs="Arial"/>
          </w:rPr>
          <w:t>presentation</w:t>
        </w:r>
      </w:hyperlink>
      <w:r w:rsidRPr="007F4B58">
        <w:rPr>
          <w:rFonts w:cs="Arial"/>
        </w:rPr>
        <w:t xml:space="preserve"> summarising the requirement for this proposal. Proposer advised that this earlier publication meets the existing timeline (i.e. the systems are currently set up for daily publication) however, SEMOs preference is to make this an explicit obligation in the Code to align with the systems, for clarity and also so that SEMO will be obliged under the Code itself to adhere to the daily timelines if this Modification is implemented.</w:t>
      </w:r>
    </w:p>
    <w:p w:rsidR="007F4B58" w:rsidRPr="007F4B58" w:rsidRDefault="007F4B58" w:rsidP="007F4B58">
      <w:pPr>
        <w:jc w:val="both"/>
        <w:rPr>
          <w:rFonts w:cs="Arial"/>
          <w:b/>
          <w:bCs/>
          <w:i/>
          <w:iCs/>
        </w:rPr>
      </w:pPr>
      <w:r w:rsidRPr="007F4B58">
        <w:rPr>
          <w:rFonts w:cs="Arial"/>
        </w:rPr>
        <w:t>Committee were in agreement to vote on this proposal.</w:t>
      </w:r>
      <w:r>
        <w:rPr>
          <w:rFonts w:cs="Arial"/>
        </w:rPr>
        <w:t xml:space="preserve"> The proposal was recommended for approval.</w:t>
      </w:r>
    </w:p>
    <w:p w:rsidR="0032219B" w:rsidRPr="003D3D96" w:rsidRDefault="0032219B"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90" w:name="_Toc513811500"/>
      <w:r w:rsidRPr="003D3D96">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4"/>
      <w:bookmarkEnd w:id="85"/>
      <w:bookmarkEnd w:id="86"/>
      <w:bookmarkEnd w:id="87"/>
      <w:bookmarkEnd w:id="88"/>
      <w:bookmarkEnd w:id="89"/>
      <w:bookmarkEnd w:id="90"/>
    </w:p>
    <w:p w:rsidR="00815087" w:rsidRDefault="00815087" w:rsidP="00815087">
      <w:r w:rsidRPr="00815087">
        <w:t>As set out in Appendix 1.</w:t>
      </w:r>
    </w:p>
    <w:p w:rsidR="007F4B58" w:rsidRPr="00815087" w:rsidRDefault="007F4B58" w:rsidP="007F4B58">
      <w:pPr>
        <w:ind w:firstLine="720"/>
        <w:rPr>
          <w:ins w:id="98" w:author="Author"/>
        </w:rPr>
      </w:pPr>
    </w:p>
    <w:p w:rsidR="00132649" w:rsidRPr="003D3D96" w:rsidRDefault="00132649" w:rsidP="00AD60CD">
      <w:pPr>
        <w:pStyle w:val="Heading1"/>
        <w:pageBreakBefore w:val="0"/>
        <w:numPr>
          <w:ilvl w:val="0"/>
          <w:numId w:val="12"/>
        </w:numPr>
        <w:rPr>
          <w:bCs w:val="0"/>
          <w:smallCaps/>
          <w:lang w:eastAsia="en-GB"/>
        </w:rPr>
      </w:pPr>
      <w:bookmarkStart w:id="99" w:name="_Toc513811501"/>
      <w:r w:rsidRPr="003D3D96">
        <w:rPr>
          <w:bCs w:val="0"/>
          <w:smallCaps/>
          <w:lang w:eastAsia="en-GB"/>
        </w:rPr>
        <w:lastRenderedPageBreak/>
        <w:t>LEGAL REVIEW</w:t>
      </w:r>
      <w:bookmarkEnd w:id="91"/>
      <w:bookmarkEnd w:id="92"/>
      <w:bookmarkEnd w:id="93"/>
      <w:bookmarkEnd w:id="94"/>
      <w:bookmarkEnd w:id="95"/>
      <w:bookmarkEnd w:id="96"/>
      <w:bookmarkEnd w:id="97"/>
      <w:bookmarkEnd w:id="99"/>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513811502"/>
      <w:r w:rsidRPr="003D3D96">
        <w:rPr>
          <w:lang w:eastAsia="en-GB"/>
        </w:rPr>
        <w:t>IMPLEMENTATION TIMESCALE</w:t>
      </w:r>
      <w:bookmarkEnd w:id="100"/>
      <w:bookmarkEnd w:id="101"/>
      <w:bookmarkEnd w:id="102"/>
      <w:bookmarkEnd w:id="103"/>
      <w:bookmarkEnd w:id="104"/>
      <w:bookmarkEnd w:id="105"/>
      <w:bookmarkEnd w:id="106"/>
    </w:p>
    <w:p w:rsidR="00867146" w:rsidRDefault="00867146" w:rsidP="00F02B92">
      <w:pPr>
        <w:jc w:val="both"/>
        <w:rPr>
          <w:lang w:val="en-IE"/>
        </w:rPr>
      </w:pPr>
      <w:r w:rsidRPr="002A4BF1">
        <w:rPr>
          <w:lang w:val="en-IE"/>
        </w:rPr>
        <w:t xml:space="preserve">It is proposed that this Modification is implemented on a </w:t>
      </w:r>
      <w:r w:rsidR="002A4BF1" w:rsidRPr="002A4BF1">
        <w:rPr>
          <w:lang w:val="en-IE"/>
        </w:rPr>
        <w:t>Settlement</w:t>
      </w:r>
      <w:r w:rsidRPr="002A4BF1">
        <w:rPr>
          <w:lang w:val="en-IE"/>
        </w:rPr>
        <w:t xml:space="preserve"> Day basis with effect from one Working Day after an RA Decision</w:t>
      </w:r>
      <w:r w:rsidR="007F4B58" w:rsidRPr="002A4BF1">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7F4B58">
      <w:pPr>
        <w:pStyle w:val="Heading1"/>
        <w:pBdr>
          <w:left w:val="single" w:sz="24" w:space="2" w:color="4F81BD"/>
        </w:pBdr>
        <w:rPr>
          <w:rFonts w:ascii="Calibri" w:hAnsi="Calibri" w:cs="Arial"/>
          <w:color w:val="FFFFFF" w:themeColor="background1"/>
          <w:lang w:val="en-IE"/>
        </w:rPr>
      </w:pPr>
      <w:bookmarkStart w:id="107" w:name="_Toc359934986"/>
      <w:bookmarkStart w:id="108" w:name="_Toc380138275"/>
      <w:bookmarkStart w:id="109" w:name="_Toc513811503"/>
      <w:r w:rsidRPr="003D3D96">
        <w:rPr>
          <w:lang w:eastAsia="en-GB"/>
        </w:rPr>
        <w:lastRenderedPageBreak/>
        <w:t xml:space="preserve">Appendix 1: </w:t>
      </w:r>
      <w:bookmarkEnd w:id="107"/>
      <w:bookmarkEnd w:id="108"/>
      <w:r w:rsidR="00EE2B02">
        <w:rPr>
          <w:lang w:eastAsia="en-GB"/>
        </w:rPr>
        <w:t xml:space="preserve"> Mod_10_18</w:t>
      </w:r>
      <w:r w:rsidR="00B50824">
        <w:rPr>
          <w:lang w:eastAsia="en-GB"/>
        </w:rPr>
        <w:t xml:space="preserve"> </w:t>
      </w:r>
      <w:r w:rsidR="00EE2B02" w:rsidRPr="00EE2B02">
        <w:rPr>
          <w:rFonts w:ascii="Calibri" w:hAnsi="Calibri" w:cs="Arial"/>
          <w:color w:val="FFFFFF" w:themeColor="background1"/>
          <w:lang w:val="en-IE"/>
        </w:rPr>
        <w:t>Amendment to Capacity Settlement Statement Publication from Monthly to Daily</w:t>
      </w:r>
      <w:bookmarkEnd w:id="10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806"/>
      </w:tblGrid>
      <w:tr w:rsidR="00EE2B02" w:rsidRPr="004C53E7" w:rsidTr="00EE2B02">
        <w:tc>
          <w:tcPr>
            <w:tcW w:w="9738" w:type="dxa"/>
            <w:gridSpan w:val="6"/>
            <w:shd w:val="clear" w:color="auto" w:fill="548DD4"/>
            <w:vAlign w:val="center"/>
          </w:tcPr>
          <w:p w:rsidR="00EE2B02" w:rsidRPr="004C53E7" w:rsidRDefault="00EE2B02" w:rsidP="00BD466E">
            <w:pPr>
              <w:jc w:val="center"/>
              <w:rPr>
                <w:rFonts w:ascii="Calibri" w:hAnsi="Calibri" w:cs="Arial"/>
                <w:lang w:val="en-IE"/>
              </w:rPr>
            </w:pPr>
          </w:p>
          <w:p w:rsidR="00EE2B02" w:rsidRPr="004C53E7" w:rsidRDefault="00EE2B02" w:rsidP="00BD466E">
            <w:pPr>
              <w:jc w:val="center"/>
              <w:rPr>
                <w:rFonts w:ascii="Calibri" w:hAnsi="Calibri" w:cs="Arial"/>
                <w:lang w:val="en-IE"/>
              </w:rPr>
            </w:pPr>
            <w:r w:rsidRPr="004C53E7">
              <w:rPr>
                <w:rFonts w:ascii="Calibri" w:hAnsi="Calibri" w:cs="Arial"/>
                <w:b/>
                <w:lang w:val="en-IE"/>
              </w:rPr>
              <w:t>MODIFICATION PROPOSAL FORM</w:t>
            </w:r>
          </w:p>
          <w:p w:rsidR="00EE2B02" w:rsidRPr="004C53E7" w:rsidRDefault="00EE2B02" w:rsidP="00BD466E">
            <w:pPr>
              <w:jc w:val="center"/>
              <w:rPr>
                <w:rFonts w:ascii="Calibri" w:hAnsi="Calibri" w:cs="Arial"/>
                <w:lang w:val="en-IE"/>
              </w:rPr>
            </w:pPr>
          </w:p>
        </w:tc>
      </w:tr>
      <w:tr w:rsidR="00EE2B02" w:rsidRPr="004C53E7" w:rsidTr="00EE2B02">
        <w:tc>
          <w:tcPr>
            <w:tcW w:w="2088" w:type="dxa"/>
            <w:vAlign w:val="center"/>
          </w:tcPr>
          <w:p w:rsidR="00EE2B02" w:rsidRPr="004C53E7" w:rsidRDefault="00EE2B02" w:rsidP="00BD466E">
            <w:pPr>
              <w:jc w:val="center"/>
              <w:rPr>
                <w:rFonts w:cs="Arial"/>
                <w:b/>
                <w:bCs/>
                <w:sz w:val="18"/>
                <w:szCs w:val="18"/>
                <w:lang w:val="en-IE"/>
              </w:rPr>
            </w:pPr>
            <w:r w:rsidRPr="004C53E7">
              <w:rPr>
                <w:rFonts w:cs="Arial"/>
                <w:b/>
                <w:bCs/>
                <w:sz w:val="18"/>
                <w:szCs w:val="18"/>
                <w:lang w:val="en-IE"/>
              </w:rPr>
              <w:t>Proposer</w:t>
            </w:r>
          </w:p>
          <w:p w:rsidR="00EE2B02" w:rsidRPr="004C53E7" w:rsidRDefault="00EE2B02" w:rsidP="00BD466E">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Date of receipt</w:t>
            </w:r>
          </w:p>
          <w:p w:rsidR="00EE2B02" w:rsidRPr="004C53E7" w:rsidRDefault="00EE2B02" w:rsidP="00BD466E">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Type of Proposal</w:t>
            </w:r>
          </w:p>
          <w:p w:rsidR="00EE2B02" w:rsidRPr="004C53E7" w:rsidRDefault="00EE2B02" w:rsidP="00BD466E">
            <w:pPr>
              <w:jc w:val="center"/>
              <w:rPr>
                <w:rFonts w:ascii="Calibri" w:hAnsi="Calibri" w:cs="Arial"/>
                <w:lang w:val="en-IE"/>
              </w:rPr>
            </w:pPr>
            <w:r w:rsidRPr="004C53E7">
              <w:rPr>
                <w:rFonts w:ascii="Calibri" w:hAnsi="Calibri" w:cs="Arial"/>
                <w:bCs/>
                <w:i/>
                <w:lang w:val="en-IE"/>
              </w:rPr>
              <w:t>(delete as appropriate)</w:t>
            </w:r>
          </w:p>
        </w:tc>
        <w:tc>
          <w:tcPr>
            <w:tcW w:w="2806" w:type="dxa"/>
            <w:vAlign w:val="center"/>
          </w:tcPr>
          <w:p w:rsidR="00EE2B02" w:rsidRPr="004C53E7" w:rsidRDefault="00EE2B02" w:rsidP="00BD466E">
            <w:pPr>
              <w:jc w:val="center"/>
              <w:rPr>
                <w:rFonts w:ascii="Calibri" w:hAnsi="Calibri" w:cs="Arial"/>
                <w:color w:val="000000"/>
                <w:lang w:val="en-IE"/>
              </w:rPr>
            </w:pPr>
            <w:r w:rsidRPr="004C53E7">
              <w:rPr>
                <w:rFonts w:ascii="Calibri" w:hAnsi="Calibri" w:cs="Arial"/>
                <w:b/>
                <w:bCs/>
                <w:color w:val="000000"/>
                <w:lang w:val="en-IE"/>
              </w:rPr>
              <w:t>Modification Proposal ID</w:t>
            </w:r>
          </w:p>
          <w:p w:rsidR="00EE2B02" w:rsidRPr="004C53E7" w:rsidRDefault="00EE2B02" w:rsidP="00BD466E">
            <w:pPr>
              <w:jc w:val="center"/>
              <w:rPr>
                <w:rFonts w:ascii="Calibri" w:hAnsi="Calibri" w:cs="Arial"/>
                <w:lang w:val="en-IE"/>
              </w:rPr>
            </w:pPr>
            <w:r w:rsidRPr="004C53E7">
              <w:rPr>
                <w:rFonts w:ascii="Calibri" w:hAnsi="Calibri" w:cs="Arial"/>
                <w:i/>
                <w:lang w:val="en-IE"/>
              </w:rPr>
              <w:t>(assigned by Secretariat)</w:t>
            </w:r>
          </w:p>
        </w:tc>
      </w:tr>
      <w:tr w:rsidR="00EE2B02" w:rsidRPr="004C53E7" w:rsidTr="00EE2B02">
        <w:tc>
          <w:tcPr>
            <w:tcW w:w="2088" w:type="dxa"/>
            <w:vAlign w:val="center"/>
          </w:tcPr>
          <w:p w:rsidR="00EE2B02" w:rsidRPr="004C53E7" w:rsidRDefault="00EE2B02" w:rsidP="00BD466E">
            <w:pPr>
              <w:jc w:val="center"/>
              <w:rPr>
                <w:rFonts w:ascii="Calibri" w:hAnsi="Calibri" w:cs="Arial"/>
                <w:b/>
                <w:lang w:val="en-IE"/>
              </w:rPr>
            </w:pPr>
            <w:r>
              <w:rPr>
                <w:rFonts w:ascii="Calibri" w:hAnsi="Calibri" w:cs="Arial"/>
                <w:b/>
                <w:lang w:val="en-IE"/>
              </w:rPr>
              <w:t>SEMO</w:t>
            </w:r>
          </w:p>
        </w:tc>
        <w:tc>
          <w:tcPr>
            <w:tcW w:w="2533" w:type="dxa"/>
            <w:gridSpan w:val="2"/>
            <w:vAlign w:val="center"/>
          </w:tcPr>
          <w:p w:rsidR="00EE2B02" w:rsidRPr="004C53E7" w:rsidRDefault="00EE2B02" w:rsidP="00BD466E">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EE2B02" w:rsidRPr="004C53E7" w:rsidRDefault="00EE2B02" w:rsidP="00BD466E">
            <w:pPr>
              <w:jc w:val="center"/>
              <w:rPr>
                <w:rFonts w:ascii="Calibri" w:hAnsi="Calibri" w:cs="Arial"/>
                <w:b/>
                <w:lang w:val="en-IE"/>
              </w:rPr>
            </w:pPr>
            <w:r>
              <w:rPr>
                <w:rFonts w:ascii="Calibri" w:hAnsi="Calibri" w:cs="Arial"/>
                <w:b/>
                <w:lang w:val="en-IE"/>
              </w:rPr>
              <w:t>Standard</w:t>
            </w:r>
          </w:p>
        </w:tc>
        <w:tc>
          <w:tcPr>
            <w:tcW w:w="2806" w:type="dxa"/>
            <w:vAlign w:val="center"/>
          </w:tcPr>
          <w:p w:rsidR="00EE2B02" w:rsidRPr="004C53E7" w:rsidRDefault="00EE2B02" w:rsidP="00BD466E">
            <w:pPr>
              <w:jc w:val="center"/>
              <w:rPr>
                <w:rFonts w:ascii="Calibri" w:hAnsi="Calibri" w:cs="Arial"/>
                <w:b/>
                <w:lang w:val="en-IE"/>
              </w:rPr>
            </w:pPr>
            <w:r>
              <w:rPr>
                <w:rFonts w:ascii="Calibri" w:hAnsi="Calibri" w:cs="Arial"/>
                <w:b/>
                <w:lang w:val="en-IE"/>
              </w:rPr>
              <w:t>Mod_10_18</w:t>
            </w:r>
          </w:p>
        </w:tc>
      </w:tr>
      <w:tr w:rsidR="00EE2B02" w:rsidRPr="004C53E7" w:rsidTr="00EE2B02">
        <w:trPr>
          <w:trHeight w:val="467"/>
        </w:trPr>
        <w:tc>
          <w:tcPr>
            <w:tcW w:w="9738" w:type="dxa"/>
            <w:gridSpan w:val="6"/>
            <w:shd w:val="clear" w:color="auto" w:fill="C6D9F1"/>
            <w:vAlign w:val="center"/>
          </w:tcPr>
          <w:p w:rsidR="00EE2B02" w:rsidRPr="004C53E7" w:rsidRDefault="00EE2B02" w:rsidP="00BD466E">
            <w:pPr>
              <w:jc w:val="center"/>
              <w:rPr>
                <w:rFonts w:ascii="Calibri" w:hAnsi="Calibri" w:cs="Arial"/>
                <w:lang w:val="en-IE"/>
              </w:rPr>
            </w:pPr>
            <w:r w:rsidRPr="004C53E7">
              <w:rPr>
                <w:rFonts w:ascii="Calibri" w:hAnsi="Calibri" w:cs="Arial"/>
                <w:b/>
                <w:bCs/>
                <w:lang w:val="en-IE"/>
              </w:rPr>
              <w:t>Contact Details for Modification Proposal Originator</w:t>
            </w:r>
          </w:p>
        </w:tc>
      </w:tr>
      <w:tr w:rsidR="00EE2B02" w:rsidRPr="004C53E7" w:rsidTr="00EE2B02">
        <w:tc>
          <w:tcPr>
            <w:tcW w:w="2943" w:type="dxa"/>
            <w:gridSpan w:val="2"/>
            <w:vAlign w:val="center"/>
          </w:tcPr>
          <w:p w:rsidR="00EE2B02" w:rsidRPr="004C53E7" w:rsidRDefault="00EE2B02" w:rsidP="00BD466E">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EE2B02" w:rsidRPr="004C53E7" w:rsidRDefault="00EE2B02" w:rsidP="00BD466E">
            <w:pPr>
              <w:jc w:val="center"/>
              <w:rPr>
                <w:rFonts w:ascii="Calibri" w:hAnsi="Calibri" w:cs="Arial"/>
                <w:lang w:val="en-IE"/>
              </w:rPr>
            </w:pPr>
            <w:r w:rsidRPr="004C53E7">
              <w:rPr>
                <w:rFonts w:ascii="Calibri" w:hAnsi="Calibri" w:cs="Arial"/>
                <w:b/>
                <w:bCs/>
                <w:lang w:val="en-IE"/>
              </w:rPr>
              <w:t>Telephone number</w:t>
            </w:r>
          </w:p>
        </w:tc>
        <w:tc>
          <w:tcPr>
            <w:tcW w:w="3870" w:type="dxa"/>
            <w:gridSpan w:val="2"/>
            <w:vAlign w:val="center"/>
          </w:tcPr>
          <w:p w:rsidR="00EE2B02" w:rsidRPr="004C53E7" w:rsidRDefault="00EE2B02" w:rsidP="00BD466E">
            <w:pPr>
              <w:jc w:val="center"/>
              <w:rPr>
                <w:rFonts w:ascii="Calibri" w:hAnsi="Calibri" w:cs="Arial"/>
                <w:lang w:val="en-IE"/>
              </w:rPr>
            </w:pPr>
            <w:r w:rsidRPr="004C53E7">
              <w:rPr>
                <w:rFonts w:ascii="Calibri" w:hAnsi="Calibri" w:cs="Arial"/>
                <w:b/>
                <w:bCs/>
                <w:lang w:val="en-IE"/>
              </w:rPr>
              <w:t>Email address</w:t>
            </w:r>
          </w:p>
        </w:tc>
      </w:tr>
      <w:tr w:rsidR="00EE2B02" w:rsidRPr="004C53E7" w:rsidTr="00EE2B02">
        <w:tc>
          <w:tcPr>
            <w:tcW w:w="2943" w:type="dxa"/>
            <w:gridSpan w:val="2"/>
            <w:vAlign w:val="center"/>
          </w:tcPr>
          <w:p w:rsidR="00EE2B02" w:rsidRPr="004C53E7" w:rsidRDefault="00EE2B02" w:rsidP="00BD466E">
            <w:pPr>
              <w:rPr>
                <w:rFonts w:ascii="Calibri" w:hAnsi="Calibri" w:cs="Arial"/>
                <w:b/>
                <w:lang w:val="en-IE"/>
              </w:rPr>
            </w:pPr>
            <w:r>
              <w:rPr>
                <w:rFonts w:ascii="Calibri" w:hAnsi="Calibri" w:cs="Arial"/>
                <w:b/>
                <w:lang w:val="en-IE"/>
              </w:rPr>
              <w:t>Christopher Goodman</w:t>
            </w:r>
          </w:p>
        </w:tc>
        <w:tc>
          <w:tcPr>
            <w:tcW w:w="2925" w:type="dxa"/>
            <w:gridSpan w:val="2"/>
            <w:vAlign w:val="center"/>
          </w:tcPr>
          <w:p w:rsidR="00EE2B02" w:rsidRPr="004C53E7" w:rsidRDefault="00EE2B02" w:rsidP="00BD466E">
            <w:pPr>
              <w:rPr>
                <w:rFonts w:ascii="Calibri" w:hAnsi="Calibri" w:cs="Arial"/>
                <w:b/>
                <w:lang w:val="en-IE"/>
              </w:rPr>
            </w:pPr>
          </w:p>
        </w:tc>
        <w:tc>
          <w:tcPr>
            <w:tcW w:w="3870" w:type="dxa"/>
            <w:gridSpan w:val="2"/>
            <w:vAlign w:val="center"/>
          </w:tcPr>
          <w:p w:rsidR="00EE2B02" w:rsidRPr="004C53E7" w:rsidRDefault="00EE2B02" w:rsidP="00BD466E">
            <w:pPr>
              <w:rPr>
                <w:rFonts w:ascii="Calibri" w:hAnsi="Calibri" w:cs="Arial"/>
                <w:b/>
                <w:lang w:val="en-IE"/>
              </w:rPr>
            </w:pPr>
            <w:r>
              <w:rPr>
                <w:rFonts w:ascii="Calibri" w:hAnsi="Calibri" w:cs="Arial"/>
                <w:b/>
                <w:lang w:val="en-IE"/>
              </w:rPr>
              <w:t>Christopher.Goodman@sem-o.com</w:t>
            </w:r>
          </w:p>
        </w:tc>
      </w:tr>
      <w:tr w:rsidR="00EE2B02" w:rsidRPr="004C53E7" w:rsidTr="00EE2B02">
        <w:trPr>
          <w:trHeight w:val="327"/>
        </w:trPr>
        <w:tc>
          <w:tcPr>
            <w:tcW w:w="9738" w:type="dxa"/>
            <w:gridSpan w:val="6"/>
            <w:shd w:val="clear" w:color="auto" w:fill="C6D9F1"/>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Modification Proposal Title</w:t>
            </w:r>
          </w:p>
        </w:tc>
      </w:tr>
      <w:tr w:rsidR="00EE2B02" w:rsidRPr="004C53E7" w:rsidTr="00EE2B02">
        <w:trPr>
          <w:trHeight w:val="323"/>
        </w:trPr>
        <w:tc>
          <w:tcPr>
            <w:tcW w:w="9738" w:type="dxa"/>
            <w:gridSpan w:val="6"/>
            <w:vAlign w:val="center"/>
          </w:tcPr>
          <w:p w:rsidR="00EE2B02" w:rsidRPr="004C53E7" w:rsidRDefault="00EE2B02" w:rsidP="00BD466E">
            <w:pPr>
              <w:spacing w:line="480" w:lineRule="auto"/>
              <w:rPr>
                <w:rFonts w:ascii="Calibri" w:hAnsi="Calibri" w:cs="Arial"/>
                <w:b/>
                <w:bCs/>
                <w:color w:val="000000"/>
                <w:lang w:val="en-IE"/>
              </w:rPr>
            </w:pPr>
            <w:r>
              <w:rPr>
                <w:rFonts w:ascii="Calibri" w:hAnsi="Calibri" w:cs="Arial"/>
                <w:b/>
                <w:bCs/>
                <w:color w:val="000000"/>
                <w:lang w:val="en-IE"/>
              </w:rPr>
              <w:t>Amendment to Capacity Settlement Statement Publication from Monthly to Daily</w:t>
            </w:r>
          </w:p>
        </w:tc>
      </w:tr>
      <w:tr w:rsidR="00EE2B02" w:rsidRPr="004C53E7" w:rsidTr="00EE2B02">
        <w:tc>
          <w:tcPr>
            <w:tcW w:w="2943" w:type="dxa"/>
            <w:gridSpan w:val="2"/>
            <w:shd w:val="clear" w:color="auto" w:fill="C6D9F1"/>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Documents affected</w:t>
            </w:r>
          </w:p>
          <w:p w:rsidR="00EE2B02" w:rsidRPr="004C53E7" w:rsidRDefault="00EE2B02" w:rsidP="00BD466E">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EE2B02" w:rsidRPr="004C53E7" w:rsidRDefault="00EE2B02" w:rsidP="00BD466E">
            <w:pPr>
              <w:jc w:val="center"/>
              <w:rPr>
                <w:rStyle w:val="IntenseEmphasis"/>
                <w:lang w:val="en-IE"/>
              </w:rPr>
            </w:pPr>
            <w:r w:rsidRPr="004C53E7">
              <w:rPr>
                <w:rFonts w:ascii="Calibri" w:hAnsi="Calibri" w:cs="Arial"/>
                <w:b/>
                <w:bCs/>
                <w:lang w:val="en-IE"/>
              </w:rPr>
              <w:t>Section(s) Affected</w:t>
            </w:r>
          </w:p>
        </w:tc>
        <w:tc>
          <w:tcPr>
            <w:tcW w:w="3870" w:type="dxa"/>
            <w:gridSpan w:val="2"/>
            <w:shd w:val="clear" w:color="auto" w:fill="C6D9F1"/>
            <w:vAlign w:val="center"/>
          </w:tcPr>
          <w:p w:rsidR="00EE2B02" w:rsidRPr="004C53E7" w:rsidRDefault="00EE2B02" w:rsidP="00BD466E">
            <w:pPr>
              <w:jc w:val="center"/>
              <w:rPr>
                <w:rStyle w:val="IntenseEmphasis"/>
                <w:lang w:val="en-IE"/>
              </w:rPr>
            </w:pPr>
            <w:r w:rsidRPr="004C53E7">
              <w:rPr>
                <w:rFonts w:ascii="Calibri" w:hAnsi="Calibri" w:cs="Arial"/>
                <w:b/>
                <w:lang w:val="en-IE"/>
              </w:rPr>
              <w:t>Version number of T&amp;SC or AP used in Drafting</w:t>
            </w:r>
          </w:p>
        </w:tc>
      </w:tr>
      <w:tr w:rsidR="00EE2B02" w:rsidRPr="004C53E7" w:rsidTr="00EE2B02">
        <w:tc>
          <w:tcPr>
            <w:tcW w:w="2943" w:type="dxa"/>
            <w:gridSpan w:val="2"/>
            <w:shd w:val="clear" w:color="auto" w:fill="FFFFFF"/>
            <w:vAlign w:val="center"/>
          </w:tcPr>
          <w:p w:rsidR="00EE2B02" w:rsidRDefault="00EE2B02" w:rsidP="00BD466E">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EE2B02" w:rsidRDefault="00EE2B02" w:rsidP="00BD466E">
            <w:pPr>
              <w:jc w:val="center"/>
              <w:rPr>
                <w:rFonts w:ascii="Calibri" w:hAnsi="Calibri" w:cs="Arial"/>
                <w:b/>
                <w:lang w:val="en-IE"/>
              </w:rPr>
            </w:pPr>
            <w:r>
              <w:rPr>
                <w:rFonts w:ascii="Calibri" w:hAnsi="Calibri" w:cs="Arial"/>
                <w:b/>
                <w:lang w:val="en-IE"/>
              </w:rPr>
              <w:t>Appendices Part B</w:t>
            </w:r>
          </w:p>
          <w:p w:rsidR="00EE2B02" w:rsidRPr="004C53E7" w:rsidDel="00476388" w:rsidRDefault="00EE2B02" w:rsidP="00BD466E">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tc>
        <w:tc>
          <w:tcPr>
            <w:tcW w:w="2925" w:type="dxa"/>
            <w:gridSpan w:val="2"/>
            <w:vAlign w:val="center"/>
          </w:tcPr>
          <w:p w:rsidR="00EE2B02" w:rsidRDefault="00EE2B02" w:rsidP="00BD466E">
            <w:pPr>
              <w:jc w:val="center"/>
              <w:rPr>
                <w:rFonts w:ascii="Calibri" w:hAnsi="Calibri" w:cs="Arial"/>
                <w:b/>
                <w:lang w:val="en-IE"/>
              </w:rPr>
            </w:pPr>
            <w:r>
              <w:rPr>
                <w:rFonts w:ascii="Calibri" w:hAnsi="Calibri" w:cs="Arial"/>
                <w:b/>
                <w:lang w:val="en-IE"/>
              </w:rPr>
              <w:t>Part B section G.2.5.2</w:t>
            </w:r>
          </w:p>
          <w:p w:rsidR="00EE2B02" w:rsidRDefault="00EE2B02" w:rsidP="00BD466E">
            <w:pPr>
              <w:rPr>
                <w:rFonts w:ascii="Calibri" w:hAnsi="Calibri" w:cs="Arial"/>
                <w:b/>
                <w:lang w:val="en-IE"/>
              </w:rPr>
            </w:pPr>
          </w:p>
          <w:p w:rsidR="00EE2B02" w:rsidRDefault="00EE2B02" w:rsidP="00BD466E">
            <w:pPr>
              <w:jc w:val="center"/>
              <w:rPr>
                <w:rFonts w:ascii="Calibri" w:hAnsi="Calibri" w:cs="Arial"/>
                <w:b/>
                <w:lang w:val="en-IE"/>
              </w:rPr>
            </w:pPr>
            <w:r>
              <w:rPr>
                <w:rFonts w:ascii="Calibri" w:hAnsi="Calibri" w:cs="Arial"/>
                <w:b/>
                <w:lang w:val="en-IE"/>
              </w:rPr>
              <w:t>Part B Agreed Procedure 15 section 3.2 (Table and Swimlanes)</w:t>
            </w:r>
          </w:p>
          <w:p w:rsidR="00EE2B02" w:rsidRPr="004C53E7" w:rsidRDefault="00EE2B02" w:rsidP="00BD466E">
            <w:pPr>
              <w:jc w:val="center"/>
              <w:rPr>
                <w:rFonts w:ascii="Calibri" w:hAnsi="Calibri" w:cs="Arial"/>
                <w:b/>
                <w:lang w:val="en-IE"/>
              </w:rPr>
            </w:pPr>
          </w:p>
        </w:tc>
        <w:tc>
          <w:tcPr>
            <w:tcW w:w="3870" w:type="dxa"/>
            <w:gridSpan w:val="2"/>
            <w:vAlign w:val="center"/>
          </w:tcPr>
          <w:p w:rsidR="00EE2B02" w:rsidRPr="004C53E7" w:rsidRDefault="00EE2B02" w:rsidP="00BD466E">
            <w:pPr>
              <w:jc w:val="center"/>
              <w:rPr>
                <w:rFonts w:ascii="Calibri" w:hAnsi="Calibri" w:cs="Arial"/>
                <w:b/>
                <w:lang w:val="en-IE"/>
              </w:rPr>
            </w:pPr>
            <w:r>
              <w:rPr>
                <w:rFonts w:ascii="Calibri" w:hAnsi="Calibri" w:cs="Arial"/>
                <w:b/>
                <w:lang w:val="en-IE"/>
              </w:rPr>
              <w:t>Version 20</w:t>
            </w:r>
          </w:p>
        </w:tc>
      </w:tr>
      <w:tr w:rsidR="00EE2B02" w:rsidRPr="004C53E7" w:rsidTr="00EE2B02">
        <w:trPr>
          <w:trHeight w:val="375"/>
        </w:trPr>
        <w:tc>
          <w:tcPr>
            <w:tcW w:w="9738" w:type="dxa"/>
            <w:gridSpan w:val="6"/>
            <w:shd w:val="clear" w:color="auto" w:fill="C6D9F1"/>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Explanation of Proposed Change</w:t>
            </w:r>
          </w:p>
          <w:p w:rsidR="00EE2B02" w:rsidRPr="004C53E7" w:rsidRDefault="00EE2B02" w:rsidP="00BD466E">
            <w:pPr>
              <w:jc w:val="center"/>
              <w:rPr>
                <w:rFonts w:ascii="Calibri" w:hAnsi="Calibri" w:cs="Arial"/>
                <w:lang w:val="en-IE"/>
              </w:rPr>
            </w:pPr>
            <w:r w:rsidRPr="004C53E7">
              <w:rPr>
                <w:rFonts w:ascii="Calibri" w:hAnsi="Calibri"/>
                <w:i/>
                <w:spacing w:val="-3"/>
                <w:lang w:val="en-IE"/>
              </w:rPr>
              <w:t>(mandatory by originator)</w:t>
            </w:r>
          </w:p>
        </w:tc>
      </w:tr>
      <w:tr w:rsidR="00EE2B02" w:rsidRPr="004C53E7" w:rsidTr="00EE2B02">
        <w:trPr>
          <w:trHeight w:val="467"/>
        </w:trPr>
        <w:tc>
          <w:tcPr>
            <w:tcW w:w="9738" w:type="dxa"/>
            <w:gridSpan w:val="6"/>
            <w:vAlign w:val="center"/>
          </w:tcPr>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This proposal seeks to provide for daily publication of Capacity Settlement Statements where these are currently stated as being published on a monthly Capacity Period Basis.</w:t>
            </w:r>
          </w:p>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It is necessary for Capacity Payments and Charges to be calculated on a daily basis for credit calculations. As a result the ISEM systems have been designed to also publish the associated Settlement Statements on a daily basis. Since this is earlier provision of data it is appropriate to change the rules to reflect daily publication rather than change the systems to publish monthly.</w:t>
            </w:r>
          </w:p>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 xml:space="preserve">Although it could be argued that earlier publication still meets the existing month end obligations without changing </w:t>
            </w:r>
            <w:r>
              <w:rPr>
                <w:rFonts w:ascii="Calibri" w:hAnsi="Calibri" w:cs="Arial"/>
                <w:lang w:val="en-IE"/>
              </w:rPr>
              <w:lastRenderedPageBreak/>
              <w:t>the rules, SEMO are of the view that it is best to amend the rules to reflect daily publication of these reports for transparency. To leave the rules stating that publication is by a number of working days post month end and publish the information daily could potentially be misleading.</w:t>
            </w:r>
            <w:ins w:id="110" w:author="Author">
              <w:r>
                <w:rPr>
                  <w:rFonts w:ascii="Calibri" w:hAnsi="Calibri" w:cs="Arial"/>
                  <w:lang w:val="en-IE"/>
                </w:rPr>
                <w:t xml:space="preserve"> </w:t>
              </w:r>
            </w:ins>
          </w:p>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 xml:space="preserve">It’s worth noting that Settlement Statements for Capacity Settlement Reruns will still be issued as a single ‘batch’. </w:t>
            </w:r>
          </w:p>
          <w:p w:rsidR="00EE2B02" w:rsidRPr="004C53E7" w:rsidRDefault="00EE2B02" w:rsidP="00BD466E">
            <w:pPr>
              <w:rPr>
                <w:rFonts w:ascii="Calibri" w:hAnsi="Calibri" w:cs="Arial"/>
                <w:lang w:val="en-IE"/>
              </w:rPr>
            </w:pPr>
          </w:p>
        </w:tc>
      </w:tr>
      <w:tr w:rsidR="00EE2B02" w:rsidRPr="004C53E7" w:rsidDel="00404964" w:rsidTr="00EE2B02">
        <w:tc>
          <w:tcPr>
            <w:tcW w:w="9738" w:type="dxa"/>
            <w:gridSpan w:val="6"/>
            <w:shd w:val="clear" w:color="auto" w:fill="C6D9F1"/>
            <w:vAlign w:val="center"/>
          </w:tcPr>
          <w:p w:rsidR="00EE2B02" w:rsidRPr="004C53E7" w:rsidRDefault="00EE2B02" w:rsidP="00BD466E">
            <w:pPr>
              <w:jc w:val="center"/>
              <w:rPr>
                <w:rFonts w:ascii="Calibri" w:hAnsi="Calibri" w:cs="Arial"/>
                <w:iCs/>
                <w:lang w:val="en-IE"/>
              </w:rPr>
            </w:pPr>
            <w:r w:rsidRPr="004C53E7">
              <w:rPr>
                <w:rFonts w:ascii="Calibri" w:hAnsi="Calibri" w:cs="Arial"/>
                <w:b/>
                <w:bCs/>
                <w:iCs/>
                <w:lang w:val="en-IE"/>
              </w:rPr>
              <w:lastRenderedPageBreak/>
              <w:t>Legal Drafting Change</w:t>
            </w:r>
          </w:p>
          <w:p w:rsidR="00EE2B02" w:rsidRPr="004C53E7" w:rsidDel="00404964" w:rsidRDefault="00EE2B02" w:rsidP="00BD466E">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E2B02" w:rsidRPr="004C53E7" w:rsidDel="00404964" w:rsidTr="00EE2B02">
        <w:tc>
          <w:tcPr>
            <w:tcW w:w="9738" w:type="dxa"/>
            <w:gridSpan w:val="6"/>
            <w:vAlign w:val="center"/>
          </w:tcPr>
          <w:p w:rsidR="00EE2B02" w:rsidRDefault="00EE2B02" w:rsidP="00BD466E">
            <w:pPr>
              <w:pStyle w:val="CERLEVEL5"/>
              <w:rPr>
                <w:lang w:val="en-IE"/>
              </w:rPr>
            </w:pPr>
          </w:p>
          <w:p w:rsidR="00EE2B02" w:rsidRPr="00CC21DE" w:rsidRDefault="00EE2B02" w:rsidP="00BD466E">
            <w:pPr>
              <w:spacing w:before="120" w:after="120"/>
              <w:ind w:left="990" w:hanging="990"/>
              <w:jc w:val="both"/>
              <w:outlineLvl w:val="4"/>
              <w:rPr>
                <w:rFonts w:eastAsiaTheme="minorEastAsia"/>
                <w:sz w:val="22"/>
                <w:szCs w:val="22"/>
                <w:lang w:val="en-IE"/>
              </w:rPr>
            </w:pPr>
            <w:r>
              <w:rPr>
                <w:rFonts w:eastAsiaTheme="minorEastAsia"/>
                <w:sz w:val="22"/>
                <w:szCs w:val="22"/>
                <w:lang w:val="en-IE"/>
              </w:rPr>
              <w:t xml:space="preserve">G.2.5.2   </w:t>
            </w:r>
            <w:r w:rsidRPr="00CC21DE">
              <w:rPr>
                <w:rFonts w:eastAsiaTheme="minorEastAsia"/>
                <w:sz w:val="22"/>
                <w:szCs w:val="22"/>
                <w:lang w:val="en-IE"/>
              </w:rPr>
              <w:t xml:space="preserve">The Market Operator shall produce and issue documents for Capacity Payments and Capacity Charges in accordance with Appendix G “Settlement Statements, Settlement Reports and Settlement Documents” and the following: </w:t>
            </w:r>
          </w:p>
          <w:p w:rsidR="00EE2B02" w:rsidRPr="00CC21DE" w:rsidRDefault="00EE2B02" w:rsidP="00EE2B02">
            <w:pPr>
              <w:numPr>
                <w:ilvl w:val="4"/>
                <w:numId w:val="26"/>
              </w:numPr>
              <w:spacing w:before="120" w:after="120" w:line="240" w:lineRule="auto"/>
              <w:jc w:val="both"/>
              <w:rPr>
                <w:rFonts w:eastAsiaTheme="minorEastAsia"/>
                <w:sz w:val="22"/>
                <w:szCs w:val="22"/>
                <w:lang w:val="en-IE"/>
              </w:rPr>
            </w:pPr>
            <w:r w:rsidRPr="00CC21DE">
              <w:rPr>
                <w:rFonts w:eastAsiaTheme="minorEastAsia"/>
                <w:sz w:val="22"/>
                <w:szCs w:val="22"/>
                <w:lang w:val="en-IE"/>
              </w:rPr>
              <w:t>indicative Settlement Statements for Capacity Payments and Capacity Charges shall, in respect of each</w:t>
            </w:r>
            <w:ins w:id="111" w:author="Author">
              <w:r>
                <w:rPr>
                  <w:rFonts w:eastAsiaTheme="minorEastAsia"/>
                  <w:sz w:val="22"/>
                  <w:szCs w:val="22"/>
                  <w:lang w:val="en-IE"/>
                </w:rPr>
                <w:t xml:space="preserve"> Settlement Day within a</w:t>
              </w:r>
            </w:ins>
            <w:r w:rsidRPr="00CC21DE">
              <w:rPr>
                <w:rFonts w:eastAsiaTheme="minorEastAsia"/>
                <w:sz w:val="22"/>
                <w:szCs w:val="22"/>
                <w:lang w:val="en-IE"/>
              </w:rPr>
              <w:t xml:space="preserve"> Capacity Period, be produced and issued to all Participants in respect of their Units by 17:00 on </w:t>
            </w:r>
            <w:ins w:id="112" w:author="Author">
              <w:r>
                <w:rPr>
                  <w:rFonts w:eastAsiaTheme="minorEastAsia"/>
                  <w:sz w:val="22"/>
                  <w:szCs w:val="22"/>
                  <w:lang w:val="en-IE"/>
                </w:rPr>
                <w:t>Settlement Day</w:t>
              </w:r>
            </w:ins>
            <w:del w:id="113" w:author="Author">
              <w:r w:rsidRPr="00CC21DE" w:rsidDel="009D68BB">
                <w:rPr>
                  <w:rFonts w:eastAsiaTheme="minorEastAsia"/>
                  <w:sz w:val="22"/>
                  <w:szCs w:val="22"/>
                  <w:lang w:val="en-IE"/>
                </w:rPr>
                <w:delText>Capacity Period</w:delText>
              </w:r>
            </w:del>
            <w:r w:rsidRPr="00CC21DE">
              <w:rPr>
                <w:rFonts w:eastAsiaTheme="minorEastAsia"/>
                <w:sz w:val="22"/>
                <w:szCs w:val="22"/>
                <w:lang w:val="en-IE"/>
              </w:rPr>
              <w:t xml:space="preserve"> + </w:t>
            </w:r>
            <w:ins w:id="114" w:author="Author">
              <w:r>
                <w:rPr>
                  <w:rFonts w:eastAsiaTheme="minorEastAsia"/>
                  <w:sz w:val="22"/>
                  <w:szCs w:val="22"/>
                  <w:lang w:val="en-IE"/>
                </w:rPr>
                <w:t>1</w:t>
              </w:r>
            </w:ins>
            <w:del w:id="115" w:author="Author">
              <w:r w:rsidRPr="00CC21DE" w:rsidDel="009D68BB">
                <w:rPr>
                  <w:rFonts w:eastAsiaTheme="minorEastAsia"/>
                  <w:sz w:val="22"/>
                  <w:szCs w:val="22"/>
                  <w:lang w:val="en-IE"/>
                </w:rPr>
                <w:delText>3</w:delText>
              </w:r>
            </w:del>
            <w:r w:rsidRPr="00CC21DE">
              <w:rPr>
                <w:rFonts w:eastAsiaTheme="minorEastAsia"/>
                <w:sz w:val="22"/>
                <w:szCs w:val="22"/>
                <w:lang w:val="en-IE"/>
              </w:rPr>
              <w:t xml:space="preserve"> WD; </w:t>
            </w:r>
          </w:p>
          <w:p w:rsidR="00EE2B02" w:rsidRPr="00CC21DE" w:rsidRDefault="00EE2B02" w:rsidP="00EE2B02">
            <w:pPr>
              <w:numPr>
                <w:ilvl w:val="4"/>
                <w:numId w:val="26"/>
              </w:numPr>
              <w:spacing w:before="120" w:after="120" w:line="240" w:lineRule="auto"/>
              <w:jc w:val="both"/>
              <w:rPr>
                <w:rFonts w:eastAsiaTheme="minorEastAsia"/>
                <w:sz w:val="22"/>
                <w:szCs w:val="22"/>
                <w:lang w:val="en-IE"/>
              </w:rPr>
            </w:pPr>
            <w:bookmarkStart w:id="116" w:name="_Ref476141544"/>
            <w:r w:rsidRPr="00CC21DE">
              <w:rPr>
                <w:rFonts w:eastAsiaTheme="minorEastAsia"/>
                <w:sz w:val="22"/>
                <w:szCs w:val="22"/>
                <w:lang w:val="en-IE"/>
              </w:rPr>
              <w:t>initial Settlement Statements for Capacity Payments and Capacity Charges shall, in respect of each</w:t>
            </w:r>
            <w:ins w:id="117" w:author="Author">
              <w:r>
                <w:rPr>
                  <w:rFonts w:eastAsiaTheme="minorEastAsia"/>
                  <w:sz w:val="22"/>
                  <w:szCs w:val="22"/>
                  <w:lang w:val="en-IE"/>
                </w:rPr>
                <w:t xml:space="preserve"> Settlement Day within a</w:t>
              </w:r>
            </w:ins>
            <w:r w:rsidRPr="00CC21DE">
              <w:rPr>
                <w:rFonts w:eastAsiaTheme="minorEastAsia"/>
                <w:sz w:val="22"/>
                <w:szCs w:val="22"/>
                <w:lang w:val="en-IE"/>
              </w:rPr>
              <w:t xml:space="preserve"> Capacity Period, be produced and issued to all Participants in respect of their Units by 12:00 on </w:t>
            </w:r>
            <w:ins w:id="118" w:author="Author">
              <w:r>
                <w:rPr>
                  <w:rFonts w:eastAsiaTheme="minorEastAsia"/>
                  <w:sz w:val="22"/>
                  <w:szCs w:val="22"/>
                  <w:lang w:val="en-IE"/>
                </w:rPr>
                <w:t>Settlement Day</w:t>
              </w:r>
            </w:ins>
            <w:del w:id="119" w:author="Author">
              <w:r w:rsidRPr="00CC21DE" w:rsidDel="009D68BB">
                <w:rPr>
                  <w:rFonts w:eastAsiaTheme="minorEastAsia"/>
                  <w:sz w:val="22"/>
                  <w:szCs w:val="22"/>
                  <w:lang w:val="en-IE"/>
                </w:rPr>
                <w:delText>Capacity Period</w:delText>
              </w:r>
            </w:del>
            <w:r w:rsidRPr="00CC21DE">
              <w:rPr>
                <w:rFonts w:eastAsiaTheme="minorEastAsia"/>
                <w:sz w:val="22"/>
                <w:szCs w:val="22"/>
                <w:lang w:val="en-IE"/>
              </w:rPr>
              <w:t xml:space="preserve"> + 5WD.</w:t>
            </w:r>
            <w:bookmarkEnd w:id="116"/>
          </w:p>
          <w:p w:rsidR="00EE2B02" w:rsidRDefault="00EE2B02" w:rsidP="00BD466E">
            <w:pPr>
              <w:pStyle w:val="CERLEVEL5"/>
              <w:rPr>
                <w:lang w:val="en-IE"/>
              </w:rPr>
            </w:pPr>
          </w:p>
          <w:p w:rsidR="00EE2B02" w:rsidRDefault="00EE2B02" w:rsidP="00BD466E">
            <w:pPr>
              <w:spacing w:before="120" w:after="120"/>
              <w:jc w:val="both"/>
              <w:rPr>
                <w:sz w:val="22"/>
                <w:szCs w:val="22"/>
                <w:lang w:val="en-IE"/>
              </w:rPr>
            </w:pPr>
          </w:p>
          <w:p w:rsidR="00EE2B02" w:rsidRPr="00010E11" w:rsidRDefault="00EE2B02" w:rsidP="00BD466E">
            <w:pPr>
              <w:spacing w:before="120" w:after="120"/>
              <w:jc w:val="both"/>
              <w:rPr>
                <w:sz w:val="22"/>
                <w:szCs w:val="22"/>
                <w:lang w:val="en-IE"/>
              </w:rPr>
            </w:pPr>
            <w:r>
              <w:rPr>
                <w:sz w:val="22"/>
                <w:szCs w:val="22"/>
                <w:lang w:val="en-IE"/>
              </w:rPr>
              <w:t>Agreed Procedure 15 (note that the associated swimlane diagram will require similar updates to reflect the timing change)</w:t>
            </w:r>
          </w:p>
          <w:p w:rsidR="00EE2B02" w:rsidRPr="00010E11" w:rsidRDefault="00EE2B02" w:rsidP="00BD466E">
            <w:pPr>
              <w:spacing w:before="240" w:after="120"/>
              <w:ind w:left="810" w:hanging="810"/>
              <w:rPr>
                <w:b/>
                <w:color w:val="000000"/>
                <w:sz w:val="24"/>
                <w:szCs w:val="24"/>
              </w:rPr>
            </w:pPr>
            <w:bookmarkStart w:id="120" w:name="_Toc477457817"/>
            <w:r>
              <w:rPr>
                <w:b/>
                <w:color w:val="000000"/>
                <w:sz w:val="24"/>
                <w:szCs w:val="24"/>
              </w:rPr>
              <w:t xml:space="preserve">3.2        </w:t>
            </w:r>
            <w:r w:rsidRPr="00010E11">
              <w:rPr>
                <w:b/>
                <w:color w:val="000000"/>
                <w:sz w:val="24"/>
                <w:szCs w:val="24"/>
              </w:rPr>
              <w:t>Settlement Documents in respect of Capacity Period Initial Settlement Statements and Settlement Rerun</w:t>
            </w:r>
            <w:bookmarkEnd w:id="120"/>
          </w:p>
          <w:p w:rsidR="00EE2B02" w:rsidRPr="00010E11" w:rsidRDefault="00EE2B02" w:rsidP="00BD466E">
            <w:pPr>
              <w:spacing w:before="60" w:after="60"/>
              <w:rPr>
                <w:rFonts w:cs="Arial"/>
                <w:sz w:val="22"/>
                <w:szCs w:val="22"/>
              </w:rPr>
            </w:pPr>
          </w:p>
          <w:tbl>
            <w:tblPr>
              <w:tblStyle w:val="TableList3"/>
              <w:tblW w:w="5000" w:type="pct"/>
              <w:tblLayout w:type="fixed"/>
              <w:tblLook w:val="01E0"/>
            </w:tblPr>
            <w:tblGrid>
              <w:gridCol w:w="498"/>
              <w:gridCol w:w="4053"/>
              <w:gridCol w:w="1596"/>
              <w:gridCol w:w="1289"/>
              <w:gridCol w:w="981"/>
              <w:gridCol w:w="1105"/>
            </w:tblGrid>
            <w:tr w:rsidR="00EE2B02" w:rsidRPr="00010E11" w:rsidTr="00BD466E">
              <w:trPr>
                <w:cnfStyle w:val="100000000000"/>
                <w:tblHeader/>
              </w:trPr>
              <w:tc>
                <w:tcPr>
                  <w:tcW w:w="262"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Step</w:t>
                  </w:r>
                </w:p>
              </w:tc>
              <w:tc>
                <w:tcPr>
                  <w:tcW w:w="2128"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Step Description</w:t>
                  </w:r>
                </w:p>
              </w:tc>
              <w:tc>
                <w:tcPr>
                  <w:tcW w:w="838"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Timing</w:t>
                  </w:r>
                </w:p>
              </w:tc>
              <w:tc>
                <w:tcPr>
                  <w:tcW w:w="677"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Method</w:t>
                  </w:r>
                </w:p>
              </w:tc>
              <w:tc>
                <w:tcPr>
                  <w:tcW w:w="515"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From / By</w:t>
                  </w:r>
                </w:p>
              </w:tc>
              <w:tc>
                <w:tcPr>
                  <w:tcW w:w="580" w:type="pct"/>
                  <w:tcBorders>
                    <w:top w:val="single" w:sz="12" w:space="0" w:color="000000"/>
                  </w:tcBorders>
                  <w:shd w:val="clear" w:color="auto" w:fill="F2F2F2" w:themeFill="background1" w:themeFillShade="F2"/>
                </w:tcPr>
                <w:p w:rsidR="00EE2B02" w:rsidRPr="00010E11" w:rsidRDefault="00EE2B02" w:rsidP="00BD466E">
                  <w:pPr>
                    <w:spacing w:before="60" w:after="60"/>
                    <w:rPr>
                      <w:rFonts w:cs="Arial"/>
                      <w:sz w:val="22"/>
                      <w:szCs w:val="22"/>
                    </w:rPr>
                  </w:pPr>
                  <w:r w:rsidRPr="00010E11">
                    <w:rPr>
                      <w:rFonts w:cs="Arial"/>
                      <w:sz w:val="22"/>
                      <w:szCs w:val="22"/>
                    </w:rPr>
                    <w:t>To</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r w:rsidRPr="00010E11">
                    <w:rPr>
                      <w:rFonts w:cs="Arial"/>
                      <w:sz w:val="22"/>
                      <w:szCs w:val="22"/>
                      <w:lang w:val="en-IE"/>
                    </w:rPr>
                    <w:tab/>
                  </w: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Produce and issue indicative Settlement Statements and Settlement Reports for the Capacity Period.</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Before 17:00, </w:t>
                  </w:r>
                  <w:ins w:id="121" w:author="Author">
                    <w:r>
                      <w:rPr>
                        <w:rFonts w:cs="Arial"/>
                        <w:sz w:val="22"/>
                        <w:szCs w:val="22"/>
                        <w:lang w:val="en-IE"/>
                      </w:rPr>
                      <w:t>1</w:t>
                    </w:r>
                  </w:ins>
                  <w:del w:id="122" w:author="Author">
                    <w:r w:rsidRPr="00010E11" w:rsidDel="00AF0262">
                      <w:rPr>
                        <w:rFonts w:cs="Arial"/>
                        <w:sz w:val="22"/>
                        <w:szCs w:val="22"/>
                        <w:lang w:val="en-IE"/>
                      </w:rPr>
                      <w:delText>3</w:delText>
                    </w:r>
                  </w:del>
                  <w:r w:rsidRPr="00010E11">
                    <w:rPr>
                      <w:rFonts w:cs="Arial"/>
                      <w:sz w:val="22"/>
                      <w:szCs w:val="22"/>
                      <w:lang w:val="en-IE"/>
                    </w:rPr>
                    <w:t xml:space="preserve"> WD after </w:t>
                  </w:r>
                  <w:ins w:id="123" w:author="Author">
                    <w:r>
                      <w:rPr>
                        <w:rFonts w:cs="Arial"/>
                        <w:sz w:val="22"/>
                        <w:szCs w:val="22"/>
                        <w:lang w:val="en-IE"/>
                      </w:rPr>
                      <w:t>Settlement Day</w:t>
                    </w:r>
                  </w:ins>
                  <w:del w:id="124" w:author="Author">
                    <w:r w:rsidRPr="00010E11" w:rsidDel="00AF0262">
                      <w:rPr>
                        <w:rFonts w:cs="Arial"/>
                        <w:sz w:val="22"/>
                        <w:szCs w:val="22"/>
                        <w:lang w:val="en-IE"/>
                      </w:rPr>
                      <w:delText>Capacity Period</w:delText>
                    </w:r>
                  </w:del>
                  <w:r w:rsidRPr="00010E11">
                    <w:rPr>
                      <w:rFonts w:cs="Arial"/>
                      <w:sz w:val="22"/>
                      <w:szCs w:val="22"/>
                      <w:lang w:val="en-IE"/>
                    </w:rPr>
                    <w:t xml:space="preserve"> </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 Balancing Market Interface</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Validate and if required raise Settlement Query.</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In accordance with Agreed Procedure 13 </w:t>
                  </w:r>
                  <w:r w:rsidRPr="00010E11">
                    <w:rPr>
                      <w:rFonts w:cs="Arial"/>
                      <w:sz w:val="22"/>
                      <w:szCs w:val="22"/>
                      <w:lang w:val="en-IE"/>
                    </w:rPr>
                    <w:lastRenderedPageBreak/>
                    <w:t>“Settlement Queries</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 xml:space="preserve">In accordance with Agreed </w:t>
                  </w:r>
                  <w:r w:rsidRPr="00010E11">
                    <w:rPr>
                      <w:rFonts w:cs="Arial"/>
                      <w:sz w:val="22"/>
                      <w:szCs w:val="22"/>
                      <w:lang w:val="en-IE"/>
                    </w:rPr>
                    <w:lastRenderedPageBreak/>
                    <w:t>Procedure 13 “Settlement Queries”</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Participant</w:t>
                  </w:r>
                  <w:r w:rsidRPr="00010E11" w:rsidDel="00EE394B">
                    <w:rPr>
                      <w:rFonts w:cs="Arial"/>
                      <w:sz w:val="22"/>
                      <w:szCs w:val="22"/>
                      <w:lang w:val="en-IE"/>
                    </w:rPr>
                    <w:t xml:space="preserve"> </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Produce and issue initial Settlement Statements and Settlement Rerun for the Capacity Period.</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Before 12:00 5WD after </w:t>
                  </w:r>
                  <w:del w:id="125" w:author="Author">
                    <w:r w:rsidRPr="00010E11" w:rsidDel="00AF0262">
                      <w:rPr>
                        <w:rFonts w:cs="Arial"/>
                        <w:sz w:val="22"/>
                        <w:szCs w:val="22"/>
                        <w:lang w:val="en-IE"/>
                      </w:rPr>
                      <w:delText>Capacity Period</w:delText>
                    </w:r>
                  </w:del>
                  <w:ins w:id="126" w:author="Author">
                    <w:r>
                      <w:rPr>
                        <w:rFonts w:cs="Arial"/>
                        <w:sz w:val="22"/>
                        <w:szCs w:val="22"/>
                        <w:lang w:val="en-IE"/>
                      </w:rPr>
                      <w:t>Settlement Day for Initial Settlement Statements and in accordance with the Settlement Calendar for Settlement Reruns</w:t>
                    </w:r>
                  </w:ins>
                  <w:r w:rsidRPr="00010E11">
                    <w:rPr>
                      <w:rFonts w:cs="Arial"/>
                      <w:sz w:val="22"/>
                      <w:szCs w:val="22"/>
                      <w:lang w:val="en-IE"/>
                    </w:rPr>
                    <w:t xml:space="preserve"> </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Balancing Market Interface</w:t>
                  </w:r>
                </w:p>
              </w:tc>
              <w:tc>
                <w:tcPr>
                  <w:tcW w:w="515" w:type="pct"/>
                </w:tcPr>
                <w:p w:rsidR="00EE2B02" w:rsidRPr="00010E11" w:rsidRDefault="00EE2B02" w:rsidP="00BD466E">
                  <w:pPr>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Validate and if required raise Settlement Query</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13 “Settlement Queries”</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13 “Settlement Queries</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r w:rsidRPr="00010E11" w:rsidDel="00EE394B">
                    <w:rPr>
                      <w:rFonts w:cs="Arial"/>
                      <w:sz w:val="22"/>
                      <w:szCs w:val="22"/>
                      <w:lang w:val="en-IE"/>
                    </w:rPr>
                    <w:t xml:space="preserve"> </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Produce and issue Settlement Documents based on the Initial Settlement Statements and Settlement Reports, Settlement Rerun and Settlement Reallocation Agreements.</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paragraph G.2.5.3 of the Code</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Balancing Market Interface</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Payment of Settlement Documents.</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By 12:00 3 WD after the date of issue of the Settlement Document</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17 “Banking and Participant Payments”</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Participants</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Establish whether there is a Shortfall. If there is no Shortfall go to step 14. Otherwise continue to step 8.</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Before 17:00 4 WD after the date of issue of the Settlement Document</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Draw down Credit Cover of any Participant with a Shortfall and follow Agreed Procedure 9 “Management of Credit Cover and Credit Default” as required.</w:t>
                  </w:r>
                </w:p>
                <w:p w:rsidR="00EE2B02" w:rsidRPr="00010E11" w:rsidRDefault="00EE2B02" w:rsidP="00BD466E">
                  <w:pPr>
                    <w:spacing w:before="60" w:after="60"/>
                    <w:rPr>
                      <w:rFonts w:cs="Arial"/>
                      <w:sz w:val="22"/>
                      <w:szCs w:val="22"/>
                      <w:lang w:val="en-IE"/>
                    </w:rPr>
                  </w:pPr>
                  <w:r w:rsidRPr="00010E11">
                    <w:rPr>
                      <w:rFonts w:cs="Arial"/>
                      <w:sz w:val="22"/>
                      <w:szCs w:val="22"/>
                      <w:lang w:val="en-IE"/>
                    </w:rPr>
                    <w:t>If Credit Cover drawdown covers the whole amount of the Shortfall prior to payment of the Settlement Document, go to step 14. Otherwise, go to step 9.</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In sufficient time to meet payment deadline (before 17:00 4 WD after the date of issue of the Settlement Document) </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Calculate and issue Debit Notes for the applicable Participants.</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Before 17:00, 4 WD after the date of issue of the Settlement Document</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Email / Facsimile </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Pay the net of the Debit Note and Settlement Document to each Participant.</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Before 17:00, 4 WD after the date of issue of the Self Billing Invoice</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17 “Banking and Participant Payments”</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Issue a Default Notice to the Participant and initiate Suspension procedure in Agreed Procedure 18 "Suspension and Termination".</w:t>
                  </w:r>
                </w:p>
                <w:p w:rsidR="00EE2B02" w:rsidRPr="00010E11" w:rsidRDefault="00EE2B02" w:rsidP="00BD466E">
                  <w:pPr>
                    <w:spacing w:before="60" w:after="60"/>
                    <w:rPr>
                      <w:rFonts w:cs="Arial"/>
                      <w:sz w:val="22"/>
                      <w:szCs w:val="22"/>
                      <w:lang w:val="en-IE"/>
                    </w:rPr>
                  </w:pP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Before 17:00, 4 WD after the date or issue of the Settlement Document</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18 “Suspension and Termination”</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Defaulting 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r w:rsidRPr="00010E11">
                    <w:rPr>
                      <w:rFonts w:cs="Arial"/>
                      <w:sz w:val="22"/>
                      <w:szCs w:val="22"/>
                      <w:lang w:val="en-IE"/>
                    </w:rPr>
                    <w:t>1</w:t>
                  </w:r>
                  <w:r w:rsidRPr="00010E11">
                    <w:rPr>
                      <w:rFonts w:cs="Arial"/>
                      <w:sz w:val="22"/>
                      <w:szCs w:val="22"/>
                      <w:lang w:val="en-IE"/>
                    </w:rPr>
                    <w:lastRenderedPageBreak/>
                    <w:t>2.</w:t>
                  </w: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 xml:space="preserve">Attempt to recover Unsecured Bad </w:t>
                  </w:r>
                  <w:r w:rsidRPr="00010E11">
                    <w:rPr>
                      <w:rFonts w:cs="Arial"/>
                      <w:sz w:val="22"/>
                      <w:szCs w:val="22"/>
                      <w:lang w:val="en-IE"/>
                    </w:rPr>
                    <w:lastRenderedPageBreak/>
                    <w:t>Debt.  If Unsecured Bad Debt is recovered Market Operator issues a Settlement Document for Unsecured Bad Debt.</w:t>
                  </w:r>
                </w:p>
              </w:tc>
              <w:tc>
                <w:tcPr>
                  <w:tcW w:w="838" w:type="pct"/>
                </w:tcPr>
                <w:p w:rsidR="00EE2B02" w:rsidRPr="00010E11" w:rsidRDefault="00EE2B02" w:rsidP="00BD466E">
                  <w:pPr>
                    <w:spacing w:before="60" w:after="60"/>
                    <w:rPr>
                      <w:rFonts w:cs="Arial"/>
                      <w:sz w:val="22"/>
                      <w:szCs w:val="22"/>
                      <w:lang w:val="en-IE"/>
                    </w:rPr>
                  </w:pPr>
                  <w:bookmarkStart w:id="127" w:name="OLE_LINK1"/>
                  <w:bookmarkStart w:id="128" w:name="OLE_LINK2"/>
                  <w:r w:rsidRPr="00010E11">
                    <w:rPr>
                      <w:rFonts w:cs="Arial"/>
                      <w:sz w:val="22"/>
                      <w:szCs w:val="22"/>
                      <w:lang w:val="en-IE"/>
                    </w:rPr>
                    <w:lastRenderedPageBreak/>
                    <w:t xml:space="preserve">In </w:t>
                  </w:r>
                  <w:r w:rsidRPr="00010E11">
                    <w:rPr>
                      <w:rFonts w:cs="Arial"/>
                      <w:sz w:val="22"/>
                      <w:szCs w:val="22"/>
                      <w:lang w:val="en-IE"/>
                    </w:rPr>
                    <w:lastRenderedPageBreak/>
                    <w:t>accordance with timelines for the next Settlement Document for a Capacity Period after recovery of monies.</w:t>
                  </w:r>
                  <w:bookmarkEnd w:id="127"/>
                  <w:bookmarkEnd w:id="128"/>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 xml:space="preserve">Post, </w:t>
                  </w:r>
                  <w:r w:rsidRPr="00010E11">
                    <w:rPr>
                      <w:rFonts w:cs="Arial"/>
                      <w:sz w:val="22"/>
                      <w:szCs w:val="22"/>
                      <w:lang w:val="en-IE"/>
                    </w:rPr>
                    <w:lastRenderedPageBreak/>
                    <w:t>phone, fax</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 xml:space="preserve">Market </w:t>
                  </w:r>
                  <w:r w:rsidRPr="00010E11">
                    <w:rPr>
                      <w:rFonts w:cs="Arial"/>
                      <w:sz w:val="22"/>
                      <w:szCs w:val="22"/>
                      <w:lang w:val="en-IE"/>
                    </w:rPr>
                    <w:lastRenderedPageBreak/>
                    <w:t>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lastRenderedPageBreak/>
                    <w:t xml:space="preserve">Reduced </w:t>
                  </w:r>
                  <w:r w:rsidRPr="00010E11">
                    <w:rPr>
                      <w:rFonts w:cs="Arial"/>
                      <w:sz w:val="22"/>
                      <w:szCs w:val="22"/>
                      <w:lang w:val="en-IE"/>
                    </w:rPr>
                    <w:lastRenderedPageBreak/>
                    <w:t>Participant</w:t>
                  </w:r>
                </w:p>
              </w:tc>
            </w:tr>
            <w:tr w:rsidR="00EE2B02" w:rsidRPr="00010E11" w:rsidTr="00BD466E">
              <w:tc>
                <w:tcPr>
                  <w:tcW w:w="262" w:type="pct"/>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sz w:val="22"/>
                      <w:szCs w:val="22"/>
                      <w:lang w:val="en-IE"/>
                    </w:rPr>
                  </w:pPr>
                </w:p>
              </w:tc>
              <w:tc>
                <w:tcPr>
                  <w:tcW w:w="212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 pays Settlement Document for Unsecured Bad Debt.</w:t>
                  </w:r>
                </w:p>
                <w:p w:rsidR="00EE2B02" w:rsidRPr="00010E11" w:rsidRDefault="00EE2B02" w:rsidP="00BD466E">
                  <w:pPr>
                    <w:spacing w:before="60" w:after="60"/>
                    <w:rPr>
                      <w:rFonts w:cs="Arial"/>
                      <w:sz w:val="22"/>
                      <w:szCs w:val="22"/>
                      <w:lang w:val="en-IE"/>
                    </w:rPr>
                  </w:pPr>
                  <w:r w:rsidRPr="00010E11">
                    <w:rPr>
                      <w:rFonts w:cs="Arial"/>
                      <w:sz w:val="22"/>
                      <w:szCs w:val="22"/>
                      <w:lang w:val="en-IE"/>
                    </w:rPr>
                    <w:t xml:space="preserve">If there is still Unsecured Bad Debt return to step 12, otherwise </w:t>
                  </w:r>
                  <w:r w:rsidRPr="00010E11">
                    <w:rPr>
                      <w:rFonts w:cs="Arial"/>
                      <w:b/>
                      <w:sz w:val="22"/>
                      <w:szCs w:val="22"/>
                      <w:lang w:val="en-IE"/>
                    </w:rPr>
                    <w:t>end process</w:t>
                  </w:r>
                  <w:r w:rsidRPr="00010E11">
                    <w:rPr>
                      <w:rFonts w:cs="Arial"/>
                      <w:sz w:val="22"/>
                      <w:szCs w:val="22"/>
                      <w:lang w:val="en-IE"/>
                    </w:rPr>
                    <w:t xml:space="preserve">. </w:t>
                  </w:r>
                </w:p>
              </w:tc>
              <w:tc>
                <w:tcPr>
                  <w:tcW w:w="838"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timescales for the next Settlement Documents for a Capacity Period after recovery of monies.</w:t>
                  </w:r>
                </w:p>
              </w:tc>
              <w:tc>
                <w:tcPr>
                  <w:tcW w:w="677"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In accordance with Agreed Procedure 17 “Banking and Participant Payments”</w:t>
                  </w:r>
                </w:p>
              </w:tc>
              <w:tc>
                <w:tcPr>
                  <w:tcW w:w="515"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Market Operator</w:t>
                  </w:r>
                </w:p>
              </w:tc>
              <w:tc>
                <w:tcPr>
                  <w:tcW w:w="580" w:type="pct"/>
                </w:tcPr>
                <w:p w:rsidR="00EE2B02" w:rsidRPr="00010E11" w:rsidRDefault="00EE2B02" w:rsidP="00BD466E">
                  <w:pPr>
                    <w:spacing w:before="60" w:after="60"/>
                    <w:rPr>
                      <w:rFonts w:cs="Arial"/>
                      <w:sz w:val="22"/>
                      <w:szCs w:val="22"/>
                      <w:lang w:val="en-IE"/>
                    </w:rPr>
                  </w:pPr>
                  <w:r w:rsidRPr="00010E11">
                    <w:rPr>
                      <w:rFonts w:cs="Arial"/>
                      <w:sz w:val="22"/>
                      <w:szCs w:val="22"/>
                      <w:lang w:val="en-IE"/>
                    </w:rPr>
                    <w:t>Reduced Participant</w:t>
                  </w:r>
                </w:p>
              </w:tc>
            </w:tr>
            <w:tr w:rsidR="00EE2B02" w:rsidRPr="00010E11" w:rsidTr="00BD466E">
              <w:trPr>
                <w:cnfStyle w:val="010000000000"/>
              </w:trPr>
              <w:tc>
                <w:tcPr>
                  <w:cnfStyle w:val="000000000001"/>
                  <w:tcW w:w="262" w:type="pct"/>
                  <w:tcBorders>
                    <w:bottom w:val="single" w:sz="12" w:space="0" w:color="000000"/>
                  </w:tcBorders>
                </w:tcPr>
                <w:p w:rsidR="00EE2B02" w:rsidRPr="00010E11" w:rsidRDefault="00EE2B02" w:rsidP="00EE2B02">
                  <w:pPr>
                    <w:numPr>
                      <w:ilvl w:val="0"/>
                      <w:numId w:val="27"/>
                    </w:numPr>
                    <w:overflowPunct w:val="0"/>
                    <w:autoSpaceDE w:val="0"/>
                    <w:autoSpaceDN w:val="0"/>
                    <w:adjustRightInd w:val="0"/>
                    <w:spacing w:before="60" w:after="60" w:line="240" w:lineRule="auto"/>
                    <w:textAlignment w:val="baseline"/>
                    <w:rPr>
                      <w:rFonts w:cs="Arial"/>
                      <w:color w:val="000000" w:themeColor="text1"/>
                      <w:sz w:val="22"/>
                      <w:szCs w:val="22"/>
                      <w:lang w:val="en-IE"/>
                    </w:rPr>
                  </w:pPr>
                </w:p>
              </w:tc>
              <w:tc>
                <w:tcPr>
                  <w:tcW w:w="2128" w:type="pct"/>
                  <w:tcBorders>
                    <w:bottom w:val="single" w:sz="12" w:space="0" w:color="000000"/>
                  </w:tcBorders>
                </w:tcPr>
                <w:p w:rsidR="00EE2B02" w:rsidRPr="00010E11" w:rsidRDefault="00EE2B02" w:rsidP="00BD466E">
                  <w:pPr>
                    <w:spacing w:before="60" w:after="60"/>
                    <w:cnfStyle w:val="010000000000"/>
                    <w:rPr>
                      <w:rFonts w:cs="Arial"/>
                      <w:sz w:val="22"/>
                      <w:szCs w:val="22"/>
                      <w:lang w:val="en-IE"/>
                    </w:rPr>
                  </w:pPr>
                  <w:r w:rsidRPr="00010E11">
                    <w:rPr>
                      <w:rFonts w:cs="Arial"/>
                      <w:sz w:val="22"/>
                      <w:szCs w:val="22"/>
                      <w:lang w:val="en-IE"/>
                    </w:rPr>
                    <w:t>Payments due to Participants are issued.</w:t>
                  </w:r>
                </w:p>
              </w:tc>
              <w:tc>
                <w:tcPr>
                  <w:tcW w:w="838" w:type="pct"/>
                  <w:tcBorders>
                    <w:bottom w:val="single" w:sz="12" w:space="0" w:color="000000"/>
                  </w:tcBorders>
                </w:tcPr>
                <w:p w:rsidR="00EE2B02" w:rsidRPr="00010E11" w:rsidRDefault="00EE2B02" w:rsidP="00BD466E">
                  <w:pPr>
                    <w:spacing w:before="60" w:after="60"/>
                    <w:cnfStyle w:val="010000000000"/>
                    <w:rPr>
                      <w:rFonts w:cs="Arial"/>
                      <w:sz w:val="22"/>
                      <w:szCs w:val="22"/>
                      <w:lang w:val="en-IE"/>
                    </w:rPr>
                  </w:pPr>
                  <w:r w:rsidRPr="00010E11">
                    <w:rPr>
                      <w:rFonts w:cs="Arial"/>
                      <w:sz w:val="22"/>
                      <w:szCs w:val="22"/>
                      <w:lang w:val="en-IE"/>
                    </w:rPr>
                    <w:t>Before 17:00, 4 WD after the date of issue of the Settlement Document</w:t>
                  </w:r>
                </w:p>
              </w:tc>
              <w:tc>
                <w:tcPr>
                  <w:tcW w:w="677" w:type="pct"/>
                  <w:tcBorders>
                    <w:bottom w:val="single" w:sz="12" w:space="0" w:color="000000"/>
                  </w:tcBorders>
                </w:tcPr>
                <w:p w:rsidR="00EE2B02" w:rsidRPr="00010E11" w:rsidRDefault="00EE2B02" w:rsidP="00BD466E">
                  <w:pPr>
                    <w:spacing w:before="60" w:after="60"/>
                    <w:cnfStyle w:val="010000000000"/>
                    <w:rPr>
                      <w:rFonts w:cs="Arial"/>
                      <w:sz w:val="22"/>
                      <w:szCs w:val="22"/>
                      <w:lang w:val="en-IE"/>
                    </w:rPr>
                  </w:pPr>
                  <w:r w:rsidRPr="00010E11">
                    <w:rPr>
                      <w:rFonts w:cs="Arial"/>
                      <w:sz w:val="22"/>
                      <w:szCs w:val="22"/>
                      <w:lang w:val="en-IE"/>
                    </w:rPr>
                    <w:t>In accordance with Agreed Procedure 17 “Banking and Participant Payments”</w:t>
                  </w:r>
                </w:p>
              </w:tc>
              <w:tc>
                <w:tcPr>
                  <w:tcW w:w="515" w:type="pct"/>
                  <w:tcBorders>
                    <w:bottom w:val="single" w:sz="12" w:space="0" w:color="000000"/>
                  </w:tcBorders>
                </w:tcPr>
                <w:p w:rsidR="00EE2B02" w:rsidRPr="00010E11" w:rsidRDefault="00EE2B02" w:rsidP="00BD466E">
                  <w:pPr>
                    <w:spacing w:before="60" w:after="60"/>
                    <w:cnfStyle w:val="010000000000"/>
                    <w:rPr>
                      <w:rFonts w:cs="Arial"/>
                      <w:sz w:val="22"/>
                      <w:szCs w:val="22"/>
                      <w:lang w:val="en-IE"/>
                    </w:rPr>
                  </w:pPr>
                  <w:r w:rsidRPr="00010E11">
                    <w:rPr>
                      <w:rFonts w:cs="Arial"/>
                      <w:sz w:val="22"/>
                      <w:szCs w:val="22"/>
                      <w:lang w:val="en-IE"/>
                    </w:rPr>
                    <w:t>Market Operator</w:t>
                  </w:r>
                </w:p>
              </w:tc>
              <w:tc>
                <w:tcPr>
                  <w:tcW w:w="580" w:type="pct"/>
                  <w:tcBorders>
                    <w:bottom w:val="single" w:sz="12" w:space="0" w:color="000000"/>
                  </w:tcBorders>
                </w:tcPr>
                <w:p w:rsidR="00EE2B02" w:rsidRPr="00010E11" w:rsidRDefault="00EE2B02" w:rsidP="00BD466E">
                  <w:pPr>
                    <w:spacing w:before="60" w:after="60"/>
                    <w:cnfStyle w:val="010000000000"/>
                    <w:rPr>
                      <w:rFonts w:cs="Arial"/>
                      <w:sz w:val="22"/>
                      <w:szCs w:val="22"/>
                      <w:lang w:val="en-IE"/>
                    </w:rPr>
                  </w:pPr>
                  <w:r w:rsidRPr="00010E11">
                    <w:rPr>
                      <w:rFonts w:cs="Arial"/>
                      <w:sz w:val="22"/>
                      <w:szCs w:val="22"/>
                      <w:lang w:val="en-IE"/>
                    </w:rPr>
                    <w:t>Participant</w:t>
                  </w:r>
                </w:p>
              </w:tc>
            </w:tr>
          </w:tbl>
          <w:p w:rsidR="00EE2B02" w:rsidRPr="004C53E7" w:rsidDel="00404964" w:rsidRDefault="00EE2B02" w:rsidP="00BD466E">
            <w:pPr>
              <w:spacing w:line="480" w:lineRule="auto"/>
              <w:rPr>
                <w:rFonts w:ascii="Calibri" w:hAnsi="Calibri" w:cs="Arial"/>
                <w:lang w:val="en-IE"/>
              </w:rPr>
            </w:pPr>
            <w:r w:rsidRPr="00010E11">
              <w:br w:type="page"/>
            </w:r>
          </w:p>
        </w:tc>
      </w:tr>
      <w:tr w:rsidR="00EE2B02" w:rsidRPr="004C53E7" w:rsidTr="00EE2B02">
        <w:tc>
          <w:tcPr>
            <w:tcW w:w="9738" w:type="dxa"/>
            <w:gridSpan w:val="6"/>
            <w:shd w:val="clear" w:color="auto" w:fill="C6D9F1"/>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E2B02" w:rsidRPr="004C53E7" w:rsidRDefault="00EE2B02" w:rsidP="00BD466E">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E2B02" w:rsidRPr="004C53E7" w:rsidTr="00EE2B02">
        <w:tc>
          <w:tcPr>
            <w:tcW w:w="9738" w:type="dxa"/>
            <w:gridSpan w:val="6"/>
            <w:vAlign w:val="center"/>
          </w:tcPr>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By detailing daily publication of Capacity Settlement Statements in the Trading and Settlement Code the market rules will more accurately reflect these publication timelines ensuring clarity in the area. This also ensures provision of this data at the earliest possible point</w:t>
            </w:r>
          </w:p>
          <w:p w:rsidR="00EE2B02" w:rsidRPr="004C53E7" w:rsidRDefault="00EE2B02" w:rsidP="00BD466E">
            <w:pPr>
              <w:rPr>
                <w:rFonts w:ascii="Calibri" w:hAnsi="Calibri" w:cs="Arial"/>
                <w:lang w:val="en-IE"/>
              </w:rPr>
            </w:pPr>
          </w:p>
        </w:tc>
      </w:tr>
      <w:tr w:rsidR="00EE2B02" w:rsidRPr="004C53E7" w:rsidTr="00EE2B02">
        <w:tc>
          <w:tcPr>
            <w:tcW w:w="9738" w:type="dxa"/>
            <w:gridSpan w:val="6"/>
            <w:shd w:val="clear" w:color="auto" w:fill="C6D9F1"/>
            <w:vAlign w:val="center"/>
          </w:tcPr>
          <w:p w:rsidR="00EE2B02" w:rsidRPr="004C53E7" w:rsidRDefault="00EE2B02" w:rsidP="00BD466E">
            <w:pPr>
              <w:jc w:val="center"/>
              <w:rPr>
                <w:rFonts w:ascii="Calibri" w:hAnsi="Calibri" w:cs="Arial"/>
                <w:b/>
                <w:bCs/>
                <w:iCs/>
                <w:lang w:val="en-IE"/>
              </w:rPr>
            </w:pPr>
            <w:r w:rsidRPr="004C53E7">
              <w:rPr>
                <w:rFonts w:ascii="Calibri" w:hAnsi="Calibri" w:cs="Arial"/>
                <w:b/>
                <w:bCs/>
                <w:iCs/>
                <w:lang w:val="en-IE"/>
              </w:rPr>
              <w:t>Code Objectives Furthered</w:t>
            </w:r>
          </w:p>
          <w:p w:rsidR="00EE2B02" w:rsidRPr="004C53E7" w:rsidRDefault="00EE2B02" w:rsidP="00BD466E">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E2B02" w:rsidRPr="004C53E7" w:rsidTr="00EE2B02">
        <w:tc>
          <w:tcPr>
            <w:tcW w:w="9738" w:type="dxa"/>
            <w:gridSpan w:val="6"/>
            <w:vAlign w:val="center"/>
          </w:tcPr>
          <w:p w:rsidR="00EE2B02" w:rsidRDefault="00EE2B02" w:rsidP="00BD466E">
            <w:pPr>
              <w:rPr>
                <w:rFonts w:ascii="Calibri" w:hAnsi="Calibri" w:cs="Arial"/>
                <w:lang w:val="en-IE"/>
              </w:rPr>
            </w:pPr>
          </w:p>
          <w:p w:rsidR="00EE2B02" w:rsidRDefault="00EE2B02" w:rsidP="00BD466E">
            <w:pPr>
              <w:rPr>
                <w:rFonts w:ascii="Calibri" w:hAnsi="Calibri" w:cs="Arial"/>
                <w:lang w:val="en-IE"/>
              </w:rPr>
            </w:pPr>
            <w:r w:rsidRPr="006A7128">
              <w:rPr>
                <w:rFonts w:ascii="Calibri" w:hAnsi="Calibri" w:cs="Arial"/>
                <w:lang w:val="en-IE"/>
              </w:rPr>
              <w:t xml:space="preserve">This Modification furthers Code Objective </w:t>
            </w:r>
            <w:r>
              <w:rPr>
                <w:rFonts w:ascii="Calibri" w:hAnsi="Calibri" w:cs="Arial"/>
                <w:lang w:val="en-IE"/>
              </w:rPr>
              <w:t xml:space="preserve"> 1.3 (5)</w:t>
            </w:r>
            <w:r w:rsidRPr="006A7128">
              <w:rPr>
                <w:rFonts w:ascii="Calibri" w:hAnsi="Calibri" w:cs="Arial"/>
                <w:lang w:val="en-IE"/>
              </w:rPr>
              <w:t xml:space="preserve"> </w:t>
            </w:r>
          </w:p>
          <w:p w:rsidR="00EE2B02" w:rsidRDefault="00EE2B02" w:rsidP="00BD466E">
            <w:pPr>
              <w:ind w:left="720"/>
              <w:rPr>
                <w:rFonts w:ascii="Calibri" w:hAnsi="Calibri" w:cs="Arial"/>
                <w:lang w:val="en-IE"/>
              </w:rPr>
            </w:pPr>
            <w:r>
              <w:rPr>
                <w:rFonts w:ascii="Calibri" w:hAnsi="Calibri" w:cs="Arial"/>
                <w:lang w:val="en-IE"/>
              </w:rPr>
              <w:t>(5</w:t>
            </w:r>
            <w:r w:rsidRPr="006A7128">
              <w:rPr>
                <w:rFonts w:ascii="Calibri" w:hAnsi="Calibri" w:cs="Arial"/>
                <w:lang w:val="en-IE"/>
              </w:rPr>
              <w:t>)</w:t>
            </w:r>
            <w:r w:rsidRPr="006A7128">
              <w:rPr>
                <w:rFonts w:ascii="Calibri" w:hAnsi="Calibri" w:cs="Arial"/>
                <w:lang w:val="en-IE"/>
              </w:rPr>
              <w:tab/>
              <w:t>to provide transparency in the operation of the Single Electricity Market;</w:t>
            </w:r>
          </w:p>
          <w:p w:rsidR="00EE2B02" w:rsidRPr="004C53E7" w:rsidRDefault="00EE2B02" w:rsidP="00BD466E">
            <w:pPr>
              <w:spacing w:line="480" w:lineRule="auto"/>
              <w:rPr>
                <w:rFonts w:ascii="Calibri" w:hAnsi="Calibri" w:cs="Arial"/>
                <w:lang w:val="en-IE"/>
              </w:rPr>
            </w:pPr>
          </w:p>
        </w:tc>
      </w:tr>
      <w:tr w:rsidR="00EE2B02" w:rsidRPr="004C53E7" w:rsidTr="00EE2B02">
        <w:tc>
          <w:tcPr>
            <w:tcW w:w="9738" w:type="dxa"/>
            <w:gridSpan w:val="6"/>
            <w:shd w:val="clear" w:color="auto" w:fill="C6D9F1"/>
            <w:vAlign w:val="center"/>
          </w:tcPr>
          <w:p w:rsidR="00EE2B02" w:rsidRPr="004C53E7" w:rsidRDefault="00EE2B02" w:rsidP="00BD466E">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EE2B02" w:rsidRPr="004C53E7" w:rsidRDefault="00EE2B02" w:rsidP="00BD466E">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E2B02" w:rsidRPr="004C53E7" w:rsidTr="00EE2B02">
        <w:tc>
          <w:tcPr>
            <w:tcW w:w="9738" w:type="dxa"/>
            <w:gridSpan w:val="6"/>
            <w:vAlign w:val="center"/>
          </w:tcPr>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If this proposal is not implemented the publication timelines for issuing Capacity Settlement Statements in the code will remain by a number of working days after the capacity period where these Statements will be published daily by the Market Operator so that the market rules would not clearly reflect the timing of these publications.</w:t>
            </w:r>
          </w:p>
          <w:p w:rsidR="00EE2B02" w:rsidRPr="004C53E7" w:rsidRDefault="00EE2B02" w:rsidP="00BD466E">
            <w:pPr>
              <w:rPr>
                <w:rFonts w:ascii="Calibri" w:hAnsi="Calibri" w:cs="Arial"/>
                <w:lang w:val="en-IE"/>
              </w:rPr>
            </w:pPr>
          </w:p>
        </w:tc>
      </w:tr>
      <w:tr w:rsidR="00EE2B02" w:rsidRPr="004C53E7" w:rsidTr="00EE2B02">
        <w:trPr>
          <w:trHeight w:val="507"/>
        </w:trPr>
        <w:tc>
          <w:tcPr>
            <w:tcW w:w="4621" w:type="dxa"/>
            <w:gridSpan w:val="3"/>
            <w:shd w:val="clear" w:color="auto" w:fill="C6D9F1"/>
            <w:vAlign w:val="center"/>
          </w:tcPr>
          <w:p w:rsidR="00EE2B02" w:rsidRPr="004C53E7" w:rsidRDefault="00EE2B02" w:rsidP="00BD466E">
            <w:pPr>
              <w:jc w:val="center"/>
              <w:rPr>
                <w:rFonts w:ascii="Calibri" w:hAnsi="Calibri" w:cs="Arial"/>
                <w:b/>
                <w:bCs/>
                <w:iCs/>
                <w:lang w:val="en-IE"/>
              </w:rPr>
            </w:pPr>
            <w:r w:rsidRPr="004C53E7">
              <w:rPr>
                <w:rFonts w:ascii="Calibri" w:hAnsi="Calibri" w:cs="Arial"/>
                <w:b/>
                <w:bCs/>
                <w:iCs/>
                <w:lang w:val="en-IE"/>
              </w:rPr>
              <w:t>Working Group</w:t>
            </w:r>
          </w:p>
          <w:p w:rsidR="00EE2B02" w:rsidRPr="004C53E7" w:rsidRDefault="00EE2B02" w:rsidP="00BD466E">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17" w:type="dxa"/>
            <w:gridSpan w:val="3"/>
            <w:shd w:val="clear" w:color="auto" w:fill="C6D9F1"/>
            <w:vAlign w:val="center"/>
          </w:tcPr>
          <w:p w:rsidR="00EE2B02" w:rsidRPr="004C53E7" w:rsidRDefault="00EE2B02" w:rsidP="00BD466E">
            <w:pPr>
              <w:jc w:val="center"/>
              <w:rPr>
                <w:rFonts w:ascii="Calibri" w:hAnsi="Calibri" w:cs="Arial"/>
                <w:b/>
                <w:bCs/>
                <w:iCs/>
                <w:lang w:val="en-IE"/>
              </w:rPr>
            </w:pPr>
            <w:r w:rsidRPr="004C53E7">
              <w:rPr>
                <w:rFonts w:ascii="Calibri" w:hAnsi="Calibri" w:cs="Arial"/>
                <w:b/>
                <w:bCs/>
                <w:iCs/>
                <w:lang w:val="en-IE"/>
              </w:rPr>
              <w:t>Impacts</w:t>
            </w:r>
          </w:p>
          <w:p w:rsidR="00EE2B02" w:rsidRPr="004C53E7" w:rsidRDefault="00EE2B02" w:rsidP="00BD466E">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EE2B02" w:rsidRPr="004C53E7" w:rsidRDefault="00EE2B02" w:rsidP="00BD466E">
            <w:pPr>
              <w:jc w:val="center"/>
              <w:rPr>
                <w:rFonts w:ascii="Calibri" w:hAnsi="Calibri" w:cs="Arial"/>
                <w:b/>
                <w:bCs/>
                <w:iCs/>
                <w:lang w:val="en-IE"/>
              </w:rPr>
            </w:pPr>
          </w:p>
        </w:tc>
      </w:tr>
      <w:tr w:rsidR="00EE2B02" w:rsidRPr="004C53E7" w:rsidDel="00404964" w:rsidTr="00EE2B02">
        <w:trPr>
          <w:trHeight w:val="507"/>
        </w:trPr>
        <w:tc>
          <w:tcPr>
            <w:tcW w:w="4621" w:type="dxa"/>
            <w:gridSpan w:val="3"/>
            <w:vAlign w:val="center"/>
          </w:tcPr>
          <w:p w:rsidR="00EE2B02" w:rsidRPr="004C53E7" w:rsidDel="00404964" w:rsidRDefault="00EE2B02" w:rsidP="00BD466E">
            <w:pPr>
              <w:spacing w:line="480" w:lineRule="auto"/>
              <w:rPr>
                <w:rFonts w:ascii="Calibri" w:hAnsi="Calibri" w:cs="Arial"/>
                <w:lang w:val="en-IE"/>
              </w:rPr>
            </w:pPr>
            <w:r>
              <w:rPr>
                <w:rFonts w:ascii="Calibri" w:hAnsi="Calibri" w:cs="Arial"/>
                <w:lang w:val="en-IE"/>
              </w:rPr>
              <w:t>No</w:t>
            </w:r>
          </w:p>
        </w:tc>
        <w:tc>
          <w:tcPr>
            <w:tcW w:w="5117" w:type="dxa"/>
            <w:gridSpan w:val="3"/>
            <w:vAlign w:val="center"/>
          </w:tcPr>
          <w:p w:rsidR="00EE2B02" w:rsidRDefault="00EE2B02" w:rsidP="00BD466E">
            <w:pPr>
              <w:rPr>
                <w:rFonts w:ascii="Calibri" w:hAnsi="Calibri" w:cs="Arial"/>
                <w:lang w:val="en-IE"/>
              </w:rPr>
            </w:pPr>
            <w:r>
              <w:rPr>
                <w:rFonts w:ascii="Calibri" w:hAnsi="Calibri" w:cs="Arial"/>
                <w:lang w:val="en-IE"/>
              </w:rPr>
              <w:t xml:space="preserve">No impact on market systems since this proposal is reflected in the current ISEM build. </w:t>
            </w:r>
          </w:p>
          <w:p w:rsidR="00EE2B02" w:rsidRDefault="00EE2B02" w:rsidP="00BD466E">
            <w:pPr>
              <w:rPr>
                <w:rFonts w:ascii="Calibri" w:hAnsi="Calibri" w:cs="Arial"/>
                <w:lang w:val="en-IE"/>
              </w:rPr>
            </w:pPr>
          </w:p>
          <w:p w:rsidR="00EE2B02" w:rsidRDefault="00EE2B02" w:rsidP="00BD466E">
            <w:pPr>
              <w:rPr>
                <w:rFonts w:ascii="Calibri" w:hAnsi="Calibri" w:cs="Arial"/>
                <w:lang w:val="en-IE"/>
              </w:rPr>
            </w:pPr>
            <w:r>
              <w:rPr>
                <w:rFonts w:ascii="Calibri" w:hAnsi="Calibri" w:cs="Arial"/>
                <w:lang w:val="en-IE"/>
              </w:rPr>
              <w:t>Also would not anticipate impacts for Participant systems as these will either be configurable to consume daily reports or will be able to consume a months worth of reports at month end despite their earlier publication.</w:t>
            </w:r>
          </w:p>
          <w:p w:rsidR="00EE2B02" w:rsidRPr="004C53E7" w:rsidDel="00404964" w:rsidRDefault="00EE2B02" w:rsidP="00BD466E">
            <w:pPr>
              <w:spacing w:line="480" w:lineRule="auto"/>
              <w:rPr>
                <w:rFonts w:ascii="Calibri" w:hAnsi="Calibri" w:cs="Arial"/>
                <w:lang w:val="en-IE"/>
              </w:rPr>
            </w:pPr>
          </w:p>
        </w:tc>
      </w:tr>
      <w:tr w:rsidR="00EE2B02" w:rsidRPr="004C53E7" w:rsidTr="00EE2B02">
        <w:tc>
          <w:tcPr>
            <w:tcW w:w="9738" w:type="dxa"/>
            <w:gridSpan w:val="6"/>
            <w:vAlign w:val="center"/>
          </w:tcPr>
          <w:p w:rsidR="00EE2B02" w:rsidRPr="004C53E7" w:rsidRDefault="00EE2B02" w:rsidP="00BD466E">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6" w:history="1">
              <w:r w:rsidRPr="004C53E7">
                <w:rPr>
                  <w:rStyle w:val="Hyperlink"/>
                  <w:rFonts w:ascii="Calibri" w:hAnsi="Calibri" w:cs="Arial"/>
                  <w:i/>
                  <w:iCs/>
                  <w:lang w:val="en-IE"/>
                </w:rPr>
                <w:t>modifications@sem-o.com</w:t>
              </w:r>
            </w:hyperlink>
          </w:p>
        </w:tc>
      </w:tr>
    </w:tbl>
    <w:p w:rsidR="00EE2B02" w:rsidRDefault="00EE2B02" w:rsidP="00EE2B02"/>
    <w:p w:rsidR="00EE2B02" w:rsidRDefault="00EE2B02" w:rsidP="00EE2B02">
      <w:pPr>
        <w:spacing w:after="200"/>
        <w:rPr>
          <w:rFonts w:cs="Arial"/>
          <w:b/>
          <w:sz w:val="16"/>
          <w:szCs w:val="16"/>
          <w:lang w:val="en-US"/>
        </w:rPr>
      </w:pPr>
      <w:r>
        <w:rPr>
          <w:rFonts w:cs="Arial"/>
          <w:b/>
          <w:sz w:val="16"/>
          <w:szCs w:val="16"/>
          <w:lang w:val="en-US"/>
        </w:rPr>
        <w:br w:type="page"/>
      </w:r>
    </w:p>
    <w:p w:rsidR="00EE2B02" w:rsidRDefault="00EE2B02" w:rsidP="00EE2B02">
      <w:pPr>
        <w:jc w:val="center"/>
        <w:rPr>
          <w:rFonts w:ascii="Calibri" w:hAnsi="Calibri" w:cs="Arial"/>
          <w:b/>
        </w:rPr>
      </w:pPr>
      <w:r w:rsidRPr="004C53E7">
        <w:rPr>
          <w:rFonts w:ascii="Calibri" w:hAnsi="Calibri" w:cs="Arial"/>
          <w:b/>
        </w:rPr>
        <w:lastRenderedPageBreak/>
        <w:t>Notes on completing Modification Proposal Form:</w:t>
      </w:r>
    </w:p>
    <w:p w:rsidR="00EE2B02" w:rsidRPr="004C53E7" w:rsidRDefault="00EE2B02" w:rsidP="00EE2B02">
      <w:pPr>
        <w:jc w:val="center"/>
        <w:rPr>
          <w:rFonts w:ascii="Calibri" w:hAnsi="Calibri" w:cs="Arial"/>
          <w:b/>
        </w:rPr>
      </w:pPr>
    </w:p>
    <w:p w:rsidR="00EE2B02" w:rsidRPr="004C53E7" w:rsidRDefault="00EE2B02" w:rsidP="00EE2B02">
      <w:pPr>
        <w:pStyle w:val="Body1"/>
        <w:numPr>
          <w:ilvl w:val="0"/>
          <w:numId w:val="24"/>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EE2B02" w:rsidRPr="004C53E7" w:rsidRDefault="00EE2B02" w:rsidP="00EE2B02">
      <w:pPr>
        <w:pStyle w:val="Body1"/>
        <w:numPr>
          <w:ilvl w:val="0"/>
          <w:numId w:val="24"/>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EE2B02" w:rsidRPr="004C53E7" w:rsidRDefault="00EE2B02" w:rsidP="00EE2B02">
      <w:pPr>
        <w:pStyle w:val="Body1"/>
        <w:numPr>
          <w:ilvl w:val="0"/>
          <w:numId w:val="24"/>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EE2B02" w:rsidRPr="004C53E7" w:rsidRDefault="00EE2B02" w:rsidP="00EE2B02">
      <w:pPr>
        <w:pStyle w:val="Body1"/>
        <w:numPr>
          <w:ilvl w:val="0"/>
          <w:numId w:val="24"/>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EE2B02" w:rsidRPr="004C53E7" w:rsidRDefault="00EE2B02" w:rsidP="00EE2B02">
      <w:pPr>
        <w:jc w:val="both"/>
        <w:rPr>
          <w:rFonts w:cs="Arial"/>
          <w:b/>
          <w:sz w:val="16"/>
          <w:szCs w:val="16"/>
          <w:lang w:val="en-IE"/>
        </w:rPr>
      </w:pPr>
    </w:p>
    <w:p w:rsidR="00EE2B02" w:rsidRPr="004C53E7" w:rsidRDefault="00EE2B02" w:rsidP="00EE2B02">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EE2B02" w:rsidRPr="004C53E7" w:rsidRDefault="00EE2B02" w:rsidP="00EE2B02">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EE2B02" w:rsidRPr="004C53E7" w:rsidRDefault="00EE2B02" w:rsidP="00EE2B02">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EE2B02" w:rsidRPr="004C53E7" w:rsidRDefault="00EE2B02" w:rsidP="00EE2B02">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EE2B02" w:rsidRPr="004C53E7" w:rsidRDefault="00EE2B02" w:rsidP="00EE2B02">
      <w:pPr>
        <w:jc w:val="both"/>
        <w:rPr>
          <w:rFonts w:cs="Arial"/>
          <w:b/>
          <w:sz w:val="16"/>
          <w:szCs w:val="16"/>
          <w:lang w:val="en-IE"/>
        </w:rPr>
      </w:pPr>
    </w:p>
    <w:p w:rsidR="00EE2B02" w:rsidRPr="004C53E7" w:rsidRDefault="00EE2B02" w:rsidP="00EE2B02">
      <w:pPr>
        <w:tabs>
          <w:tab w:val="left" w:pos="360"/>
        </w:tabs>
        <w:ind w:left="720"/>
        <w:jc w:val="both"/>
        <w:rPr>
          <w:rFonts w:cs="Arial"/>
          <w:b/>
          <w:sz w:val="16"/>
          <w:szCs w:val="16"/>
          <w:lang w:val="en-IE"/>
        </w:rPr>
      </w:pPr>
      <w:r w:rsidRPr="004C53E7">
        <w:rPr>
          <w:rFonts w:cs="Arial"/>
          <w:b/>
          <w:sz w:val="16"/>
          <w:szCs w:val="16"/>
          <w:lang w:val="en-IE"/>
        </w:rPr>
        <w:t>The terms “Market Operator”,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“Regulatory Authorities” shall have the meanings assigned to those terms in the Code.  </w:t>
      </w:r>
    </w:p>
    <w:p w:rsidR="00EE2B02" w:rsidRPr="004C53E7" w:rsidRDefault="00EE2B02" w:rsidP="00EE2B02">
      <w:pPr>
        <w:tabs>
          <w:tab w:val="left" w:pos="360"/>
        </w:tabs>
        <w:ind w:left="720"/>
        <w:jc w:val="both"/>
        <w:rPr>
          <w:rFonts w:cs="Arial"/>
          <w:b/>
          <w:sz w:val="16"/>
          <w:szCs w:val="16"/>
          <w:lang w:val="en-IE"/>
        </w:rPr>
      </w:pPr>
    </w:p>
    <w:p w:rsidR="00EE2B02" w:rsidRPr="004C53E7" w:rsidRDefault="00EE2B02" w:rsidP="00EE2B02">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EE2B02" w:rsidRPr="004C53E7" w:rsidRDefault="00EE2B02" w:rsidP="00EE2B02">
      <w:pPr>
        <w:tabs>
          <w:tab w:val="left" w:pos="360"/>
        </w:tabs>
        <w:ind w:left="720" w:hanging="360"/>
        <w:jc w:val="both"/>
        <w:rPr>
          <w:rFonts w:cs="Arial"/>
          <w:b/>
          <w:sz w:val="16"/>
          <w:szCs w:val="16"/>
          <w:lang w:val="en-IE"/>
        </w:rPr>
      </w:pPr>
    </w:p>
    <w:p w:rsidR="00EE2B02" w:rsidRPr="004C53E7" w:rsidRDefault="00EE2B02" w:rsidP="00EE2B02">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EE2B02" w:rsidRPr="004C53E7" w:rsidRDefault="00EE2B02" w:rsidP="00EE2B02">
      <w:pPr>
        <w:tabs>
          <w:tab w:val="left" w:pos="360"/>
        </w:tabs>
        <w:ind w:left="1080" w:hanging="360"/>
        <w:jc w:val="both"/>
        <w:rPr>
          <w:rFonts w:cs="Arial"/>
          <w:b/>
          <w:sz w:val="16"/>
          <w:szCs w:val="16"/>
          <w:lang w:val="en-IE"/>
        </w:rPr>
      </w:pPr>
    </w:p>
    <w:p w:rsidR="00EE2B02" w:rsidRPr="004C53E7" w:rsidRDefault="00EE2B02" w:rsidP="00EE2B02">
      <w:pPr>
        <w:numPr>
          <w:ilvl w:val="1"/>
          <w:numId w:val="25"/>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EE2B02" w:rsidRPr="004C53E7" w:rsidRDefault="00EE2B02" w:rsidP="00EE2B02">
      <w:pPr>
        <w:tabs>
          <w:tab w:val="left" w:pos="360"/>
        </w:tabs>
        <w:ind w:left="1440" w:hanging="360"/>
        <w:jc w:val="both"/>
        <w:rPr>
          <w:rFonts w:cs="Arial"/>
          <w:b/>
          <w:sz w:val="16"/>
          <w:szCs w:val="16"/>
          <w:lang w:val="en-IE"/>
        </w:rPr>
      </w:pPr>
    </w:p>
    <w:p w:rsidR="00EE2B02" w:rsidRPr="004C53E7" w:rsidRDefault="00EE2B02" w:rsidP="00EE2B02">
      <w:pPr>
        <w:numPr>
          <w:ilvl w:val="1"/>
          <w:numId w:val="25"/>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 xml:space="preserve">to the Regulatory Authorities,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 each member of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EE2B02" w:rsidRPr="004C53E7" w:rsidRDefault="00EE2B02" w:rsidP="00EE2B02">
      <w:pPr>
        <w:tabs>
          <w:tab w:val="left" w:pos="360"/>
        </w:tabs>
        <w:ind w:left="1440" w:hanging="360"/>
        <w:jc w:val="both"/>
        <w:rPr>
          <w:rFonts w:cs="Arial"/>
          <w:b/>
          <w:sz w:val="16"/>
          <w:szCs w:val="16"/>
          <w:lang w:val="en-IE"/>
        </w:rPr>
      </w:pPr>
    </w:p>
    <w:p w:rsidR="00EE2B02" w:rsidRPr="004C53E7" w:rsidRDefault="00EE2B02" w:rsidP="00EE2B02">
      <w:pPr>
        <w:numPr>
          <w:ilvl w:val="1"/>
          <w:numId w:val="25"/>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EE2B02" w:rsidRPr="004C53E7" w:rsidRDefault="00EE2B02" w:rsidP="00EE2B02">
      <w:pPr>
        <w:tabs>
          <w:tab w:val="left" w:pos="360"/>
        </w:tabs>
        <w:ind w:left="1440" w:hanging="360"/>
        <w:jc w:val="both"/>
        <w:rPr>
          <w:rFonts w:cs="Arial"/>
          <w:b/>
          <w:sz w:val="16"/>
          <w:szCs w:val="16"/>
          <w:lang w:val="en-IE"/>
        </w:rPr>
      </w:pPr>
    </w:p>
    <w:p w:rsidR="00EE2B02" w:rsidRPr="004C53E7" w:rsidRDefault="00EE2B02" w:rsidP="00EE2B02">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EE2B02" w:rsidRPr="004C53E7" w:rsidRDefault="00EE2B02" w:rsidP="00EE2B02">
      <w:pPr>
        <w:tabs>
          <w:tab w:val="left" w:pos="360"/>
        </w:tabs>
        <w:ind w:left="1440" w:hanging="360"/>
        <w:jc w:val="both"/>
        <w:rPr>
          <w:rFonts w:cs="Arial"/>
          <w:b/>
          <w:sz w:val="16"/>
          <w:szCs w:val="16"/>
          <w:lang w:val="en-IE"/>
        </w:rPr>
      </w:pPr>
    </w:p>
    <w:p w:rsidR="00EE2B02" w:rsidRPr="004C53E7" w:rsidRDefault="00EE2B02" w:rsidP="00EE2B02">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EE2B02" w:rsidRPr="004C53E7" w:rsidRDefault="00EE2B02" w:rsidP="00EE2B02">
      <w:pPr>
        <w:tabs>
          <w:tab w:val="left" w:pos="360"/>
        </w:tabs>
        <w:ind w:left="1080" w:hanging="360"/>
        <w:jc w:val="both"/>
        <w:rPr>
          <w:rFonts w:cs="Arial"/>
          <w:b/>
          <w:sz w:val="16"/>
          <w:szCs w:val="16"/>
          <w:lang w:val="en-IE"/>
        </w:rPr>
      </w:pPr>
    </w:p>
    <w:p w:rsidR="00EE2B02" w:rsidRPr="004C53E7" w:rsidRDefault="00EE2B02" w:rsidP="00EE2B02">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EE2B02" w:rsidRPr="004C53E7" w:rsidRDefault="00EE2B02" w:rsidP="00EE2B02">
      <w:pPr>
        <w:tabs>
          <w:tab w:val="left" w:pos="360"/>
        </w:tabs>
        <w:ind w:left="1080" w:hanging="360"/>
        <w:jc w:val="both"/>
        <w:rPr>
          <w:rFonts w:cs="Arial"/>
          <w:b/>
          <w:sz w:val="16"/>
          <w:szCs w:val="16"/>
          <w:lang w:val="en-IE"/>
        </w:rPr>
      </w:pPr>
    </w:p>
    <w:p w:rsidR="00EE2B02" w:rsidRPr="004C53E7" w:rsidRDefault="00EE2B02" w:rsidP="00EE2B02">
      <w:pPr>
        <w:tabs>
          <w:tab w:val="left" w:pos="360"/>
        </w:tabs>
        <w:ind w:left="1080" w:hanging="360"/>
        <w:jc w:val="both"/>
        <w:rPr>
          <w:rFonts w:cs="Arial"/>
          <w:b/>
          <w:sz w:val="16"/>
          <w:szCs w:val="16"/>
          <w:lang w:val="en-IE"/>
        </w:rPr>
      </w:pPr>
      <w:r w:rsidRPr="004C53E7">
        <w:rPr>
          <w:rFonts w:cs="Arial"/>
          <w:b/>
          <w:sz w:val="16"/>
          <w:szCs w:val="16"/>
          <w:lang w:val="en-IE"/>
        </w:rPr>
        <w:lastRenderedPageBreak/>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EE2B02" w:rsidRPr="004C53E7" w:rsidRDefault="00EE2B02" w:rsidP="00EE2B02">
      <w:pPr>
        <w:tabs>
          <w:tab w:val="left" w:pos="360"/>
        </w:tabs>
        <w:ind w:left="1080" w:hanging="360"/>
        <w:jc w:val="both"/>
        <w:rPr>
          <w:rFonts w:cs="Arial"/>
          <w:b/>
          <w:sz w:val="16"/>
          <w:szCs w:val="16"/>
          <w:lang w:val="en-IE"/>
        </w:rPr>
      </w:pPr>
    </w:p>
    <w:p w:rsidR="00EE2B02" w:rsidRPr="003F225F" w:rsidRDefault="00EE2B02" w:rsidP="00EE2B02">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 xml:space="preserve">I hereby acknowledge that the Modification Proposal may be rejected by the </w:t>
      </w:r>
      <w:smartTag w:uri="urn:schemas-microsoft-com:office:smarttags" w:element="PersonName">
        <w:r w:rsidRPr="004C53E7">
          <w:rPr>
            <w:rFonts w:cs="Arial"/>
            <w:b/>
            <w:sz w:val="16"/>
            <w:szCs w:val="16"/>
            <w:lang w:val="en-IE"/>
          </w:rPr>
          <w:t>Modifications</w:t>
        </w:r>
      </w:smartTag>
      <w:r w:rsidRPr="004C53E7">
        <w:rPr>
          <w:rFonts w:cs="Arial"/>
          <w:b/>
          <w:sz w:val="16"/>
          <w:szCs w:val="16"/>
          <w:lang w:val="en-IE"/>
        </w:rPr>
        <w:t xml:space="preserve"> Committee and/or the Regulatory Authorities and that there is no guarantee that my Modification Proposal will be incorporated into the Code.</w:t>
      </w:r>
    </w:p>
    <w:p w:rsidR="00EE2B02" w:rsidRPr="003F225F" w:rsidRDefault="00EE2B02" w:rsidP="00EE2B02">
      <w:pPr>
        <w:rPr>
          <w:rFonts w:cs="Arial"/>
          <w:sz w:val="22"/>
          <w:szCs w:val="22"/>
          <w:lang w:val="en-IE"/>
        </w:rPr>
      </w:pPr>
    </w:p>
    <w:p w:rsidR="00EE2B02" w:rsidRPr="00EE2B02" w:rsidRDefault="00EE2B02" w:rsidP="00EE2B02">
      <w:pPr>
        <w:rPr>
          <w:lang w:val="en-IE" w:bidi="ar-SA"/>
        </w:rPr>
      </w:pPr>
    </w:p>
    <w:p w:rsidR="00EE2B02" w:rsidRPr="00EE2B02" w:rsidRDefault="00EE2B02" w:rsidP="00EE2B02">
      <w:pPr>
        <w:rPr>
          <w:lang w:val="en-IE" w:bidi="ar-SA"/>
        </w:rPr>
      </w:pPr>
    </w:p>
    <w:sectPr w:rsidR="00EE2B02" w:rsidRPr="00EE2B02" w:rsidSect="002B6441">
      <w:headerReference w:type="default" r:id="rId17"/>
      <w:footerReference w:type="default" r:id="rId18"/>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58" w:rsidRDefault="00C01258">
      <w:r>
        <w:separator/>
      </w:r>
    </w:p>
  </w:endnote>
  <w:endnote w:type="continuationSeparator" w:id="0">
    <w:p w:rsidR="00C01258" w:rsidRDefault="00C01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Default="00963A96">
    <w:pPr>
      <w:pStyle w:val="Footer"/>
      <w:jc w:val="center"/>
    </w:pPr>
    <w:r>
      <w:fldChar w:fldCharType="begin"/>
    </w:r>
    <w:r w:rsidR="009640F0">
      <w:instrText xml:space="preserve"> PAGE   \* MERGEFORMAT </w:instrText>
    </w:r>
    <w:r>
      <w:fldChar w:fldCharType="separate"/>
    </w:r>
    <w:r w:rsidR="004F4B2F">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58" w:rsidRDefault="00C01258">
      <w:r>
        <w:separator/>
      </w:r>
    </w:p>
  </w:footnote>
  <w:footnote w:type="continuationSeparator" w:id="0">
    <w:p w:rsidR="00C01258" w:rsidRDefault="00C01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7F4B58">
      <w:rPr>
        <w:rFonts w:cs="Arial"/>
        <w:bCs/>
        <w:sz w:val="16"/>
        <w:szCs w:val="18"/>
      </w:rPr>
      <w:tab/>
    </w:r>
    <w:r w:rsidR="007F4B58">
      <w:rPr>
        <w:rFonts w:cs="Arial"/>
        <w:bCs/>
        <w:sz w:val="16"/>
        <w:szCs w:val="18"/>
      </w:rPr>
      <w:tab/>
    </w:r>
    <w:r>
      <w:rPr>
        <w:rFonts w:cs="Arial"/>
        <w:bCs/>
        <w:sz w:val="16"/>
        <w:szCs w:val="18"/>
      </w:rPr>
      <w:t xml:space="preserve"> </w:t>
    </w:r>
    <w:r w:rsidRPr="00DA2DEE">
      <w:rPr>
        <w:rFonts w:cs="Arial"/>
        <w:bCs/>
        <w:sz w:val="16"/>
        <w:szCs w:val="18"/>
      </w:rPr>
      <w:t>Mod_</w:t>
    </w:r>
    <w:r w:rsidR="00FD6C21">
      <w:rPr>
        <w:rFonts w:cs="Arial"/>
        <w:bCs/>
        <w:sz w:val="16"/>
        <w:szCs w:val="18"/>
      </w:rPr>
      <w:t>10</w:t>
    </w:r>
    <w:r w:rsidR="007F4B58">
      <w:rPr>
        <w:rFonts w:cs="Arial"/>
        <w:bCs/>
        <w:sz w:val="16"/>
        <w:szCs w:val="18"/>
      </w:rPr>
      <w:t>_18</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421C79EB"/>
    <w:multiLevelType w:val="multilevel"/>
    <w:tmpl w:val="9C8AF2D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46AE42F1"/>
    <w:multiLevelType w:val="hybridMultilevel"/>
    <w:tmpl w:val="9BE4DF32"/>
    <w:lvl w:ilvl="0" w:tplc="D736C95E">
      <w:start w:val="1"/>
      <w:numFmt w:val="lowerLetter"/>
      <w:lvlText w:val="(%1)"/>
      <w:lvlJc w:val="left"/>
      <w:pPr>
        <w:ind w:left="1442" w:hanging="450"/>
      </w:pPr>
      <w:rPr>
        <w:rFonts w:hint="default"/>
      </w:rPr>
    </w:lvl>
    <w:lvl w:ilvl="1" w:tplc="D01EA2AC" w:tentative="1">
      <w:start w:val="1"/>
      <w:numFmt w:val="lowerLetter"/>
      <w:lvlText w:val="%2."/>
      <w:lvlJc w:val="left"/>
      <w:pPr>
        <w:ind w:left="2072" w:hanging="360"/>
      </w:pPr>
    </w:lvl>
    <w:lvl w:ilvl="2" w:tplc="3BAC943E" w:tentative="1">
      <w:start w:val="1"/>
      <w:numFmt w:val="lowerRoman"/>
      <w:lvlText w:val="%3."/>
      <w:lvlJc w:val="right"/>
      <w:pPr>
        <w:ind w:left="2792" w:hanging="180"/>
      </w:pPr>
    </w:lvl>
    <w:lvl w:ilvl="3" w:tplc="94C60DFE" w:tentative="1">
      <w:start w:val="1"/>
      <w:numFmt w:val="decimal"/>
      <w:lvlText w:val="%4."/>
      <w:lvlJc w:val="left"/>
      <w:pPr>
        <w:ind w:left="3512" w:hanging="360"/>
      </w:pPr>
    </w:lvl>
    <w:lvl w:ilvl="4" w:tplc="4F06EC28" w:tentative="1">
      <w:start w:val="1"/>
      <w:numFmt w:val="lowerLetter"/>
      <w:lvlText w:val="%5."/>
      <w:lvlJc w:val="left"/>
      <w:pPr>
        <w:ind w:left="4232" w:hanging="360"/>
      </w:pPr>
    </w:lvl>
    <w:lvl w:ilvl="5" w:tplc="38D24676" w:tentative="1">
      <w:start w:val="1"/>
      <w:numFmt w:val="lowerRoman"/>
      <w:lvlText w:val="%6."/>
      <w:lvlJc w:val="right"/>
      <w:pPr>
        <w:ind w:left="4952" w:hanging="180"/>
      </w:pPr>
    </w:lvl>
    <w:lvl w:ilvl="6" w:tplc="B0F2D26E" w:tentative="1">
      <w:start w:val="1"/>
      <w:numFmt w:val="decimal"/>
      <w:lvlText w:val="%7."/>
      <w:lvlJc w:val="left"/>
      <w:pPr>
        <w:ind w:left="5672" w:hanging="360"/>
      </w:pPr>
    </w:lvl>
    <w:lvl w:ilvl="7" w:tplc="79F8BCFE" w:tentative="1">
      <w:start w:val="1"/>
      <w:numFmt w:val="lowerLetter"/>
      <w:lvlText w:val="%8."/>
      <w:lvlJc w:val="left"/>
      <w:pPr>
        <w:ind w:left="6392" w:hanging="360"/>
      </w:pPr>
    </w:lvl>
    <w:lvl w:ilvl="8" w:tplc="F336E9EA" w:tentative="1">
      <w:start w:val="1"/>
      <w:numFmt w:val="lowerRoman"/>
      <w:lvlText w:val="%9."/>
      <w:lvlJc w:val="right"/>
      <w:pPr>
        <w:ind w:left="7112" w:hanging="180"/>
      </w:pPr>
    </w:lvl>
  </w:abstractNum>
  <w:abstractNum w:abstractNumId="11">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E2A77DC"/>
    <w:multiLevelType w:val="hybridMultilevel"/>
    <w:tmpl w:val="F6329188"/>
    <w:lvl w:ilvl="0" w:tplc="31CE14B6">
      <w:start w:val="1"/>
      <w:numFmt w:val="decimal"/>
      <w:lvlText w:val="%1"/>
      <w:lvlJc w:val="left"/>
      <w:pPr>
        <w:ind w:left="720" w:hanging="360"/>
      </w:pPr>
      <w:rPr>
        <w:rFonts w:ascii="Arial Bold" w:hAnsi="Arial Bold" w:cs="Times New Roman" w:hint="default"/>
        <w:b/>
        <w:i w:val="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6">
    <w:nsid w:val="5C19696E"/>
    <w:multiLevelType w:val="hybridMultilevel"/>
    <w:tmpl w:val="BDDAF966"/>
    <w:lvl w:ilvl="0" w:tplc="F9165B7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D3255B0">
      <w:start w:val="1"/>
      <w:numFmt w:val="lowerLetter"/>
      <w:lvlText w:val="%2."/>
      <w:lvlJc w:val="left"/>
      <w:pPr>
        <w:tabs>
          <w:tab w:val="num" w:pos="1440"/>
        </w:tabs>
        <w:ind w:left="1440" w:hanging="360"/>
      </w:pPr>
      <w:rPr>
        <w:rFonts w:cs="Times New Roman"/>
      </w:rPr>
    </w:lvl>
    <w:lvl w:ilvl="2" w:tplc="C25CD6A2" w:tentative="1">
      <w:start w:val="1"/>
      <w:numFmt w:val="lowerRoman"/>
      <w:lvlText w:val="%3."/>
      <w:lvlJc w:val="right"/>
      <w:pPr>
        <w:tabs>
          <w:tab w:val="num" w:pos="2160"/>
        </w:tabs>
        <w:ind w:left="2160" w:hanging="180"/>
      </w:pPr>
      <w:rPr>
        <w:rFonts w:cs="Times New Roman"/>
      </w:rPr>
    </w:lvl>
    <w:lvl w:ilvl="3" w:tplc="BD2A957C" w:tentative="1">
      <w:start w:val="1"/>
      <w:numFmt w:val="decimal"/>
      <w:lvlText w:val="%4."/>
      <w:lvlJc w:val="left"/>
      <w:pPr>
        <w:tabs>
          <w:tab w:val="num" w:pos="2880"/>
        </w:tabs>
        <w:ind w:left="2880" w:hanging="360"/>
      </w:pPr>
      <w:rPr>
        <w:rFonts w:cs="Times New Roman"/>
      </w:rPr>
    </w:lvl>
    <w:lvl w:ilvl="4" w:tplc="4F0E6528" w:tentative="1">
      <w:start w:val="1"/>
      <w:numFmt w:val="lowerLetter"/>
      <w:lvlText w:val="%5."/>
      <w:lvlJc w:val="left"/>
      <w:pPr>
        <w:tabs>
          <w:tab w:val="num" w:pos="3600"/>
        </w:tabs>
        <w:ind w:left="3600" w:hanging="360"/>
      </w:pPr>
      <w:rPr>
        <w:rFonts w:cs="Times New Roman"/>
      </w:rPr>
    </w:lvl>
    <w:lvl w:ilvl="5" w:tplc="18528982" w:tentative="1">
      <w:start w:val="1"/>
      <w:numFmt w:val="lowerRoman"/>
      <w:lvlText w:val="%6."/>
      <w:lvlJc w:val="right"/>
      <w:pPr>
        <w:tabs>
          <w:tab w:val="num" w:pos="4320"/>
        </w:tabs>
        <w:ind w:left="4320" w:hanging="180"/>
      </w:pPr>
      <w:rPr>
        <w:rFonts w:cs="Times New Roman"/>
      </w:rPr>
    </w:lvl>
    <w:lvl w:ilvl="6" w:tplc="A7BEBC2C" w:tentative="1">
      <w:start w:val="1"/>
      <w:numFmt w:val="decimal"/>
      <w:lvlText w:val="%7."/>
      <w:lvlJc w:val="left"/>
      <w:pPr>
        <w:tabs>
          <w:tab w:val="num" w:pos="5040"/>
        </w:tabs>
        <w:ind w:left="5040" w:hanging="360"/>
      </w:pPr>
      <w:rPr>
        <w:rFonts w:cs="Times New Roman"/>
      </w:rPr>
    </w:lvl>
    <w:lvl w:ilvl="7" w:tplc="828E060E" w:tentative="1">
      <w:start w:val="1"/>
      <w:numFmt w:val="lowerLetter"/>
      <w:lvlText w:val="%8."/>
      <w:lvlJc w:val="left"/>
      <w:pPr>
        <w:tabs>
          <w:tab w:val="num" w:pos="5760"/>
        </w:tabs>
        <w:ind w:left="5760" w:hanging="360"/>
      </w:pPr>
      <w:rPr>
        <w:rFonts w:cs="Times New Roman"/>
      </w:rPr>
    </w:lvl>
    <w:lvl w:ilvl="8" w:tplc="A0E62214"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0658A"/>
    <w:multiLevelType w:val="hybridMultilevel"/>
    <w:tmpl w:val="3AA435BE"/>
    <w:lvl w:ilvl="0" w:tplc="05086D6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F1A269B8">
      <w:start w:val="1"/>
      <w:numFmt w:val="bullet"/>
      <w:lvlText w:val="o"/>
      <w:lvlJc w:val="left"/>
      <w:pPr>
        <w:tabs>
          <w:tab w:val="num" w:pos="1725"/>
        </w:tabs>
        <w:ind w:left="1725" w:hanging="360"/>
      </w:pPr>
      <w:rPr>
        <w:rFonts w:ascii="Courier New" w:hAnsi="Courier New" w:hint="default"/>
      </w:rPr>
    </w:lvl>
    <w:lvl w:ilvl="2" w:tplc="4F20E89C">
      <w:start w:val="1"/>
      <w:numFmt w:val="bullet"/>
      <w:lvlText w:val=""/>
      <w:lvlJc w:val="left"/>
      <w:pPr>
        <w:tabs>
          <w:tab w:val="num" w:pos="2445"/>
        </w:tabs>
        <w:ind w:left="2445" w:hanging="360"/>
      </w:pPr>
      <w:rPr>
        <w:rFonts w:ascii="Wingdings" w:hAnsi="Wingdings" w:hint="default"/>
      </w:rPr>
    </w:lvl>
    <w:lvl w:ilvl="3" w:tplc="6816888A">
      <w:start w:val="1"/>
      <w:numFmt w:val="decimal"/>
      <w:lvlText w:val="%4."/>
      <w:lvlJc w:val="left"/>
      <w:pPr>
        <w:tabs>
          <w:tab w:val="num" w:pos="3645"/>
        </w:tabs>
        <w:ind w:left="3645" w:hanging="840"/>
      </w:pPr>
      <w:rPr>
        <w:rFonts w:cs="Times New Roman" w:hint="default"/>
      </w:rPr>
    </w:lvl>
    <w:lvl w:ilvl="4" w:tplc="8E90D2BA" w:tentative="1">
      <w:start w:val="1"/>
      <w:numFmt w:val="bullet"/>
      <w:lvlText w:val="o"/>
      <w:lvlJc w:val="left"/>
      <w:pPr>
        <w:tabs>
          <w:tab w:val="num" w:pos="3885"/>
        </w:tabs>
        <w:ind w:left="3885" w:hanging="360"/>
      </w:pPr>
      <w:rPr>
        <w:rFonts w:ascii="Courier New" w:hAnsi="Courier New" w:hint="default"/>
      </w:rPr>
    </w:lvl>
    <w:lvl w:ilvl="5" w:tplc="BCF69910" w:tentative="1">
      <w:start w:val="1"/>
      <w:numFmt w:val="bullet"/>
      <w:lvlText w:val=""/>
      <w:lvlJc w:val="left"/>
      <w:pPr>
        <w:tabs>
          <w:tab w:val="num" w:pos="4605"/>
        </w:tabs>
        <w:ind w:left="4605" w:hanging="360"/>
      </w:pPr>
      <w:rPr>
        <w:rFonts w:ascii="Wingdings" w:hAnsi="Wingdings" w:hint="default"/>
      </w:rPr>
    </w:lvl>
    <w:lvl w:ilvl="6" w:tplc="70C0F012" w:tentative="1">
      <w:start w:val="1"/>
      <w:numFmt w:val="bullet"/>
      <w:lvlText w:val=""/>
      <w:lvlJc w:val="left"/>
      <w:pPr>
        <w:tabs>
          <w:tab w:val="num" w:pos="5325"/>
        </w:tabs>
        <w:ind w:left="5325" w:hanging="360"/>
      </w:pPr>
      <w:rPr>
        <w:rFonts w:ascii="Symbol" w:hAnsi="Symbol" w:hint="default"/>
      </w:rPr>
    </w:lvl>
    <w:lvl w:ilvl="7" w:tplc="7FDA6FB0" w:tentative="1">
      <w:start w:val="1"/>
      <w:numFmt w:val="bullet"/>
      <w:lvlText w:val="o"/>
      <w:lvlJc w:val="left"/>
      <w:pPr>
        <w:tabs>
          <w:tab w:val="num" w:pos="6045"/>
        </w:tabs>
        <w:ind w:left="6045" w:hanging="360"/>
      </w:pPr>
      <w:rPr>
        <w:rFonts w:ascii="Courier New" w:hAnsi="Courier New" w:hint="default"/>
      </w:rPr>
    </w:lvl>
    <w:lvl w:ilvl="8" w:tplc="44FAAEA2" w:tentative="1">
      <w:start w:val="1"/>
      <w:numFmt w:val="bullet"/>
      <w:lvlText w:val=""/>
      <w:lvlJc w:val="left"/>
      <w:pPr>
        <w:tabs>
          <w:tab w:val="num" w:pos="6765"/>
        </w:tabs>
        <w:ind w:left="6765" w:hanging="360"/>
      </w:pPr>
      <w:rPr>
        <w:rFonts w:ascii="Wingdings" w:hAnsi="Wingdings" w:hint="default"/>
      </w:rPr>
    </w:lvl>
  </w:abstractNum>
  <w:abstractNum w:abstractNumId="19">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0">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2">
    <w:nsid w:val="6E2A1243"/>
    <w:multiLevelType w:val="hybridMultilevel"/>
    <w:tmpl w:val="C44ADD38"/>
    <w:lvl w:ilvl="0" w:tplc="850EE1B4">
      <w:start w:val="1"/>
      <w:numFmt w:val="lowerLetter"/>
      <w:lvlText w:val="(%1)"/>
      <w:lvlJc w:val="left"/>
      <w:pPr>
        <w:ind w:left="1442" w:hanging="450"/>
      </w:pPr>
      <w:rPr>
        <w:rFonts w:hint="default"/>
      </w:rPr>
    </w:lvl>
    <w:lvl w:ilvl="1" w:tplc="5596E24A" w:tentative="1">
      <w:start w:val="1"/>
      <w:numFmt w:val="lowerLetter"/>
      <w:lvlText w:val="%2."/>
      <w:lvlJc w:val="left"/>
      <w:pPr>
        <w:ind w:left="2072" w:hanging="360"/>
      </w:pPr>
    </w:lvl>
    <w:lvl w:ilvl="2" w:tplc="CD5492B4" w:tentative="1">
      <w:start w:val="1"/>
      <w:numFmt w:val="lowerRoman"/>
      <w:lvlText w:val="%3."/>
      <w:lvlJc w:val="right"/>
      <w:pPr>
        <w:ind w:left="2792" w:hanging="180"/>
      </w:pPr>
    </w:lvl>
    <w:lvl w:ilvl="3" w:tplc="A9EE7A52" w:tentative="1">
      <w:start w:val="1"/>
      <w:numFmt w:val="decimal"/>
      <w:lvlText w:val="%4."/>
      <w:lvlJc w:val="left"/>
      <w:pPr>
        <w:ind w:left="3512" w:hanging="360"/>
      </w:pPr>
    </w:lvl>
    <w:lvl w:ilvl="4" w:tplc="FA44C384" w:tentative="1">
      <w:start w:val="1"/>
      <w:numFmt w:val="lowerLetter"/>
      <w:lvlText w:val="%5."/>
      <w:lvlJc w:val="left"/>
      <w:pPr>
        <w:ind w:left="4232" w:hanging="360"/>
      </w:pPr>
    </w:lvl>
    <w:lvl w:ilvl="5" w:tplc="1BEA3A56" w:tentative="1">
      <w:start w:val="1"/>
      <w:numFmt w:val="lowerRoman"/>
      <w:lvlText w:val="%6."/>
      <w:lvlJc w:val="right"/>
      <w:pPr>
        <w:ind w:left="4952" w:hanging="180"/>
      </w:pPr>
    </w:lvl>
    <w:lvl w:ilvl="6" w:tplc="799E2808" w:tentative="1">
      <w:start w:val="1"/>
      <w:numFmt w:val="decimal"/>
      <w:lvlText w:val="%7."/>
      <w:lvlJc w:val="left"/>
      <w:pPr>
        <w:ind w:left="5672" w:hanging="360"/>
      </w:pPr>
    </w:lvl>
    <w:lvl w:ilvl="7" w:tplc="306C1C9A" w:tentative="1">
      <w:start w:val="1"/>
      <w:numFmt w:val="lowerLetter"/>
      <w:lvlText w:val="%8."/>
      <w:lvlJc w:val="left"/>
      <w:pPr>
        <w:ind w:left="6392" w:hanging="360"/>
      </w:pPr>
    </w:lvl>
    <w:lvl w:ilvl="8" w:tplc="A4829E92" w:tentative="1">
      <w:start w:val="1"/>
      <w:numFmt w:val="lowerRoman"/>
      <w:lvlText w:val="%9."/>
      <w:lvlJc w:val="right"/>
      <w:pPr>
        <w:ind w:left="7112" w:hanging="180"/>
      </w:pPr>
    </w:lvl>
  </w:abstractNum>
  <w:abstractNum w:abstractNumId="23">
    <w:nsid w:val="70A707DE"/>
    <w:multiLevelType w:val="hybridMultilevel"/>
    <w:tmpl w:val="699AA458"/>
    <w:lvl w:ilvl="0" w:tplc="0D863130">
      <w:start w:val="1"/>
      <w:numFmt w:val="lowerLetter"/>
      <w:lvlText w:val="(%1)"/>
      <w:lvlJc w:val="left"/>
      <w:pPr>
        <w:ind w:left="1442" w:hanging="450"/>
      </w:pPr>
      <w:rPr>
        <w:rFonts w:hint="default"/>
      </w:rPr>
    </w:lvl>
    <w:lvl w:ilvl="1" w:tplc="64DE2BA2" w:tentative="1">
      <w:start w:val="1"/>
      <w:numFmt w:val="lowerLetter"/>
      <w:lvlText w:val="%2."/>
      <w:lvlJc w:val="left"/>
      <w:pPr>
        <w:ind w:left="2072" w:hanging="360"/>
      </w:pPr>
    </w:lvl>
    <w:lvl w:ilvl="2" w:tplc="6EB6D844" w:tentative="1">
      <w:start w:val="1"/>
      <w:numFmt w:val="lowerRoman"/>
      <w:lvlText w:val="%3."/>
      <w:lvlJc w:val="right"/>
      <w:pPr>
        <w:ind w:left="2792" w:hanging="180"/>
      </w:pPr>
    </w:lvl>
    <w:lvl w:ilvl="3" w:tplc="5E403EB8" w:tentative="1">
      <w:start w:val="1"/>
      <w:numFmt w:val="decimal"/>
      <w:lvlText w:val="%4."/>
      <w:lvlJc w:val="left"/>
      <w:pPr>
        <w:ind w:left="3512" w:hanging="360"/>
      </w:pPr>
    </w:lvl>
    <w:lvl w:ilvl="4" w:tplc="6C3478AA" w:tentative="1">
      <w:start w:val="1"/>
      <w:numFmt w:val="lowerLetter"/>
      <w:lvlText w:val="%5."/>
      <w:lvlJc w:val="left"/>
      <w:pPr>
        <w:ind w:left="4232" w:hanging="360"/>
      </w:pPr>
    </w:lvl>
    <w:lvl w:ilvl="5" w:tplc="71844664" w:tentative="1">
      <w:start w:val="1"/>
      <w:numFmt w:val="lowerRoman"/>
      <w:lvlText w:val="%6."/>
      <w:lvlJc w:val="right"/>
      <w:pPr>
        <w:ind w:left="4952" w:hanging="180"/>
      </w:pPr>
    </w:lvl>
    <w:lvl w:ilvl="6" w:tplc="F856B3D2" w:tentative="1">
      <w:start w:val="1"/>
      <w:numFmt w:val="decimal"/>
      <w:lvlText w:val="%7."/>
      <w:lvlJc w:val="left"/>
      <w:pPr>
        <w:ind w:left="5672" w:hanging="360"/>
      </w:pPr>
    </w:lvl>
    <w:lvl w:ilvl="7" w:tplc="210C535A" w:tentative="1">
      <w:start w:val="1"/>
      <w:numFmt w:val="lowerLetter"/>
      <w:lvlText w:val="%8."/>
      <w:lvlJc w:val="left"/>
      <w:pPr>
        <w:ind w:left="6392" w:hanging="360"/>
      </w:pPr>
    </w:lvl>
    <w:lvl w:ilvl="8" w:tplc="141E1A9E" w:tentative="1">
      <w:start w:val="1"/>
      <w:numFmt w:val="lowerRoman"/>
      <w:lvlText w:val="%9."/>
      <w:lvlJc w:val="right"/>
      <w:pPr>
        <w:ind w:left="7112" w:hanging="180"/>
      </w:pPr>
    </w:lvl>
  </w:abstractNum>
  <w:abstractNum w:abstractNumId="24">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6"/>
  </w:num>
  <w:num w:numId="2">
    <w:abstractNumId w:val="21"/>
  </w:num>
  <w:num w:numId="3">
    <w:abstractNumId w:val="1"/>
  </w:num>
  <w:num w:numId="4">
    <w:abstractNumId w:val="8"/>
  </w:num>
  <w:num w:numId="5">
    <w:abstractNumId w:val="6"/>
  </w:num>
  <w:num w:numId="6">
    <w:abstractNumId w:val="2"/>
  </w:num>
  <w:num w:numId="7">
    <w:abstractNumId w:val="19"/>
  </w:num>
  <w:num w:numId="8">
    <w:abstractNumId w:val="25"/>
  </w:num>
  <w:num w:numId="9">
    <w:abstractNumId w:val="16"/>
  </w:num>
  <w:num w:numId="10">
    <w:abstractNumId w:val="18"/>
  </w:num>
  <w:num w:numId="11">
    <w:abstractNumId w:val="3"/>
  </w:num>
  <w:num w:numId="12">
    <w:abstractNumId w:val="14"/>
  </w:num>
  <w:num w:numId="13">
    <w:abstractNumId w:val="4"/>
  </w:num>
  <w:num w:numId="14">
    <w:abstractNumId w:val="20"/>
  </w:num>
  <w:num w:numId="15">
    <w:abstractNumId w:val="15"/>
  </w:num>
  <w:num w:numId="16">
    <w:abstractNumId w:val="13"/>
  </w:num>
  <w:num w:numId="17">
    <w:abstractNumId w:val="5"/>
  </w:num>
  <w:num w:numId="18">
    <w:abstractNumId w:val="10"/>
  </w:num>
  <w:num w:numId="19">
    <w:abstractNumId w:val="7"/>
  </w:num>
  <w:num w:numId="20">
    <w:abstractNumId w:val="23"/>
  </w:num>
  <w:num w:numId="21">
    <w:abstractNumId w:val="24"/>
  </w:num>
  <w:num w:numId="22">
    <w:abstractNumId w:val="22"/>
  </w:num>
  <w:num w:numId="23">
    <w:abstractNumId w:val="1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4447"/>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667"/>
    <w:rsid w:val="002A492E"/>
    <w:rsid w:val="002A4AD1"/>
    <w:rsid w:val="002A4BF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6AE2"/>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2A4"/>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3C66"/>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EAF"/>
    <w:rsid w:val="004E7F13"/>
    <w:rsid w:val="004F053B"/>
    <w:rsid w:val="004F14F8"/>
    <w:rsid w:val="004F20A9"/>
    <w:rsid w:val="004F36E5"/>
    <w:rsid w:val="004F36F4"/>
    <w:rsid w:val="004F3E1D"/>
    <w:rsid w:val="004F4B2F"/>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58"/>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48"/>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3A96"/>
    <w:rsid w:val="009640F0"/>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2F1"/>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6E1"/>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0F"/>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258"/>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2068"/>
    <w:rsid w:val="00C54081"/>
    <w:rsid w:val="00C54E63"/>
    <w:rsid w:val="00C552A8"/>
    <w:rsid w:val="00C630CA"/>
    <w:rsid w:val="00C63F71"/>
    <w:rsid w:val="00C647E9"/>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B02"/>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C21"/>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List 3"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List 3"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0_18%20-%20Amendment%20to%20Capacity%20Settlement%20Statement%20publication%20from%20Monthly%20to%20Daily.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Mod_10_18%20Amendment%20to%20Capacity%20Settlement%20Statement%20Publication%20from%20Monthly%20to%20Daily.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10_18%20Amendment%20to%20Capacity%20Settlement%20Statement%20Publication%20from%20Monthly%20to%20Daily.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1084</Mod_x0020_ID>
    <Copy_x0020_Status xmlns="cbb0a0d9-112f-4326-8f46-bc654633ed4b">Success!</Copy_x0020_Status>
    <Copy_x0020_to_x0020_Website_x0020_Date xmlns="75a6b705-bedc-4a5d-a1fd-0ecd42d71ca5">2018-09-25T08:54:40+00:00</Copy_x0020_to_x0020_Website_x0020_Date>
    <Copy_x0020_to_x0020_Website xmlns="75a6b705-bedc-4a5d-a1fd-0ecd42d71ca5">false</Copy_x0020_to_x0020_Website>
    <Document_x0020_Type xmlns="cbb0a0d9-112f-4326-8f46-bc654633ed4b">FRR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30AA8-6E37-4E3E-BC47-04AB374E239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2.xml><?xml version="1.0" encoding="utf-8"?>
<ds:datastoreItem xmlns:ds="http://schemas.openxmlformats.org/officeDocument/2006/customXml" ds:itemID="{7D6C1B02-7732-43C8-8D68-07BA8AB6AD94}">
  <ds:schemaRefs>
    <ds:schemaRef ds:uri="http://schemas.microsoft.com/sharepoint/v3/contenttype/forms"/>
  </ds:schemaRefs>
</ds:datastoreItem>
</file>

<file path=customXml/itemProps3.xml><?xml version="1.0" encoding="utf-8"?>
<ds:datastoreItem xmlns:ds="http://schemas.openxmlformats.org/officeDocument/2006/customXml" ds:itemID="{6F5DE81C-7C84-41C7-A57B-43411222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0C5FD8-028F-4133-8DBA-922192C4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2768</Words>
  <Characters>17136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19865</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2018-11-05T10:18:00Z</dcterms:created>
  <dcterms:modified xsi:type="dcterms:W3CDTF">2018-11-05T10:18:00Z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