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rPr>
            </w:pPr>
          </w:p>
          <w:p w:rsidR="004C53E7" w:rsidRPr="004C53E7" w:rsidRDefault="004C53E7" w:rsidP="00D74B02">
            <w:pPr>
              <w:jc w:val="center"/>
              <w:rPr>
                <w:rFonts w:ascii="Calibri" w:hAnsi="Calibri" w:cs="Arial"/>
              </w:rPr>
            </w:pPr>
            <w:r w:rsidRPr="004C53E7">
              <w:rPr>
                <w:rFonts w:ascii="Calibri" w:hAnsi="Calibri" w:cs="Arial"/>
                <w:b/>
              </w:rPr>
              <w:t>MODIFICATION PROPOSAL FORM</w:t>
            </w:r>
          </w:p>
          <w:p w:rsidR="004C53E7" w:rsidRPr="004C53E7" w:rsidRDefault="004C53E7" w:rsidP="00D74B02">
            <w:pPr>
              <w:jc w:val="center"/>
              <w:rPr>
                <w:rFonts w:ascii="Calibri" w:hAnsi="Calibri" w:cs="Arial"/>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rPr>
            </w:pPr>
            <w:r w:rsidRPr="004C53E7">
              <w:rPr>
                <w:rFonts w:ascii="Arial" w:hAnsi="Arial" w:cs="Arial"/>
                <w:b/>
                <w:bCs/>
                <w:sz w:val="18"/>
                <w:szCs w:val="18"/>
              </w:rPr>
              <w:t>Proposer</w:t>
            </w:r>
          </w:p>
          <w:p w:rsidR="004C53E7" w:rsidRPr="004C53E7" w:rsidRDefault="004C53E7" w:rsidP="00D74B02">
            <w:pPr>
              <w:jc w:val="center"/>
              <w:rPr>
                <w:rFonts w:ascii="Arial" w:hAnsi="Arial" w:cs="Arial"/>
                <w:sz w:val="18"/>
                <w:szCs w:val="18"/>
              </w:rPr>
            </w:pPr>
            <w:r w:rsidRPr="004C53E7">
              <w:rPr>
                <w:rFonts w:ascii="Calibri" w:hAnsi="Calibri" w:cs="Arial"/>
                <w:i/>
              </w:rPr>
              <w:t>(Company)</w:t>
            </w:r>
          </w:p>
        </w:tc>
        <w:tc>
          <w:tcPr>
            <w:tcW w:w="2533" w:type="dxa"/>
            <w:gridSpan w:val="2"/>
            <w:vAlign w:val="center"/>
          </w:tcPr>
          <w:p w:rsidR="004C53E7" w:rsidRPr="004C53E7" w:rsidRDefault="004C53E7" w:rsidP="00D74B02">
            <w:pPr>
              <w:jc w:val="center"/>
              <w:rPr>
                <w:rFonts w:ascii="Calibri" w:hAnsi="Calibri" w:cs="Arial"/>
                <w:b/>
                <w:bCs/>
              </w:rPr>
            </w:pPr>
            <w:r w:rsidRPr="004C53E7">
              <w:rPr>
                <w:rFonts w:ascii="Calibri" w:hAnsi="Calibri" w:cs="Arial"/>
                <w:b/>
                <w:bCs/>
              </w:rPr>
              <w:t>Date of receipt</w:t>
            </w:r>
          </w:p>
          <w:p w:rsidR="004C53E7" w:rsidRPr="004C53E7" w:rsidRDefault="004C53E7" w:rsidP="00D74B02">
            <w:pPr>
              <w:jc w:val="center"/>
              <w:rPr>
                <w:rFonts w:ascii="Calibri" w:hAnsi="Calibri" w:cs="Arial"/>
              </w:rPr>
            </w:pPr>
            <w:r w:rsidRPr="004C53E7">
              <w:rPr>
                <w:rFonts w:ascii="Calibri" w:hAnsi="Calibri" w:cs="Arial"/>
                <w:i/>
              </w:rPr>
              <w:t>(assigned by Secretariat)</w:t>
            </w:r>
          </w:p>
        </w:tc>
        <w:tc>
          <w:tcPr>
            <w:tcW w:w="2311" w:type="dxa"/>
            <w:gridSpan w:val="2"/>
            <w:vAlign w:val="center"/>
          </w:tcPr>
          <w:p w:rsidR="004C53E7" w:rsidRPr="004C53E7" w:rsidRDefault="004C53E7" w:rsidP="00D74B02">
            <w:pPr>
              <w:jc w:val="center"/>
              <w:rPr>
                <w:rFonts w:ascii="Calibri" w:hAnsi="Calibri" w:cs="Arial"/>
                <w:b/>
                <w:bCs/>
              </w:rPr>
            </w:pPr>
            <w:r w:rsidRPr="004C53E7">
              <w:rPr>
                <w:rFonts w:ascii="Calibri" w:hAnsi="Calibri" w:cs="Arial"/>
                <w:b/>
                <w:bCs/>
              </w:rPr>
              <w:t>Type of Proposal</w:t>
            </w:r>
          </w:p>
          <w:p w:rsidR="004C53E7" w:rsidRPr="004C53E7" w:rsidRDefault="004C53E7" w:rsidP="00D74B02">
            <w:pPr>
              <w:jc w:val="center"/>
              <w:rPr>
                <w:rFonts w:ascii="Calibri" w:hAnsi="Calibri" w:cs="Arial"/>
              </w:rPr>
            </w:pPr>
            <w:r w:rsidRPr="004C53E7">
              <w:rPr>
                <w:rFonts w:ascii="Calibri" w:hAnsi="Calibri" w:cs="Arial"/>
                <w:bCs/>
                <w:i/>
              </w:rPr>
              <w:t>(delete as appropriate)</w:t>
            </w:r>
          </w:p>
        </w:tc>
        <w:tc>
          <w:tcPr>
            <w:tcW w:w="2311" w:type="dxa"/>
            <w:vAlign w:val="center"/>
          </w:tcPr>
          <w:p w:rsidR="004C53E7" w:rsidRPr="004C53E7" w:rsidRDefault="004C53E7" w:rsidP="00D74B02">
            <w:pPr>
              <w:jc w:val="center"/>
              <w:rPr>
                <w:rFonts w:ascii="Calibri" w:hAnsi="Calibri" w:cs="Arial"/>
                <w:color w:val="000000"/>
              </w:rPr>
            </w:pPr>
            <w:r w:rsidRPr="004C53E7">
              <w:rPr>
                <w:rFonts w:ascii="Calibri" w:hAnsi="Calibri" w:cs="Arial"/>
                <w:b/>
                <w:bCs/>
                <w:color w:val="000000"/>
              </w:rPr>
              <w:t>Modification Proposal ID</w:t>
            </w:r>
          </w:p>
          <w:p w:rsidR="004C53E7" w:rsidRPr="004C53E7" w:rsidRDefault="004C53E7" w:rsidP="00D74B02">
            <w:pPr>
              <w:jc w:val="center"/>
              <w:rPr>
                <w:rFonts w:ascii="Calibri" w:hAnsi="Calibri" w:cs="Arial"/>
              </w:rPr>
            </w:pPr>
            <w:r w:rsidRPr="004C53E7">
              <w:rPr>
                <w:rFonts w:ascii="Calibri" w:hAnsi="Calibri" w:cs="Arial"/>
                <w:i/>
              </w:rPr>
              <w:t>(assigned by Secretariat)</w:t>
            </w:r>
          </w:p>
        </w:tc>
      </w:tr>
      <w:tr w:rsidR="004C53E7" w:rsidRPr="004C53E7" w:rsidTr="00693AA7">
        <w:tc>
          <w:tcPr>
            <w:tcW w:w="2088" w:type="dxa"/>
            <w:vAlign w:val="center"/>
          </w:tcPr>
          <w:p w:rsidR="004C53E7" w:rsidRPr="004C53E7" w:rsidRDefault="00670B07" w:rsidP="00693AA7">
            <w:pPr>
              <w:jc w:val="center"/>
              <w:rPr>
                <w:rFonts w:ascii="Calibri" w:hAnsi="Calibri" w:cs="Arial"/>
                <w:b/>
              </w:rPr>
            </w:pPr>
            <w:proofErr w:type="spellStart"/>
            <w:r>
              <w:rPr>
                <w:rFonts w:ascii="Calibri" w:hAnsi="Calibri" w:cs="Arial"/>
                <w:b/>
              </w:rPr>
              <w:t>SEMOpx</w:t>
            </w:r>
            <w:proofErr w:type="spellEnd"/>
          </w:p>
        </w:tc>
        <w:tc>
          <w:tcPr>
            <w:tcW w:w="2533" w:type="dxa"/>
            <w:gridSpan w:val="2"/>
            <w:vAlign w:val="center"/>
          </w:tcPr>
          <w:p w:rsidR="004C53E7" w:rsidRPr="004C53E7" w:rsidRDefault="00C2114D" w:rsidP="00670B07">
            <w:pPr>
              <w:rPr>
                <w:rFonts w:ascii="Calibri" w:hAnsi="Calibri" w:cs="Arial"/>
                <w:b/>
              </w:rPr>
            </w:pPr>
            <w:r>
              <w:rPr>
                <w:rFonts w:ascii="Calibri" w:hAnsi="Calibri" w:cs="Arial"/>
                <w:b/>
              </w:rPr>
              <w:t>28 November 2017</w:t>
            </w:r>
          </w:p>
        </w:tc>
        <w:tc>
          <w:tcPr>
            <w:tcW w:w="2311" w:type="dxa"/>
            <w:gridSpan w:val="2"/>
            <w:vAlign w:val="center"/>
          </w:tcPr>
          <w:p w:rsidR="004C53E7" w:rsidRPr="004C53E7" w:rsidRDefault="004C53E7" w:rsidP="000F235F">
            <w:pPr>
              <w:jc w:val="center"/>
              <w:rPr>
                <w:rFonts w:ascii="Calibri" w:hAnsi="Calibri" w:cs="Arial"/>
                <w:b/>
              </w:rPr>
            </w:pPr>
            <w:del w:id="0" w:author="Author">
              <w:r w:rsidRPr="004C53E7" w:rsidDel="00E17473">
                <w:rPr>
                  <w:rFonts w:ascii="Calibri" w:hAnsi="Calibri" w:cs="Arial"/>
                  <w:b/>
                </w:rPr>
                <w:delText>Provisional</w:delText>
              </w:r>
            </w:del>
            <w:ins w:id="1" w:author="Author">
              <w:r w:rsidR="00E17473">
                <w:rPr>
                  <w:rFonts w:ascii="Calibri" w:hAnsi="Calibri" w:cs="Arial"/>
                  <w:b/>
                </w:rPr>
                <w:t>Standard</w:t>
              </w:r>
            </w:ins>
          </w:p>
        </w:tc>
        <w:tc>
          <w:tcPr>
            <w:tcW w:w="2311" w:type="dxa"/>
            <w:vAlign w:val="center"/>
          </w:tcPr>
          <w:p w:rsidR="004C53E7" w:rsidRPr="004C53E7" w:rsidRDefault="00C2114D" w:rsidP="00693AA7">
            <w:pPr>
              <w:jc w:val="center"/>
              <w:rPr>
                <w:rFonts w:ascii="Calibri" w:hAnsi="Calibri" w:cs="Arial"/>
                <w:b/>
              </w:rPr>
            </w:pPr>
            <w:r>
              <w:rPr>
                <w:rFonts w:ascii="Calibri" w:hAnsi="Calibri" w:cs="Arial"/>
                <w:b/>
              </w:rPr>
              <w:t>Mod_17_17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rPr>
            </w:pPr>
            <w:r w:rsidRPr="004C53E7">
              <w:rPr>
                <w:rFonts w:ascii="Calibri" w:hAnsi="Calibri" w:cs="Arial"/>
                <w:b/>
                <w:bCs/>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Name</w:t>
            </w:r>
          </w:p>
        </w:tc>
        <w:tc>
          <w:tcPr>
            <w:tcW w:w="2925"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Telephone number</w:t>
            </w:r>
          </w:p>
        </w:tc>
        <w:tc>
          <w:tcPr>
            <w:tcW w:w="3375" w:type="dxa"/>
            <w:gridSpan w:val="2"/>
            <w:vAlign w:val="center"/>
          </w:tcPr>
          <w:p w:rsidR="004C53E7" w:rsidRPr="004C53E7" w:rsidRDefault="004C53E7" w:rsidP="00D74B02">
            <w:pPr>
              <w:jc w:val="center"/>
              <w:rPr>
                <w:rFonts w:ascii="Calibri" w:hAnsi="Calibri" w:cs="Arial"/>
              </w:rPr>
            </w:pPr>
            <w:r w:rsidRPr="004C53E7">
              <w:rPr>
                <w:rFonts w:ascii="Calibri" w:hAnsi="Calibri" w:cs="Arial"/>
                <w:b/>
                <w:bCs/>
              </w:rPr>
              <w:t>Email address</w:t>
            </w:r>
          </w:p>
        </w:tc>
      </w:tr>
      <w:tr w:rsidR="004C53E7" w:rsidRPr="004C53E7" w:rsidTr="00693AA7">
        <w:tc>
          <w:tcPr>
            <w:tcW w:w="2943" w:type="dxa"/>
            <w:gridSpan w:val="2"/>
            <w:vAlign w:val="center"/>
          </w:tcPr>
          <w:p w:rsidR="004C53E7" w:rsidRPr="004C53E7" w:rsidRDefault="00670B07" w:rsidP="00693AA7">
            <w:pPr>
              <w:rPr>
                <w:rFonts w:ascii="Calibri" w:hAnsi="Calibri" w:cs="Arial"/>
                <w:b/>
              </w:rPr>
            </w:pPr>
            <w:r>
              <w:rPr>
                <w:rFonts w:ascii="Calibri" w:hAnsi="Calibri" w:cs="Arial"/>
                <w:b/>
              </w:rPr>
              <w:t>Nigel Thomson</w:t>
            </w:r>
          </w:p>
        </w:tc>
        <w:tc>
          <w:tcPr>
            <w:tcW w:w="2925" w:type="dxa"/>
            <w:gridSpan w:val="2"/>
            <w:vAlign w:val="center"/>
          </w:tcPr>
          <w:p w:rsidR="004C53E7" w:rsidRPr="004C53E7" w:rsidRDefault="004C53E7" w:rsidP="00693AA7">
            <w:pPr>
              <w:rPr>
                <w:rFonts w:ascii="Calibri" w:hAnsi="Calibri" w:cs="Arial"/>
                <w:b/>
              </w:rPr>
            </w:pPr>
          </w:p>
        </w:tc>
        <w:tc>
          <w:tcPr>
            <w:tcW w:w="3375" w:type="dxa"/>
            <w:gridSpan w:val="2"/>
            <w:vAlign w:val="center"/>
          </w:tcPr>
          <w:p w:rsidR="004C53E7" w:rsidRPr="004C53E7" w:rsidRDefault="004C53E7" w:rsidP="00693AA7">
            <w:pPr>
              <w:rPr>
                <w:rFonts w:ascii="Calibri" w:hAnsi="Calibri" w:cs="Arial"/>
                <w:b/>
              </w:rPr>
            </w:pP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Modification Proposal Title</w:t>
            </w:r>
          </w:p>
        </w:tc>
      </w:tr>
      <w:tr w:rsidR="004C53E7" w:rsidRPr="004C53E7" w:rsidTr="00693AA7">
        <w:trPr>
          <w:trHeight w:val="323"/>
        </w:trPr>
        <w:tc>
          <w:tcPr>
            <w:tcW w:w="9243" w:type="dxa"/>
            <w:gridSpan w:val="6"/>
            <w:vAlign w:val="center"/>
          </w:tcPr>
          <w:p w:rsidR="004C53E7" w:rsidRPr="004C53E7" w:rsidRDefault="00254309" w:rsidP="00DB1016">
            <w:pPr>
              <w:spacing w:line="480" w:lineRule="auto"/>
              <w:rPr>
                <w:rFonts w:ascii="Calibri" w:hAnsi="Calibri" w:cs="Arial"/>
                <w:b/>
                <w:bCs/>
                <w:color w:val="000000"/>
              </w:rPr>
            </w:pPr>
            <w:r>
              <w:rPr>
                <w:rFonts w:ascii="Calibri" w:hAnsi="Calibri" w:cs="Arial"/>
                <w:b/>
                <w:bCs/>
                <w:color w:val="000000"/>
              </w:rPr>
              <w:t xml:space="preserve">Recovery of Costs </w:t>
            </w:r>
            <w:r w:rsidR="008D149F">
              <w:rPr>
                <w:rFonts w:ascii="Calibri" w:hAnsi="Calibri" w:cs="Arial"/>
                <w:b/>
                <w:bCs/>
                <w:color w:val="000000"/>
              </w:rPr>
              <w:t xml:space="preserve">due to </w:t>
            </w:r>
            <w:r w:rsidR="00F45047">
              <w:rPr>
                <w:rFonts w:ascii="Calibri" w:hAnsi="Calibri" w:cs="Arial"/>
                <w:b/>
                <w:bCs/>
                <w:color w:val="000000"/>
              </w:rPr>
              <w:t>Invalid</w:t>
            </w:r>
            <w:r w:rsidR="006E3922">
              <w:rPr>
                <w:rFonts w:ascii="Calibri" w:hAnsi="Calibri" w:cs="Arial"/>
                <w:b/>
                <w:bCs/>
                <w:color w:val="000000"/>
              </w:rPr>
              <w:t xml:space="preserve"> Ex-Ante</w:t>
            </w:r>
            <w:r w:rsidR="00F45047">
              <w:rPr>
                <w:rFonts w:ascii="Calibri" w:hAnsi="Calibri" w:cs="Arial"/>
                <w:b/>
                <w:bCs/>
                <w:color w:val="000000"/>
              </w:rPr>
              <w:t xml:space="preserve"> Contracted Quantities</w:t>
            </w:r>
            <w:r w:rsidR="008D149F">
              <w:rPr>
                <w:rFonts w:ascii="Calibri" w:hAnsi="Calibri" w:cs="Arial"/>
                <w:b/>
                <w:bCs/>
                <w:color w:val="000000"/>
              </w:rPr>
              <w:t xml:space="preserve"> in Imbalance Settl</w:t>
            </w:r>
            <w:r w:rsidR="00DB1016">
              <w:rPr>
                <w:rFonts w:ascii="Calibri" w:hAnsi="Calibri" w:cs="Arial"/>
                <w:b/>
                <w:bCs/>
                <w:color w:val="000000"/>
              </w:rPr>
              <w:t>e</w:t>
            </w:r>
            <w:r w:rsidR="008D149F">
              <w:rPr>
                <w:rFonts w:ascii="Calibri" w:hAnsi="Calibri" w:cs="Arial"/>
                <w:b/>
                <w:bCs/>
                <w:color w:val="000000"/>
              </w:rPr>
              <w:t>ment</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Documents affected</w:t>
            </w:r>
          </w:p>
          <w:p w:rsidR="004C53E7" w:rsidRPr="004C53E7" w:rsidRDefault="004C53E7" w:rsidP="00D74B02">
            <w:pPr>
              <w:jc w:val="center"/>
              <w:rPr>
                <w:rFonts w:ascii="Calibri" w:hAnsi="Calibri" w:cs="Arial"/>
                <w:b/>
                <w:bCs/>
              </w:rPr>
            </w:pPr>
            <w:r w:rsidRPr="004C53E7">
              <w:rPr>
                <w:rFonts w:ascii="Calibri" w:hAnsi="Calibri" w:cs="Arial"/>
                <w:i/>
              </w:rPr>
              <w:t>(delete as appropriate)</w:t>
            </w:r>
          </w:p>
        </w:tc>
        <w:tc>
          <w:tcPr>
            <w:tcW w:w="2925" w:type="dxa"/>
            <w:gridSpan w:val="2"/>
            <w:shd w:val="clear" w:color="auto" w:fill="C6D9F1"/>
            <w:vAlign w:val="center"/>
          </w:tcPr>
          <w:p w:rsidR="004C53E7" w:rsidRPr="004C53E7" w:rsidRDefault="004C53E7" w:rsidP="00D74B02">
            <w:pPr>
              <w:jc w:val="center"/>
              <w:rPr>
                <w:rStyle w:val="IntenseEmphasis"/>
              </w:rPr>
            </w:pPr>
            <w:r w:rsidRPr="004C53E7">
              <w:rPr>
                <w:rFonts w:ascii="Calibri" w:hAnsi="Calibri" w:cs="Arial"/>
                <w:b/>
                <w:bCs/>
              </w:rPr>
              <w:t>Section(s) Affected</w:t>
            </w:r>
          </w:p>
        </w:tc>
        <w:tc>
          <w:tcPr>
            <w:tcW w:w="3375" w:type="dxa"/>
            <w:gridSpan w:val="2"/>
            <w:shd w:val="clear" w:color="auto" w:fill="C6D9F1"/>
            <w:vAlign w:val="center"/>
          </w:tcPr>
          <w:p w:rsidR="004C53E7" w:rsidRPr="004C53E7" w:rsidRDefault="004C53E7" w:rsidP="00D74B02">
            <w:pPr>
              <w:jc w:val="center"/>
              <w:rPr>
                <w:rStyle w:val="IntenseEmphasis"/>
              </w:rPr>
            </w:pPr>
            <w:r w:rsidRPr="004C53E7">
              <w:rPr>
                <w:rFonts w:ascii="Calibri" w:hAnsi="Calibri" w:cs="Arial"/>
                <w:b/>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B454FE">
            <w:pPr>
              <w:jc w:val="center"/>
              <w:rPr>
                <w:rFonts w:ascii="Calibri" w:hAnsi="Calibri" w:cs="Arial"/>
                <w:b/>
              </w:rPr>
            </w:pPr>
            <w:r w:rsidRPr="004C53E7">
              <w:rPr>
                <w:rFonts w:ascii="Calibri" w:hAnsi="Calibri" w:cs="Arial"/>
                <w:b/>
              </w:rPr>
              <w:t>T&amp;SC</w:t>
            </w:r>
            <w:r w:rsidR="00B454FE">
              <w:rPr>
                <w:rFonts w:ascii="Calibri" w:hAnsi="Calibri" w:cs="Arial"/>
                <w:b/>
              </w:rPr>
              <w:t xml:space="preserve"> Part B </w:t>
            </w:r>
          </w:p>
        </w:tc>
        <w:tc>
          <w:tcPr>
            <w:tcW w:w="2925" w:type="dxa"/>
            <w:gridSpan w:val="2"/>
            <w:vAlign w:val="center"/>
          </w:tcPr>
          <w:p w:rsidR="004C53E7" w:rsidRPr="004C53E7" w:rsidRDefault="00DB1016" w:rsidP="00DB1016">
            <w:pPr>
              <w:jc w:val="center"/>
              <w:rPr>
                <w:rFonts w:ascii="Calibri" w:hAnsi="Calibri" w:cs="Arial"/>
                <w:b/>
              </w:rPr>
            </w:pPr>
            <w:r>
              <w:rPr>
                <w:rFonts w:ascii="Calibri" w:hAnsi="Calibri" w:cs="Arial"/>
                <w:b/>
              </w:rPr>
              <w:t>Section G</w:t>
            </w:r>
          </w:p>
        </w:tc>
        <w:tc>
          <w:tcPr>
            <w:tcW w:w="3375" w:type="dxa"/>
            <w:gridSpan w:val="2"/>
            <w:vAlign w:val="center"/>
          </w:tcPr>
          <w:p w:rsidR="004C53E7" w:rsidRPr="004C53E7" w:rsidRDefault="00A40736" w:rsidP="00693AA7">
            <w:pPr>
              <w:jc w:val="center"/>
              <w:rPr>
                <w:rFonts w:ascii="Calibri" w:hAnsi="Calibri" w:cs="Arial"/>
                <w:b/>
              </w:rPr>
            </w:pPr>
            <w:r>
              <w:rPr>
                <w:rFonts w:ascii="Calibri" w:hAnsi="Calibri" w:cs="Arial"/>
                <w:b/>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Explanation of Proposed Change</w:t>
            </w:r>
          </w:p>
          <w:p w:rsidR="004C53E7" w:rsidRPr="004C53E7" w:rsidRDefault="004C53E7" w:rsidP="00D74B02">
            <w:pPr>
              <w:jc w:val="center"/>
              <w:rPr>
                <w:rFonts w:ascii="Calibri" w:hAnsi="Calibri" w:cs="Arial"/>
              </w:rPr>
            </w:pPr>
            <w:r w:rsidRPr="004C53E7">
              <w:rPr>
                <w:rFonts w:ascii="Calibri" w:hAnsi="Calibri"/>
                <w:i/>
                <w:spacing w:val="-3"/>
              </w:rPr>
              <w:t>(mandatory by originator)</w:t>
            </w:r>
          </w:p>
        </w:tc>
      </w:tr>
      <w:tr w:rsidR="004C53E7" w:rsidRPr="004C53E7" w:rsidTr="00693AA7">
        <w:trPr>
          <w:trHeight w:val="467"/>
        </w:trPr>
        <w:tc>
          <w:tcPr>
            <w:tcW w:w="9243" w:type="dxa"/>
            <w:gridSpan w:val="6"/>
            <w:vAlign w:val="center"/>
          </w:tcPr>
          <w:p w:rsidR="00001773" w:rsidRPr="008D149F" w:rsidRDefault="0012259A" w:rsidP="00001773">
            <w:pPr>
              <w:rPr>
                <w:rFonts w:ascii="Calibri" w:hAnsi="Calibri" w:cs="Arial"/>
                <w:b/>
                <w:i/>
              </w:rPr>
            </w:pPr>
            <w:r w:rsidRPr="008D149F">
              <w:rPr>
                <w:rFonts w:ascii="Calibri" w:hAnsi="Calibri" w:cs="Arial"/>
                <w:b/>
                <w:i/>
              </w:rPr>
              <w:t>It is recommended to read the “Modification Proposal Justification” section of this proposal to provide the context for its submissio</w:t>
            </w:r>
            <w:r w:rsidR="008D149F" w:rsidRPr="008D149F">
              <w:rPr>
                <w:rFonts w:ascii="Calibri" w:hAnsi="Calibri" w:cs="Arial"/>
                <w:b/>
                <w:i/>
              </w:rPr>
              <w:t>n prior to reading this section and subsequent sections of the pr</w:t>
            </w:r>
            <w:r w:rsidR="004B657A" w:rsidRPr="008D149F">
              <w:rPr>
                <w:rFonts w:ascii="Calibri" w:hAnsi="Calibri" w:cs="Arial"/>
                <w:b/>
                <w:i/>
              </w:rPr>
              <w:t xml:space="preserve">oposed </w:t>
            </w:r>
            <w:r w:rsidRPr="008D149F">
              <w:rPr>
                <w:rFonts w:ascii="Calibri" w:hAnsi="Calibri" w:cs="Arial"/>
                <w:b/>
                <w:i/>
              </w:rPr>
              <w:t>changes.</w:t>
            </w:r>
          </w:p>
          <w:p w:rsidR="004B657A" w:rsidRPr="007E1423" w:rsidRDefault="004B657A" w:rsidP="00681F03">
            <w:pPr>
              <w:rPr>
                <w:b/>
                <w:sz w:val="24"/>
                <w:szCs w:val="24"/>
              </w:rPr>
            </w:pPr>
          </w:p>
          <w:p w:rsidR="00B454FE" w:rsidRDefault="007E1423" w:rsidP="00681F03">
            <w:r>
              <w:t xml:space="preserve">The changes proposed to the </w:t>
            </w:r>
            <w:r w:rsidR="008D149F">
              <w:t xml:space="preserve">TSC </w:t>
            </w:r>
            <w:r w:rsidR="002F528C" w:rsidRPr="007E1423">
              <w:t xml:space="preserve">seek to provide a workable solution to </w:t>
            </w:r>
            <w:r w:rsidR="00D60621" w:rsidRPr="007E1423">
              <w:t xml:space="preserve">how </w:t>
            </w:r>
            <w:r w:rsidR="00B454FE" w:rsidRPr="007E1423">
              <w:t xml:space="preserve">specific low probability risks related to imbalances due to </w:t>
            </w:r>
            <w:r w:rsidR="00DB1016">
              <w:t xml:space="preserve">invalid Ex-Ante </w:t>
            </w:r>
            <w:r w:rsidR="00F45047">
              <w:t>Market Contracted Quantities</w:t>
            </w:r>
            <w:r w:rsidR="008D149F">
              <w:t xml:space="preserve"> are mitigated in the I-SEM</w:t>
            </w:r>
            <w:r w:rsidR="00555D41">
              <w:t>,</w:t>
            </w:r>
            <w:r w:rsidR="008D149F">
              <w:t xml:space="preserve"> given the</w:t>
            </w:r>
            <w:r w:rsidR="00DB1016">
              <w:t xml:space="preserve"> interrelationship between the Ex-Ante M</w:t>
            </w:r>
            <w:r w:rsidR="008D149F">
              <w:t>arkets and Imbalance Settlement.</w:t>
            </w:r>
          </w:p>
          <w:p w:rsidR="008D149F" w:rsidRDefault="008D149F" w:rsidP="00681F03"/>
          <w:p w:rsidR="008D149F" w:rsidRDefault="008D149F" w:rsidP="00681F03">
            <w:r>
              <w:t xml:space="preserve">The modification consists of changes to </w:t>
            </w:r>
            <w:r w:rsidR="00DB1016">
              <w:t>Section G of Part B of the Code to:</w:t>
            </w:r>
          </w:p>
          <w:p w:rsidR="008D149F" w:rsidRPr="008D149F" w:rsidRDefault="008D149F" w:rsidP="008D149F">
            <w:pPr>
              <w:pStyle w:val="ListParagraph"/>
              <w:numPr>
                <w:ilvl w:val="0"/>
                <w:numId w:val="21"/>
              </w:numPr>
              <w:rPr>
                <w:rFonts w:ascii="Times New Roman" w:hAnsi="Times New Roman"/>
                <w:sz w:val="20"/>
                <w:szCs w:val="20"/>
                <w:lang w:val="en-IE" w:eastAsia="en-GB"/>
              </w:rPr>
            </w:pPr>
            <w:r w:rsidRPr="008D149F">
              <w:rPr>
                <w:rFonts w:ascii="Times New Roman" w:hAnsi="Times New Roman"/>
                <w:sz w:val="20"/>
                <w:szCs w:val="20"/>
                <w:lang w:val="en-IE" w:eastAsia="en-GB"/>
              </w:rPr>
              <w:t>Provide SEM NEMO’s time to recover costs from the relevant E</w:t>
            </w:r>
            <w:r w:rsidR="00F45047">
              <w:rPr>
                <w:rFonts w:ascii="Times New Roman" w:hAnsi="Times New Roman"/>
                <w:sz w:val="20"/>
                <w:szCs w:val="20"/>
                <w:lang w:val="en-IE" w:eastAsia="en-GB"/>
              </w:rPr>
              <w:t>xchange Member in order to pay I</w:t>
            </w:r>
            <w:r w:rsidRPr="008D149F">
              <w:rPr>
                <w:rFonts w:ascii="Times New Roman" w:hAnsi="Times New Roman"/>
                <w:sz w:val="20"/>
                <w:szCs w:val="20"/>
                <w:lang w:val="en-IE" w:eastAsia="en-GB"/>
              </w:rPr>
              <w:t>mb</w:t>
            </w:r>
            <w:r w:rsidR="00F45047">
              <w:rPr>
                <w:rFonts w:ascii="Times New Roman" w:hAnsi="Times New Roman"/>
                <w:sz w:val="20"/>
                <w:szCs w:val="20"/>
                <w:lang w:val="en-IE" w:eastAsia="en-GB"/>
              </w:rPr>
              <w:t xml:space="preserve">alance </w:t>
            </w:r>
            <w:ins w:id="2" w:author="Author">
              <w:r w:rsidR="00A26DF6">
                <w:rPr>
                  <w:rFonts w:ascii="Times New Roman" w:hAnsi="Times New Roman"/>
                  <w:sz w:val="20"/>
                  <w:szCs w:val="20"/>
                  <w:lang w:val="en-IE" w:eastAsia="en-GB"/>
                </w:rPr>
                <w:t>S</w:t>
              </w:r>
            </w:ins>
            <w:del w:id="3" w:author="Author">
              <w:r w:rsidR="00F45047" w:rsidDel="00A26DF6">
                <w:rPr>
                  <w:rFonts w:ascii="Times New Roman" w:hAnsi="Times New Roman"/>
                  <w:sz w:val="20"/>
                  <w:szCs w:val="20"/>
                  <w:lang w:val="en-IE" w:eastAsia="en-GB"/>
                </w:rPr>
                <w:delText>s</w:delText>
              </w:r>
            </w:del>
            <w:r w:rsidRPr="008D149F">
              <w:rPr>
                <w:rFonts w:ascii="Times New Roman" w:hAnsi="Times New Roman"/>
                <w:sz w:val="20"/>
                <w:szCs w:val="20"/>
                <w:lang w:val="en-IE" w:eastAsia="en-GB"/>
              </w:rPr>
              <w:t xml:space="preserve">ettlement due to </w:t>
            </w:r>
            <w:r w:rsidR="00DB1016">
              <w:rPr>
                <w:rFonts w:ascii="Times New Roman" w:hAnsi="Times New Roman"/>
                <w:sz w:val="20"/>
                <w:szCs w:val="20"/>
                <w:lang w:val="en-IE" w:eastAsia="en-GB"/>
              </w:rPr>
              <w:t xml:space="preserve">invalid </w:t>
            </w:r>
            <w:r w:rsidR="00F45047">
              <w:rPr>
                <w:rFonts w:ascii="Times New Roman" w:hAnsi="Times New Roman"/>
                <w:sz w:val="20"/>
                <w:szCs w:val="20"/>
                <w:lang w:val="en-IE" w:eastAsia="en-GB"/>
              </w:rPr>
              <w:t>Contracted Quantities</w:t>
            </w:r>
            <w:r>
              <w:rPr>
                <w:rFonts w:ascii="Times New Roman" w:hAnsi="Times New Roman"/>
                <w:sz w:val="20"/>
                <w:szCs w:val="20"/>
                <w:lang w:val="en-IE" w:eastAsia="en-GB"/>
              </w:rPr>
              <w:t>.</w:t>
            </w:r>
          </w:p>
          <w:p w:rsidR="00A367C1" w:rsidRDefault="00A367C1" w:rsidP="008D149F">
            <w:pPr>
              <w:pStyle w:val="ListParagraph"/>
              <w:numPr>
                <w:ilvl w:val="0"/>
                <w:numId w:val="21"/>
              </w:numPr>
              <w:rPr>
                <w:ins w:id="4" w:author="Author"/>
                <w:rFonts w:ascii="Times New Roman" w:hAnsi="Times New Roman"/>
                <w:sz w:val="20"/>
                <w:szCs w:val="20"/>
                <w:lang w:val="en-IE" w:eastAsia="en-GB"/>
              </w:rPr>
            </w:pPr>
            <w:ins w:id="5" w:author="Author">
              <w:r>
                <w:rPr>
                  <w:rFonts w:ascii="Times New Roman" w:hAnsi="Times New Roman"/>
                  <w:sz w:val="20"/>
                  <w:szCs w:val="20"/>
                  <w:lang w:val="en-IE" w:eastAsia="en-GB"/>
                </w:rPr>
                <w:t>Notify SEMO and Participants of the invalid Contracted Quantity issue</w:t>
              </w:r>
              <w:r>
                <w:rPr>
                  <w:rStyle w:val="FootnoteReference"/>
                  <w:rFonts w:ascii="Times New Roman" w:hAnsi="Times New Roman"/>
                  <w:sz w:val="20"/>
                  <w:szCs w:val="20"/>
                  <w:lang w:val="en-IE" w:eastAsia="en-GB"/>
                </w:rPr>
                <w:footnoteReference w:id="1"/>
              </w:r>
            </w:ins>
          </w:p>
          <w:p w:rsidR="008D149F" w:rsidRDefault="008D149F" w:rsidP="008D149F">
            <w:pPr>
              <w:pStyle w:val="ListParagraph"/>
              <w:numPr>
                <w:ilvl w:val="0"/>
                <w:numId w:val="21"/>
              </w:numPr>
              <w:rPr>
                <w:ins w:id="7" w:author="Author"/>
                <w:rFonts w:ascii="Times New Roman" w:hAnsi="Times New Roman"/>
                <w:sz w:val="20"/>
                <w:szCs w:val="20"/>
                <w:lang w:val="en-IE" w:eastAsia="en-GB"/>
              </w:rPr>
            </w:pPr>
            <w:del w:id="8" w:author="Author">
              <w:r w:rsidDel="00A367C1">
                <w:rPr>
                  <w:rFonts w:ascii="Times New Roman" w:hAnsi="Times New Roman"/>
                  <w:sz w:val="20"/>
                  <w:szCs w:val="20"/>
                  <w:lang w:val="en-IE" w:eastAsia="en-GB"/>
                </w:rPr>
                <w:delText>Clauses to w</w:delText>
              </w:r>
            </w:del>
            <w:ins w:id="9" w:author="Author">
              <w:r w:rsidR="00A367C1">
                <w:rPr>
                  <w:rFonts w:ascii="Times New Roman" w:hAnsi="Times New Roman"/>
                  <w:sz w:val="20"/>
                  <w:szCs w:val="20"/>
                  <w:lang w:val="en-IE" w:eastAsia="en-GB"/>
                </w:rPr>
                <w:t>W</w:t>
              </w:r>
            </w:ins>
            <w:r>
              <w:rPr>
                <w:rFonts w:ascii="Times New Roman" w:hAnsi="Times New Roman"/>
                <w:sz w:val="20"/>
                <w:szCs w:val="20"/>
                <w:lang w:val="en-IE" w:eastAsia="en-GB"/>
              </w:rPr>
              <w:t>ithhold TSC payments to the relevan</w:t>
            </w:r>
            <w:r w:rsidR="00DB1016">
              <w:rPr>
                <w:rFonts w:ascii="Times New Roman" w:hAnsi="Times New Roman"/>
                <w:sz w:val="20"/>
                <w:szCs w:val="20"/>
                <w:lang w:val="en-IE" w:eastAsia="en-GB"/>
              </w:rPr>
              <w:t xml:space="preserve">t SEMO Participant subject to an invalid </w:t>
            </w:r>
            <w:r w:rsidR="00F45047">
              <w:rPr>
                <w:rFonts w:ascii="Times New Roman" w:hAnsi="Times New Roman"/>
                <w:sz w:val="20"/>
                <w:szCs w:val="20"/>
                <w:lang w:val="en-IE" w:eastAsia="en-GB"/>
              </w:rPr>
              <w:t xml:space="preserve">Contracted Quantity </w:t>
            </w:r>
            <w:r>
              <w:rPr>
                <w:rFonts w:ascii="Times New Roman" w:hAnsi="Times New Roman"/>
                <w:sz w:val="20"/>
                <w:szCs w:val="20"/>
                <w:lang w:val="en-IE" w:eastAsia="en-GB"/>
              </w:rPr>
              <w:t>where the withholding of TSC payments will minimise the costs needing r</w:t>
            </w:r>
            <w:r w:rsidR="00DB1016">
              <w:rPr>
                <w:rFonts w:ascii="Times New Roman" w:hAnsi="Times New Roman"/>
                <w:sz w:val="20"/>
                <w:szCs w:val="20"/>
                <w:lang w:val="en-IE" w:eastAsia="en-GB"/>
              </w:rPr>
              <w:t xml:space="preserve">ecovery for the invalid </w:t>
            </w:r>
            <w:r w:rsidR="00F45047">
              <w:rPr>
                <w:rFonts w:ascii="Times New Roman" w:hAnsi="Times New Roman"/>
                <w:sz w:val="20"/>
                <w:szCs w:val="20"/>
                <w:lang w:val="en-IE" w:eastAsia="en-GB"/>
              </w:rPr>
              <w:t>Contracted Quantity</w:t>
            </w:r>
            <w:r w:rsidR="00DB1016">
              <w:rPr>
                <w:rFonts w:ascii="Times New Roman" w:hAnsi="Times New Roman"/>
                <w:sz w:val="20"/>
                <w:szCs w:val="20"/>
                <w:lang w:val="en-IE" w:eastAsia="en-GB"/>
              </w:rPr>
              <w:t>.</w:t>
            </w:r>
          </w:p>
          <w:p w:rsidR="00E17473" w:rsidRDefault="00E17473" w:rsidP="008D149F">
            <w:pPr>
              <w:pStyle w:val="ListParagraph"/>
              <w:numPr>
                <w:ilvl w:val="0"/>
                <w:numId w:val="21"/>
              </w:numPr>
              <w:rPr>
                <w:rFonts w:ascii="Times New Roman" w:hAnsi="Times New Roman"/>
                <w:sz w:val="20"/>
                <w:szCs w:val="20"/>
                <w:lang w:val="en-IE" w:eastAsia="en-GB"/>
              </w:rPr>
            </w:pPr>
            <w:ins w:id="10" w:author="Author">
              <w:del w:id="11" w:author="Author">
                <w:r w:rsidDel="00A5517B">
                  <w:rPr>
                    <w:rFonts w:ascii="Times New Roman" w:hAnsi="Times New Roman"/>
                    <w:sz w:val="20"/>
                    <w:szCs w:val="20"/>
                    <w:lang w:val="en-IE" w:eastAsia="en-GB"/>
                  </w:rPr>
                  <w:delText>Clauses to u</w:delText>
                </w:r>
              </w:del>
              <w:r w:rsidR="00A5517B">
                <w:rPr>
                  <w:rFonts w:ascii="Times New Roman" w:hAnsi="Times New Roman"/>
                  <w:sz w:val="20"/>
                  <w:szCs w:val="20"/>
                  <w:lang w:val="en-IE" w:eastAsia="en-GB"/>
                </w:rPr>
                <w:t>U</w:t>
              </w:r>
              <w:r>
                <w:rPr>
                  <w:rFonts w:ascii="Times New Roman" w:hAnsi="Times New Roman"/>
                  <w:sz w:val="20"/>
                  <w:szCs w:val="20"/>
                  <w:lang w:val="en-IE" w:eastAsia="en-GB"/>
                </w:rPr>
                <w:t xml:space="preserve">se </w:t>
              </w:r>
              <w:r w:rsidR="00B928DD">
                <w:rPr>
                  <w:rFonts w:ascii="Times New Roman" w:hAnsi="Times New Roman"/>
                  <w:sz w:val="20"/>
                  <w:szCs w:val="20"/>
                  <w:lang w:val="en-IE" w:eastAsia="en-GB"/>
                </w:rPr>
                <w:t>Balancing Market Posted Credit Cover</w:t>
              </w:r>
              <w:r>
                <w:rPr>
                  <w:rFonts w:ascii="Times New Roman" w:hAnsi="Times New Roman"/>
                  <w:sz w:val="20"/>
                  <w:szCs w:val="20"/>
                  <w:lang w:val="en-IE" w:eastAsia="en-GB"/>
                </w:rPr>
                <w:t xml:space="preserve"> from the relevant SEMO Participant to minimise the costs needing recovery for the invalid Contracted Quantity.</w:t>
              </w:r>
              <w:r w:rsidR="000979EA">
                <w:rPr>
                  <w:rStyle w:val="FootnoteReference"/>
                  <w:rFonts w:ascii="Times New Roman" w:hAnsi="Times New Roman"/>
                  <w:sz w:val="20"/>
                  <w:szCs w:val="20"/>
                  <w:lang w:val="en-IE" w:eastAsia="en-GB"/>
                </w:rPr>
                <w:footnoteReference w:id="2"/>
              </w:r>
            </w:ins>
          </w:p>
          <w:p w:rsidR="008D149F" w:rsidRDefault="008D149F" w:rsidP="008D149F">
            <w:pPr>
              <w:pStyle w:val="ListParagraph"/>
              <w:numPr>
                <w:ilvl w:val="0"/>
                <w:numId w:val="21"/>
              </w:numPr>
              <w:rPr>
                <w:rFonts w:ascii="Times New Roman" w:hAnsi="Times New Roman"/>
                <w:sz w:val="20"/>
                <w:szCs w:val="20"/>
                <w:lang w:val="en-IE" w:eastAsia="en-GB"/>
              </w:rPr>
            </w:pPr>
            <w:r>
              <w:rPr>
                <w:rFonts w:ascii="Times New Roman" w:hAnsi="Times New Roman"/>
                <w:sz w:val="20"/>
                <w:szCs w:val="20"/>
                <w:lang w:val="en-IE" w:eastAsia="en-GB"/>
              </w:rPr>
              <w:t>Utilise the short payment functions under the TSC until such time as costs have been recovered by the SEM NEMO.</w:t>
            </w:r>
          </w:p>
          <w:p w:rsidR="008D149F" w:rsidRPr="008D149F" w:rsidRDefault="008D149F" w:rsidP="008D149F">
            <w:pPr>
              <w:pStyle w:val="ListParagraph"/>
              <w:numPr>
                <w:ilvl w:val="0"/>
                <w:numId w:val="21"/>
              </w:numPr>
              <w:rPr>
                <w:rFonts w:ascii="Times New Roman" w:hAnsi="Times New Roman"/>
                <w:sz w:val="20"/>
                <w:szCs w:val="20"/>
                <w:lang w:val="en-IE" w:eastAsia="en-GB"/>
              </w:rPr>
            </w:pPr>
            <w:r>
              <w:rPr>
                <w:rFonts w:ascii="Times New Roman" w:hAnsi="Times New Roman"/>
                <w:sz w:val="20"/>
                <w:szCs w:val="20"/>
                <w:lang w:val="en-IE" w:eastAsia="en-GB"/>
              </w:rPr>
              <w:t xml:space="preserve">Hold the SEM NEMO harmless for credit cover requirements related to the </w:t>
            </w:r>
            <w:r w:rsidR="00F45047">
              <w:rPr>
                <w:rFonts w:ascii="Times New Roman" w:hAnsi="Times New Roman"/>
                <w:sz w:val="20"/>
                <w:szCs w:val="20"/>
                <w:lang w:val="en-IE" w:eastAsia="en-GB"/>
              </w:rPr>
              <w:t xml:space="preserve">invalid Contracted Quantity related </w:t>
            </w:r>
            <w:r>
              <w:rPr>
                <w:rFonts w:ascii="Times New Roman" w:hAnsi="Times New Roman"/>
                <w:sz w:val="20"/>
                <w:szCs w:val="20"/>
                <w:lang w:val="en-IE" w:eastAsia="en-GB"/>
              </w:rPr>
              <w:t>imbalance.</w:t>
            </w:r>
          </w:p>
          <w:p w:rsidR="000C5BEF" w:rsidRPr="004C53E7" w:rsidRDefault="000C5BEF" w:rsidP="007E1423">
            <w:pPr>
              <w:rPr>
                <w:rFonts w:ascii="Calibri" w:hAnsi="Calibri" w:cs="Arial"/>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rPr>
            </w:pPr>
            <w:r w:rsidRPr="004C53E7">
              <w:rPr>
                <w:rFonts w:ascii="Calibri" w:hAnsi="Calibri" w:cs="Arial"/>
                <w:b/>
                <w:bCs/>
                <w:iCs/>
              </w:rPr>
              <w:t>Legal Drafting Change</w:t>
            </w:r>
          </w:p>
          <w:p w:rsidR="004C53E7" w:rsidRPr="004C53E7" w:rsidDel="00404964" w:rsidRDefault="004C53E7" w:rsidP="00D74B02">
            <w:pPr>
              <w:jc w:val="center"/>
              <w:rPr>
                <w:rFonts w:ascii="Calibri" w:hAnsi="Calibri" w:cs="Arial"/>
              </w:rPr>
            </w:pPr>
            <w:r w:rsidRPr="004C53E7">
              <w:rPr>
                <w:rFonts w:ascii="Calibri" w:hAnsi="Calibri" w:cs="Arial"/>
                <w:i/>
                <w:iCs/>
              </w:rPr>
              <w:t xml:space="preserve">(Clearly show proposed code change using </w:t>
            </w:r>
            <w:r w:rsidRPr="004C53E7">
              <w:rPr>
                <w:rFonts w:ascii="Calibri" w:hAnsi="Calibri" w:cs="Arial"/>
                <w:b/>
                <w:i/>
                <w:iCs/>
              </w:rPr>
              <w:t>tracked</w:t>
            </w:r>
            <w:r w:rsidRPr="004C53E7">
              <w:rPr>
                <w:rFonts w:ascii="Calibri" w:hAnsi="Calibri" w:cs="Arial"/>
                <w:i/>
                <w:iCs/>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8D149F" w:rsidRDefault="008D149F" w:rsidP="00E501C9">
            <w:pPr>
              <w:pStyle w:val="Subtitle"/>
              <w:rPr>
                <w:rFonts w:ascii="Times New Roman" w:eastAsia="Times New Roman" w:hAnsi="Times New Roman" w:cs="Times New Roman"/>
                <w:i w:val="0"/>
                <w:iCs w:val="0"/>
                <w:color w:val="auto"/>
                <w:spacing w:val="0"/>
                <w:sz w:val="20"/>
                <w:szCs w:val="20"/>
              </w:rPr>
            </w:pPr>
          </w:p>
          <w:p w:rsidR="00E501C9" w:rsidRPr="007E1423" w:rsidRDefault="00E501C9" w:rsidP="00E501C9">
            <w:pPr>
              <w:pStyle w:val="Subtitle"/>
              <w:rPr>
                <w:rFonts w:ascii="Times New Roman" w:eastAsia="Times New Roman" w:hAnsi="Times New Roman" w:cs="Times New Roman"/>
                <w:i w:val="0"/>
                <w:iCs w:val="0"/>
                <w:color w:val="auto"/>
                <w:spacing w:val="0"/>
                <w:sz w:val="20"/>
                <w:szCs w:val="20"/>
              </w:rPr>
            </w:pPr>
            <w:r w:rsidRPr="007E1423">
              <w:rPr>
                <w:rFonts w:ascii="Times New Roman" w:eastAsia="Times New Roman" w:hAnsi="Times New Roman" w:cs="Times New Roman"/>
                <w:i w:val="0"/>
                <w:iCs w:val="0"/>
                <w:color w:val="auto"/>
                <w:spacing w:val="0"/>
                <w:sz w:val="20"/>
                <w:szCs w:val="20"/>
              </w:rPr>
              <w:t>The following provide</w:t>
            </w:r>
            <w:r w:rsidR="009D5748" w:rsidRPr="007E1423">
              <w:rPr>
                <w:rFonts w:ascii="Times New Roman" w:eastAsia="Times New Roman" w:hAnsi="Times New Roman" w:cs="Times New Roman"/>
                <w:i w:val="0"/>
                <w:iCs w:val="0"/>
                <w:color w:val="auto"/>
                <w:spacing w:val="0"/>
                <w:sz w:val="20"/>
                <w:szCs w:val="20"/>
              </w:rPr>
              <w:t xml:space="preserve">s </w:t>
            </w:r>
            <w:ins w:id="13" w:author="Author">
              <w:r w:rsidR="00E17473">
                <w:rPr>
                  <w:rFonts w:ascii="Times New Roman" w:eastAsia="Times New Roman" w:hAnsi="Times New Roman" w:cs="Times New Roman"/>
                  <w:i w:val="0"/>
                  <w:iCs w:val="0"/>
                  <w:color w:val="auto"/>
                  <w:spacing w:val="0"/>
                  <w:sz w:val="20"/>
                  <w:szCs w:val="20"/>
                </w:rPr>
                <w:t xml:space="preserve">the legal </w:t>
              </w:r>
            </w:ins>
            <w:del w:id="14" w:author="Author">
              <w:r w:rsidR="009D5748" w:rsidRPr="007E1423" w:rsidDel="00E17473">
                <w:rPr>
                  <w:rFonts w:ascii="Times New Roman" w:eastAsia="Times New Roman" w:hAnsi="Times New Roman" w:cs="Times New Roman"/>
                  <w:i w:val="0"/>
                  <w:iCs w:val="0"/>
                  <w:color w:val="auto"/>
                  <w:spacing w:val="0"/>
                  <w:sz w:val="20"/>
                  <w:szCs w:val="20"/>
                </w:rPr>
                <w:delText>a summary of the</w:delText>
              </w:r>
            </w:del>
            <w:r w:rsidR="009D5748" w:rsidRPr="007E1423">
              <w:rPr>
                <w:rFonts w:ascii="Times New Roman" w:eastAsia="Times New Roman" w:hAnsi="Times New Roman" w:cs="Times New Roman"/>
                <w:i w:val="0"/>
                <w:iCs w:val="0"/>
                <w:color w:val="auto"/>
                <w:spacing w:val="0"/>
                <w:sz w:val="20"/>
                <w:szCs w:val="20"/>
              </w:rPr>
              <w:t xml:space="preserve"> </w:t>
            </w:r>
            <w:r w:rsidR="008D149F">
              <w:rPr>
                <w:rFonts w:ascii="Times New Roman" w:eastAsia="Times New Roman" w:hAnsi="Times New Roman" w:cs="Times New Roman"/>
                <w:i w:val="0"/>
                <w:iCs w:val="0"/>
                <w:color w:val="auto"/>
                <w:spacing w:val="0"/>
                <w:sz w:val="20"/>
                <w:szCs w:val="20"/>
              </w:rPr>
              <w:t xml:space="preserve">text </w:t>
            </w:r>
            <w:r w:rsidR="009D5748" w:rsidRPr="007E1423">
              <w:rPr>
                <w:rFonts w:ascii="Times New Roman" w:eastAsia="Times New Roman" w:hAnsi="Times New Roman" w:cs="Times New Roman"/>
                <w:i w:val="0"/>
                <w:iCs w:val="0"/>
                <w:color w:val="auto"/>
                <w:spacing w:val="0"/>
                <w:sz w:val="20"/>
                <w:szCs w:val="20"/>
              </w:rPr>
              <w:t>changes</w:t>
            </w:r>
            <w:r w:rsidRPr="007E1423">
              <w:rPr>
                <w:rFonts w:ascii="Times New Roman" w:eastAsia="Times New Roman" w:hAnsi="Times New Roman" w:cs="Times New Roman"/>
                <w:i w:val="0"/>
                <w:iCs w:val="0"/>
                <w:color w:val="auto"/>
                <w:spacing w:val="0"/>
                <w:sz w:val="20"/>
                <w:szCs w:val="20"/>
              </w:rPr>
              <w:t xml:space="preserve"> needed to the </w:t>
            </w:r>
            <w:r w:rsidR="009D5748" w:rsidRPr="007E1423">
              <w:rPr>
                <w:rFonts w:ascii="Times New Roman" w:eastAsia="Times New Roman" w:hAnsi="Times New Roman" w:cs="Times New Roman"/>
                <w:i w:val="0"/>
                <w:iCs w:val="0"/>
                <w:color w:val="auto"/>
                <w:spacing w:val="0"/>
                <w:sz w:val="20"/>
                <w:szCs w:val="20"/>
              </w:rPr>
              <w:t>TSC to accommodate the modification</w:t>
            </w:r>
            <w:r w:rsidRPr="007E1423">
              <w:rPr>
                <w:rFonts w:ascii="Times New Roman" w:eastAsia="Times New Roman" w:hAnsi="Times New Roman" w:cs="Times New Roman"/>
                <w:i w:val="0"/>
                <w:iCs w:val="0"/>
                <w:color w:val="auto"/>
                <w:spacing w:val="0"/>
                <w:sz w:val="20"/>
                <w:szCs w:val="20"/>
              </w:rPr>
              <w:t xml:space="preserve">. </w:t>
            </w:r>
          </w:p>
          <w:p w:rsidR="00E501C9" w:rsidRPr="007E1423" w:rsidRDefault="00E501C9" w:rsidP="00E501C9">
            <w:pPr>
              <w:rPr>
                <w:lang w:val="en-US" w:eastAsia="en-US"/>
              </w:rPr>
            </w:pPr>
          </w:p>
          <w:p w:rsidR="00E501C9" w:rsidRPr="007E1423" w:rsidDel="00E17473" w:rsidRDefault="00E501C9" w:rsidP="00E501C9">
            <w:pPr>
              <w:rPr>
                <w:del w:id="15" w:author="Author"/>
                <w:lang w:val="en-US" w:eastAsia="en-US"/>
              </w:rPr>
            </w:pPr>
            <w:del w:id="16" w:author="Author">
              <w:r w:rsidRPr="007E1423" w:rsidDel="00E17473">
                <w:rPr>
                  <w:lang w:val="en-US" w:eastAsia="en-US"/>
                </w:rPr>
                <w:delText xml:space="preserve">Once the general principles are agreed, a detailed drafting of the legal </w:delText>
              </w:r>
              <w:r w:rsidR="00555D41" w:rsidDel="00E17473">
                <w:rPr>
                  <w:lang w:val="en-US" w:eastAsia="en-US"/>
                </w:rPr>
                <w:delText>text</w:delText>
              </w:r>
              <w:r w:rsidRPr="007E1423" w:rsidDel="00E17473">
                <w:rPr>
                  <w:lang w:val="en-US" w:eastAsia="en-US"/>
                </w:rPr>
                <w:delText xml:space="preserve"> changes will be undertaken. </w:delText>
              </w:r>
            </w:del>
          </w:p>
          <w:p w:rsidR="00512AFB" w:rsidRPr="007E1423" w:rsidDel="00E17473" w:rsidRDefault="00512AFB" w:rsidP="00E501C9">
            <w:pPr>
              <w:rPr>
                <w:del w:id="17" w:author="Author"/>
                <w:lang w:val="en-US" w:eastAsia="en-US"/>
              </w:rPr>
            </w:pPr>
          </w:p>
          <w:p w:rsidR="00512AFB" w:rsidRPr="007E1423" w:rsidDel="00E17473" w:rsidRDefault="00512AFB" w:rsidP="00E17473">
            <w:pPr>
              <w:rPr>
                <w:del w:id="18" w:author="Author"/>
                <w:lang w:val="en-US" w:eastAsia="en-US"/>
              </w:rPr>
            </w:pPr>
            <w:del w:id="19" w:author="Author">
              <w:r w:rsidRPr="007E1423" w:rsidDel="00E17473">
                <w:rPr>
                  <w:lang w:val="en-US" w:eastAsia="en-US"/>
                </w:rPr>
                <w:delText>The majority of change</w:delText>
              </w:r>
              <w:r w:rsidR="009D5748" w:rsidRPr="007E1423" w:rsidDel="00E17473">
                <w:rPr>
                  <w:lang w:val="en-US" w:eastAsia="en-US"/>
                </w:rPr>
                <w:delText>s</w:delText>
              </w:r>
              <w:r w:rsidRPr="007E1423" w:rsidDel="00E17473">
                <w:rPr>
                  <w:lang w:val="en-US" w:eastAsia="en-US"/>
                </w:rPr>
                <w:delText xml:space="preserve"> are expec</w:delText>
              </w:r>
              <w:r w:rsidR="009D5748" w:rsidRPr="007E1423" w:rsidDel="00E17473">
                <w:rPr>
                  <w:lang w:val="en-US" w:eastAsia="en-US"/>
                </w:rPr>
                <w:delText>ted to be made to Section G of Part B of the Trading and Settlement Code. A</w:delText>
              </w:r>
              <w:r w:rsidRPr="007E1423" w:rsidDel="00E17473">
                <w:rPr>
                  <w:lang w:val="en-US" w:eastAsia="en-US"/>
                </w:rPr>
                <w:delText xml:space="preserve">lthough as part of the formal legal drafting further consideration to the placement of the changes will be made. </w:delText>
              </w:r>
            </w:del>
          </w:p>
          <w:p w:rsidR="00E501C9" w:rsidRPr="007E1423" w:rsidDel="00E17473" w:rsidRDefault="00E501C9" w:rsidP="00E17473">
            <w:pPr>
              <w:rPr>
                <w:del w:id="20" w:author="Author"/>
                <w:lang w:val="en-US" w:eastAsia="en-US"/>
              </w:rPr>
            </w:pPr>
          </w:p>
          <w:p w:rsidR="00E501C9" w:rsidRPr="007E1423" w:rsidDel="00E17473" w:rsidRDefault="005A0853" w:rsidP="00E17473">
            <w:pPr>
              <w:rPr>
                <w:del w:id="21" w:author="Author"/>
                <w:lang w:val="en-US" w:eastAsia="en-US"/>
              </w:rPr>
            </w:pPr>
            <w:del w:id="22" w:author="Author">
              <w:r w:rsidRPr="007E1423" w:rsidDel="00E17473">
                <w:rPr>
                  <w:lang w:val="en-US" w:eastAsia="en-US"/>
                </w:rPr>
                <w:delText>The identified changes are:</w:delText>
              </w:r>
            </w:del>
          </w:p>
          <w:p w:rsidR="007E1423" w:rsidRPr="007E1423" w:rsidDel="00E17473" w:rsidRDefault="004673F6" w:rsidP="00E17473">
            <w:pPr>
              <w:rPr>
                <w:del w:id="23" w:author="Author"/>
              </w:rPr>
            </w:pPr>
            <w:del w:id="24" w:author="Author">
              <w:r w:rsidDel="00E17473">
                <w:delText>Where a Contracted Quantity is considered invalid</w:delText>
              </w:r>
              <w:r w:rsidR="00555D41" w:rsidDel="00E17473">
                <w:delText xml:space="preserve"> and</w:delText>
              </w:r>
              <w:r w:rsidDel="00E17473">
                <w:delText xml:space="preserve"> </w:delText>
              </w:r>
              <w:r w:rsidR="007E1423" w:rsidRPr="007E1423" w:rsidDel="00E17473">
                <w:delText xml:space="preserve">there is insufficient time to obtain this cost recovery by </w:delText>
              </w:r>
              <w:r w:rsidR="007E1423" w:rsidRPr="007E1423" w:rsidDel="00E17473">
                <w:lastRenderedPageBreak/>
                <w:delText xml:space="preserve">the SEM NEMO prior to payment due dates for Imbalance Settlement, the SEM NEMO will notify the Balancing Market Operator of the situation, providing details of the issue, the </w:delText>
              </w:r>
              <w:r w:rsidDel="00E17473">
                <w:delText>units involved, the Contracted Q</w:delText>
              </w:r>
              <w:r w:rsidR="007E1423" w:rsidRPr="007E1423" w:rsidDel="00E17473">
                <w:delText xml:space="preserve">uantities involved, their validity periods, steps being taken to recover the costs and an estimation of the time to recover the costs. </w:delText>
              </w:r>
            </w:del>
          </w:p>
          <w:p w:rsidR="007E1423" w:rsidRPr="007E1423" w:rsidDel="00E17473" w:rsidRDefault="00555D41" w:rsidP="00E17473">
            <w:pPr>
              <w:rPr>
                <w:del w:id="25" w:author="Author"/>
              </w:rPr>
            </w:pPr>
            <w:del w:id="26" w:author="Author">
              <w:r w:rsidDel="00E17473">
                <w:delText>The MO will</w:delText>
              </w:r>
              <w:r w:rsidR="007E1423" w:rsidRPr="007E1423" w:rsidDel="00E17473">
                <w:delText xml:space="preserve">: </w:delText>
              </w:r>
            </w:del>
          </w:p>
          <w:p w:rsidR="007E1423" w:rsidRPr="007E1423" w:rsidDel="00E17473" w:rsidRDefault="007E1423" w:rsidP="00E17473">
            <w:pPr>
              <w:rPr>
                <w:del w:id="27" w:author="Author"/>
              </w:rPr>
            </w:pPr>
            <w:del w:id="28" w:author="Author">
              <w:r w:rsidRPr="007E1423" w:rsidDel="00E17473">
                <w:delText xml:space="preserve">If the Participant the </w:delText>
              </w:r>
              <w:r w:rsidR="004673F6" w:rsidDel="00E17473">
                <w:delText>U</w:delText>
              </w:r>
              <w:r w:rsidRPr="007E1423" w:rsidDel="00E17473">
                <w:delText>nit(s) relate to is expecting a payment under</w:delText>
              </w:r>
              <w:r w:rsidR="00555D41" w:rsidDel="00E17473">
                <w:delText xml:space="preserve"> the</w:delText>
              </w:r>
              <w:r w:rsidRPr="007E1423" w:rsidDel="00E17473">
                <w:delText xml:space="preserve"> TSC settlement, the MO shall short pay the Pa</w:delText>
              </w:r>
              <w:r w:rsidR="006E3922" w:rsidDel="00E17473">
                <w:delText>rticipant for the value of the Contracted Q</w:delText>
              </w:r>
              <w:r w:rsidRPr="007E1423" w:rsidDel="00E17473">
                <w:delText xml:space="preserve">uantities multiplied by the relevant imbalance price [the </w:delText>
              </w:r>
              <w:r w:rsidRPr="007E1423" w:rsidDel="00E17473">
                <w:rPr>
                  <w:b/>
                </w:rPr>
                <w:delText>‘imbalance amount’</w:delText>
              </w:r>
              <w:r w:rsidRPr="007E1423" w:rsidDel="00E17473">
                <w:delText xml:space="preserve">] and the SEM NEMO shall short pay the MO for the same Settlement Document for the imbalance amount (thereby for the TSC settlement reducing the value of the imbalance payments </w:delText>
              </w:r>
              <w:r w:rsidR="00555D41" w:rsidDel="00E17473">
                <w:delText xml:space="preserve">being paid </w:delText>
              </w:r>
              <w:r w:rsidRPr="007E1423" w:rsidDel="00E17473">
                <w:delText xml:space="preserve">out to match the imbalance payments being received). The Participants and SEM NEMO’s credit cover requirement will be amended to exclude the short pay amounts as these will have effectively been negated. </w:delText>
              </w:r>
            </w:del>
          </w:p>
          <w:p w:rsidR="007E1423" w:rsidRPr="007E1423" w:rsidDel="00E17473" w:rsidRDefault="007E1423" w:rsidP="00E17473">
            <w:pPr>
              <w:rPr>
                <w:del w:id="29" w:author="Author"/>
              </w:rPr>
            </w:pPr>
            <w:del w:id="30" w:author="Author">
              <w:r w:rsidRPr="007E1423" w:rsidDel="00E17473">
                <w:delText>If under a) the Participant does not have sufficient payments owing them to cover the full imbalance amount then the MO shall use the short payment functionality under section G.2.7.3 of the Code to short pay all relevant Participants until such time as the imbalance amount is recovered.</w:delText>
              </w:r>
            </w:del>
          </w:p>
          <w:p w:rsidR="007E1423" w:rsidRPr="007E1423" w:rsidDel="00E17473" w:rsidRDefault="007E1423" w:rsidP="00E17473">
            <w:pPr>
              <w:rPr>
                <w:del w:id="31" w:author="Author"/>
              </w:rPr>
            </w:pPr>
            <w:del w:id="32" w:author="Author">
              <w:r w:rsidRPr="007E1423" w:rsidDel="00E17473">
                <w:delText>Under both scenarios a) and b) above, where the SEM NEMO has provided the correct notification to the MO of the situation, the SEM NEMO will not be considered under G 2.7.2 to be in default for any amount that it short pays related to the situation, nor have the imbalance considered in credit cover calculations. [Although they would still have an obligation to seek to recover the imbalance amount]</w:delText>
              </w:r>
            </w:del>
          </w:p>
          <w:p w:rsidR="004C53E7" w:rsidRDefault="007E1423" w:rsidP="00E17473">
            <w:pPr>
              <w:rPr>
                <w:ins w:id="33" w:author="Author"/>
              </w:rPr>
            </w:pPr>
            <w:del w:id="34" w:author="Author">
              <w:r w:rsidRPr="007E1423" w:rsidDel="00E17473">
                <w:delText>Where the SEM NEMO subsequently recovers the costs then these will be paid to the MO and subsequently distributed to all Participants who have been short paid.</w:delText>
              </w:r>
            </w:del>
          </w:p>
          <w:p w:rsidR="00E17473" w:rsidRDefault="00E17473" w:rsidP="00E17473">
            <w:pPr>
              <w:rPr>
                <w:ins w:id="35" w:author="Author"/>
              </w:rPr>
            </w:pPr>
          </w:p>
          <w:p w:rsidR="00E17473" w:rsidRPr="00E17473" w:rsidRDefault="00E17473" w:rsidP="00E17473">
            <w:pPr>
              <w:pStyle w:val="NoSpacing"/>
              <w:rPr>
                <w:ins w:id="36" w:author="Author"/>
                <w:rFonts w:ascii="Times New Roman" w:hAnsi="Times New Roman"/>
                <w:b/>
                <w:i/>
                <w:sz w:val="20"/>
                <w:szCs w:val="20"/>
                <w:lang w:val="en-IE" w:eastAsia="en-AU"/>
              </w:rPr>
            </w:pPr>
            <w:ins w:id="37" w:author="Author">
              <w:r w:rsidRPr="00E17473">
                <w:rPr>
                  <w:rFonts w:ascii="Times New Roman" w:hAnsi="Times New Roman"/>
                  <w:b/>
                  <w:i/>
                  <w:sz w:val="20"/>
                  <w:szCs w:val="20"/>
                  <w:lang w:val="en-IE" w:eastAsia="en-AU"/>
                </w:rPr>
                <w:t>In paragraph B.21.1.8, replace any words after the second reference to “limitation of liability” with the following:</w:t>
              </w:r>
            </w:ins>
          </w:p>
          <w:p w:rsidR="00E17473" w:rsidRPr="00E17473" w:rsidRDefault="00E17473" w:rsidP="00E17473">
            <w:pPr>
              <w:spacing w:before="120" w:after="120"/>
              <w:ind w:left="992" w:hanging="992"/>
              <w:jc w:val="both"/>
              <w:outlineLvl w:val="3"/>
              <w:rPr>
                <w:ins w:id="38" w:author="Author"/>
                <w:lang w:eastAsia="en-AU"/>
              </w:rPr>
            </w:pPr>
            <w:ins w:id="39" w:author="Author">
              <w:r w:rsidRPr="00E17473">
                <w:rPr>
                  <w:lang w:eastAsia="en-AU"/>
                </w:rPr>
                <w:t>“and without limiting sections F.21, F.22, G.2.7 or G.2.8.”</w:t>
              </w:r>
            </w:ins>
          </w:p>
          <w:p w:rsidR="00E17473" w:rsidRPr="00E17473" w:rsidRDefault="00E17473" w:rsidP="00E17473">
            <w:pPr>
              <w:ind w:left="992" w:hanging="992"/>
              <w:rPr>
                <w:ins w:id="40" w:author="Author"/>
                <w:b/>
                <w:i/>
                <w:lang w:val="en-US"/>
              </w:rPr>
            </w:pPr>
            <w:ins w:id="41" w:author="Author">
              <w:r w:rsidRPr="00E17473">
                <w:rPr>
                  <w:b/>
                  <w:i/>
                  <w:lang w:val="en-US"/>
                </w:rPr>
                <w:t>Insert the following words at the end of paragraph B.18.5.6(a):</w:t>
              </w:r>
            </w:ins>
          </w:p>
          <w:p w:rsidR="00E17473" w:rsidRPr="00E17473" w:rsidRDefault="00E17473" w:rsidP="00E17473">
            <w:pPr>
              <w:spacing w:before="120" w:after="120"/>
              <w:ind w:left="992" w:hanging="992"/>
              <w:jc w:val="both"/>
              <w:outlineLvl w:val="3"/>
              <w:rPr>
                <w:ins w:id="42" w:author="Author"/>
                <w:lang w:eastAsia="en-AU"/>
              </w:rPr>
            </w:pPr>
            <w:ins w:id="43" w:author="Author">
              <w:r w:rsidRPr="00E17473">
                <w:rPr>
                  <w:lang w:eastAsia="en-AU"/>
                </w:rPr>
                <w:t>“and/ or any Contracted Quantity submitted for the Participant under section F.2.2”</w:t>
              </w:r>
            </w:ins>
          </w:p>
          <w:p w:rsidR="00E17473" w:rsidRPr="00E17473" w:rsidRDefault="00E17473" w:rsidP="00E17473">
            <w:pPr>
              <w:ind w:left="992" w:hanging="992"/>
              <w:rPr>
                <w:ins w:id="44" w:author="Author"/>
                <w:b/>
                <w:i/>
                <w:lang w:val="en-US"/>
              </w:rPr>
            </w:pPr>
            <w:ins w:id="45" w:author="Author">
              <w:r w:rsidRPr="00E17473">
                <w:rPr>
                  <w:b/>
                  <w:i/>
                  <w:lang w:val="en-US"/>
                </w:rPr>
                <w:t>Insert a new section G.2.10 at the end of Section G.2, as follows:</w:t>
              </w:r>
            </w:ins>
          </w:p>
          <w:p w:rsidR="00E17473" w:rsidRPr="00E17473" w:rsidRDefault="00E17473" w:rsidP="00E17473">
            <w:pPr>
              <w:ind w:left="992" w:hanging="992"/>
              <w:rPr>
                <w:ins w:id="46" w:author="Author"/>
                <w:b/>
                <w:i/>
                <w:lang w:val="en-US"/>
              </w:rPr>
            </w:pPr>
          </w:p>
          <w:p w:rsidR="00E17473" w:rsidRPr="00E17473" w:rsidRDefault="00E17473" w:rsidP="00E17473">
            <w:pPr>
              <w:ind w:left="992" w:hanging="992"/>
              <w:rPr>
                <w:ins w:id="47" w:author="Author"/>
                <w:b/>
                <w:bCs/>
              </w:rPr>
            </w:pPr>
            <w:ins w:id="48" w:author="Author">
              <w:r w:rsidRPr="00E17473">
                <w:rPr>
                  <w:b/>
                  <w:bCs/>
                </w:rPr>
                <w:t>G.2.10</w:t>
              </w:r>
              <w:r w:rsidRPr="00E17473">
                <w:rPr>
                  <w:b/>
                  <w:bCs/>
                </w:rPr>
                <w:tab/>
              </w:r>
              <w:r w:rsidRPr="00E17473">
                <w:rPr>
                  <w:b/>
                  <w:lang w:eastAsia="en-AU"/>
                </w:rPr>
                <w:t>Invalid Contracted Quantities</w:t>
              </w:r>
            </w:ins>
          </w:p>
          <w:p w:rsidR="00E17473" w:rsidRPr="00E17473" w:rsidRDefault="00E17473" w:rsidP="00E17473">
            <w:pPr>
              <w:ind w:left="992" w:hanging="992"/>
              <w:rPr>
                <w:ins w:id="49" w:author="Author"/>
                <w:lang w:val="en-US"/>
              </w:rPr>
            </w:pPr>
          </w:p>
          <w:p w:rsidR="00E17473" w:rsidRPr="00E17473" w:rsidRDefault="00E17473" w:rsidP="00E17473">
            <w:pPr>
              <w:ind w:left="992" w:hanging="992"/>
              <w:rPr>
                <w:ins w:id="50" w:author="Author"/>
                <w:color w:val="000000"/>
              </w:rPr>
            </w:pPr>
            <w:ins w:id="51" w:author="Author">
              <w:r w:rsidRPr="00E17473">
                <w:rPr>
                  <w:color w:val="000000"/>
                </w:rPr>
                <w:t xml:space="preserve">G.2.10.1 </w:t>
              </w:r>
              <w:r w:rsidRPr="00E17473">
                <w:rPr>
                  <w:color w:val="000000"/>
                </w:rPr>
                <w:tab/>
                <w:t>For the purposes of this section G.2.10, a Contracted Quantity submitted by a SEM NEMO under paragraph F.2.2.1 (in its capacity as a Scheduling Agent) for a Participant is invalid where:</w:t>
              </w:r>
            </w:ins>
          </w:p>
          <w:p w:rsidR="00E17473" w:rsidRPr="00E17473" w:rsidRDefault="00E17473" w:rsidP="00E17473">
            <w:pPr>
              <w:ind w:left="992" w:hanging="992"/>
              <w:rPr>
                <w:ins w:id="52" w:author="Author"/>
                <w:color w:val="000000"/>
              </w:rPr>
            </w:pPr>
          </w:p>
          <w:p w:rsidR="00E17473" w:rsidRPr="00E17473" w:rsidRDefault="00E17473" w:rsidP="00E17473">
            <w:pPr>
              <w:numPr>
                <w:ilvl w:val="0"/>
                <w:numId w:val="22"/>
              </w:numPr>
              <w:rPr>
                <w:ins w:id="53" w:author="Author"/>
                <w:color w:val="000000"/>
              </w:rPr>
            </w:pPr>
            <w:bookmarkStart w:id="54" w:name="_Hlk502845800"/>
            <w:ins w:id="55" w:author="Author">
              <w:r w:rsidRPr="00E17473">
                <w:rPr>
                  <w:color w:val="000000"/>
                </w:rPr>
                <w:t>the Contracted Quantity results from a</w:t>
              </w:r>
              <w:r w:rsidRPr="00E17473">
                <w:rPr>
                  <w:color w:val="000000"/>
                  <w:kern w:val="24"/>
                </w:rPr>
                <w:t xml:space="preserve"> </w:t>
              </w:r>
              <w:bookmarkEnd w:id="54"/>
              <w:r w:rsidRPr="00E17473">
                <w:rPr>
                  <w:color w:val="000000"/>
                  <w:kern w:val="24"/>
                </w:rPr>
                <w:t>trade in an Ex-Ante Market before the relevant Unit’s registration under this Code takes effect</w:t>
              </w:r>
              <w:r w:rsidRPr="00E17473">
                <w:rPr>
                  <w:color w:val="000000"/>
                </w:rPr>
                <w:t>; or</w:t>
              </w:r>
            </w:ins>
          </w:p>
          <w:p w:rsidR="00E17473" w:rsidRPr="00E17473" w:rsidRDefault="00E17473" w:rsidP="00E17473">
            <w:pPr>
              <w:ind w:left="1352"/>
              <w:rPr>
                <w:ins w:id="56" w:author="Author"/>
                <w:color w:val="000000"/>
              </w:rPr>
            </w:pPr>
          </w:p>
          <w:p w:rsidR="00E17473" w:rsidRPr="00E17473" w:rsidRDefault="00E17473" w:rsidP="00E17473">
            <w:pPr>
              <w:numPr>
                <w:ilvl w:val="0"/>
                <w:numId w:val="22"/>
              </w:numPr>
              <w:rPr>
                <w:ins w:id="57" w:author="Author"/>
                <w:color w:val="000000"/>
              </w:rPr>
            </w:pPr>
            <w:bookmarkStart w:id="58" w:name="_Hlk502940943"/>
            <w:ins w:id="59" w:author="Author">
              <w:r w:rsidRPr="00E17473">
                <w:rPr>
                  <w:color w:val="000000"/>
                </w:rPr>
                <w:t xml:space="preserve">the Contracted Quantity results from </w:t>
              </w:r>
              <w:bookmarkEnd w:id="58"/>
              <w:r w:rsidRPr="00E17473">
                <w:rPr>
                  <w:color w:val="000000"/>
                </w:rPr>
                <w:t>a</w:t>
              </w:r>
              <w:r w:rsidRPr="00E17473">
                <w:rPr>
                  <w:color w:val="000000"/>
                  <w:kern w:val="24"/>
                </w:rPr>
                <w:t xml:space="preserve"> trade in an Ex-Ante Market relating to a period during which a Trading Halt should have been in effect under the Market Rules</w:t>
              </w:r>
              <w:r w:rsidRPr="00E17473">
                <w:rPr>
                  <w:color w:val="000000"/>
                </w:rPr>
                <w:t>; or</w:t>
              </w:r>
            </w:ins>
          </w:p>
          <w:p w:rsidR="00E17473" w:rsidRPr="00E17473" w:rsidRDefault="00E17473" w:rsidP="00E17473">
            <w:pPr>
              <w:ind w:left="1352"/>
              <w:rPr>
                <w:ins w:id="60" w:author="Author"/>
                <w:color w:val="000000"/>
              </w:rPr>
            </w:pPr>
          </w:p>
          <w:p w:rsidR="00E17473" w:rsidRPr="00E17473" w:rsidRDefault="00E17473" w:rsidP="00E17473">
            <w:pPr>
              <w:numPr>
                <w:ilvl w:val="0"/>
                <w:numId w:val="22"/>
              </w:numPr>
              <w:rPr>
                <w:ins w:id="61" w:author="Author"/>
                <w:color w:val="000000"/>
              </w:rPr>
            </w:pPr>
            <w:ins w:id="62" w:author="Author">
              <w:r w:rsidRPr="00E17473">
                <w:rPr>
                  <w:color w:val="000000"/>
                </w:rPr>
                <w:t>the Contracted Quantity results from a</w:t>
              </w:r>
              <w:r w:rsidRPr="00E17473">
                <w:rPr>
                  <w:color w:val="000000"/>
                  <w:kern w:val="24"/>
                </w:rPr>
                <w:t xml:space="preserve"> trade in an Ex-Ante Market relating to a period during which the relevant Unit is suspended from participation under this Code in accordance with section B.18.5.</w:t>
              </w:r>
            </w:ins>
          </w:p>
          <w:p w:rsidR="00E17473" w:rsidRPr="00E17473" w:rsidRDefault="00E17473" w:rsidP="00E17473">
            <w:pPr>
              <w:pStyle w:val="NormalWeb"/>
              <w:overflowPunct w:val="0"/>
              <w:spacing w:before="0" w:beforeAutospacing="0" w:after="0" w:afterAutospacing="0"/>
              <w:rPr>
                <w:ins w:id="63" w:author="Author"/>
                <w:color w:val="000000"/>
                <w:kern w:val="24"/>
                <w:sz w:val="20"/>
                <w:szCs w:val="20"/>
                <w:lang w:val="en-IE"/>
              </w:rPr>
            </w:pPr>
          </w:p>
          <w:p w:rsidR="00E17473" w:rsidRPr="00E17473" w:rsidRDefault="00E17473" w:rsidP="00E17473">
            <w:pPr>
              <w:ind w:left="992" w:hanging="992"/>
              <w:rPr>
                <w:ins w:id="64" w:author="Author"/>
                <w:color w:val="000000"/>
              </w:rPr>
            </w:pPr>
            <w:bookmarkStart w:id="65" w:name="_Hlk502846688"/>
            <w:ins w:id="66" w:author="Author">
              <w:r w:rsidRPr="00E17473">
                <w:rPr>
                  <w:color w:val="000000"/>
                </w:rPr>
                <w:t>G.2.10.2</w:t>
              </w:r>
              <w:bookmarkEnd w:id="65"/>
              <w:r w:rsidRPr="00E17473">
                <w:rPr>
                  <w:color w:val="000000"/>
                </w:rPr>
                <w:tab/>
                <w:t>Where a SEM NEMO considers that a Contracted Quantity is invalid, then the SEM NEMO may notify the Market Operator specifying:</w:t>
              </w:r>
            </w:ins>
          </w:p>
          <w:p w:rsidR="00E17473" w:rsidRPr="00E17473" w:rsidRDefault="00E17473" w:rsidP="00E17473">
            <w:pPr>
              <w:ind w:left="992" w:hanging="992"/>
              <w:rPr>
                <w:ins w:id="67" w:author="Author"/>
                <w:color w:val="000000"/>
              </w:rPr>
            </w:pPr>
          </w:p>
          <w:p w:rsidR="00E17473" w:rsidRPr="00E17473" w:rsidRDefault="00E17473" w:rsidP="00E17473">
            <w:pPr>
              <w:numPr>
                <w:ilvl w:val="0"/>
                <w:numId w:val="29"/>
              </w:numPr>
              <w:rPr>
                <w:ins w:id="68" w:author="Author"/>
                <w:color w:val="000000"/>
              </w:rPr>
            </w:pPr>
            <w:ins w:id="69" w:author="Author">
              <w:r w:rsidRPr="00E17473">
                <w:rPr>
                  <w:color w:val="000000"/>
                </w:rPr>
                <w:t>the Unit</w:t>
              </w:r>
              <w:r w:rsidRPr="00E17473">
                <w:t xml:space="preserve"> to which the invalid Contracted Quantity relates</w:t>
              </w:r>
              <w:r w:rsidR="007374BB">
                <w:t xml:space="preserve"> (called the “</w:t>
              </w:r>
              <w:r w:rsidR="007374BB" w:rsidRPr="000979EA">
                <w:rPr>
                  <w:b/>
                </w:rPr>
                <w:t>specified Unit</w:t>
              </w:r>
              <w:r w:rsidR="007374BB">
                <w:t>” in this section G.2.10)</w:t>
              </w:r>
              <w:r w:rsidRPr="00E17473">
                <w:rPr>
                  <w:color w:val="000000"/>
                </w:rPr>
                <w:t>; and</w:t>
              </w:r>
            </w:ins>
          </w:p>
          <w:p w:rsidR="00E17473" w:rsidRPr="00E17473" w:rsidRDefault="00E17473" w:rsidP="00E17473">
            <w:pPr>
              <w:ind w:left="1352"/>
              <w:rPr>
                <w:ins w:id="70" w:author="Author"/>
                <w:color w:val="000000"/>
              </w:rPr>
            </w:pPr>
          </w:p>
          <w:p w:rsidR="00E17473" w:rsidRPr="00E17473" w:rsidRDefault="00E17473" w:rsidP="00E17473">
            <w:pPr>
              <w:numPr>
                <w:ilvl w:val="0"/>
                <w:numId w:val="29"/>
              </w:numPr>
              <w:rPr>
                <w:ins w:id="71" w:author="Author"/>
                <w:color w:val="000000"/>
              </w:rPr>
            </w:pPr>
            <w:ins w:id="72" w:author="Author">
              <w:r w:rsidRPr="00E17473">
                <w:rPr>
                  <w:color w:val="000000"/>
                </w:rPr>
                <w:t xml:space="preserve">the </w:t>
              </w:r>
              <w:r w:rsidR="00A26DF6">
                <w:rPr>
                  <w:color w:val="000000"/>
                </w:rPr>
                <w:t xml:space="preserve">applicable </w:t>
              </w:r>
              <w:r w:rsidRPr="00E17473">
                <w:rPr>
                  <w:color w:val="000000"/>
                </w:rPr>
                <w:t>invalid Contracted Quantity; and</w:t>
              </w:r>
            </w:ins>
          </w:p>
          <w:p w:rsidR="00E17473" w:rsidRPr="00E17473" w:rsidRDefault="00E17473" w:rsidP="00E17473">
            <w:pPr>
              <w:ind w:left="1352"/>
              <w:rPr>
                <w:ins w:id="73" w:author="Author"/>
                <w:color w:val="000000"/>
              </w:rPr>
            </w:pPr>
          </w:p>
          <w:p w:rsidR="00E17473" w:rsidRPr="00E17473" w:rsidRDefault="00E17473" w:rsidP="00E17473">
            <w:pPr>
              <w:numPr>
                <w:ilvl w:val="0"/>
                <w:numId w:val="29"/>
              </w:numPr>
              <w:rPr>
                <w:ins w:id="74" w:author="Author"/>
                <w:color w:val="000000"/>
              </w:rPr>
            </w:pPr>
            <w:ins w:id="75" w:author="Author">
              <w:r w:rsidRPr="00E17473">
                <w:rPr>
                  <w:color w:val="000000"/>
                </w:rPr>
                <w:t xml:space="preserve">the </w:t>
              </w:r>
              <w:r w:rsidRPr="00E17473">
                <w:t>Imbalance Settlement Period to which the invalid Contracted Quantity relates; and</w:t>
              </w:r>
            </w:ins>
          </w:p>
          <w:p w:rsidR="00E17473" w:rsidRPr="00E17473" w:rsidRDefault="00E17473" w:rsidP="00E17473">
            <w:pPr>
              <w:ind w:left="1352"/>
              <w:rPr>
                <w:ins w:id="76" w:author="Author"/>
                <w:color w:val="000000"/>
              </w:rPr>
            </w:pPr>
          </w:p>
          <w:p w:rsidR="00E17473" w:rsidRPr="00E17473" w:rsidRDefault="00E17473" w:rsidP="00E17473">
            <w:pPr>
              <w:numPr>
                <w:ilvl w:val="0"/>
                <w:numId w:val="29"/>
              </w:numPr>
              <w:rPr>
                <w:ins w:id="77" w:author="Author"/>
                <w:color w:val="000000"/>
              </w:rPr>
            </w:pPr>
            <w:ins w:id="78" w:author="Author">
              <w:r w:rsidRPr="00E17473">
                <w:rPr>
                  <w:color w:val="000000"/>
                </w:rPr>
                <w:t>the reason why the Contracted Quantity is invalid; and</w:t>
              </w:r>
            </w:ins>
          </w:p>
          <w:p w:rsidR="00E17473" w:rsidRPr="00E17473" w:rsidRDefault="00E17473" w:rsidP="00E17473">
            <w:pPr>
              <w:ind w:left="1352"/>
              <w:rPr>
                <w:ins w:id="79" w:author="Author"/>
                <w:color w:val="000000"/>
              </w:rPr>
            </w:pPr>
          </w:p>
          <w:p w:rsidR="00E17473" w:rsidRPr="00E17473" w:rsidRDefault="00E17473" w:rsidP="00E17473">
            <w:pPr>
              <w:numPr>
                <w:ilvl w:val="0"/>
                <w:numId w:val="29"/>
              </w:numPr>
              <w:rPr>
                <w:ins w:id="80" w:author="Author"/>
                <w:color w:val="000000"/>
              </w:rPr>
            </w:pPr>
            <w:ins w:id="81" w:author="Author">
              <w:r w:rsidRPr="00E17473">
                <w:rPr>
                  <w:color w:val="000000"/>
                </w:rPr>
                <w:t>the steps that the SEM NEMO proposes to take to recover the cost the SEM NEMO incurs in relation to the invalid Contracted Quantity and the mechanisms that will be used to recover those costs under the Market Rules of the Ex Ante Market; and</w:t>
              </w:r>
            </w:ins>
          </w:p>
          <w:p w:rsidR="00E17473" w:rsidRPr="00E17473" w:rsidRDefault="00E17473" w:rsidP="00E17473">
            <w:pPr>
              <w:ind w:left="1352"/>
              <w:rPr>
                <w:ins w:id="82" w:author="Author"/>
                <w:color w:val="000000"/>
              </w:rPr>
            </w:pPr>
          </w:p>
          <w:p w:rsidR="00E17473" w:rsidRPr="00E17473" w:rsidRDefault="00E17473" w:rsidP="00E17473">
            <w:pPr>
              <w:numPr>
                <w:ilvl w:val="0"/>
                <w:numId w:val="29"/>
              </w:numPr>
              <w:rPr>
                <w:ins w:id="83" w:author="Author"/>
                <w:color w:val="000000"/>
              </w:rPr>
            </w:pPr>
            <w:ins w:id="84" w:author="Author">
              <w:r w:rsidRPr="00E17473">
                <w:rPr>
                  <w:color w:val="000000"/>
                </w:rPr>
                <w:t xml:space="preserve">the SEM NEMO’s best estimate of when those costs will be recovered under the Market Rules of the Ex Ante Market. </w:t>
              </w:r>
            </w:ins>
          </w:p>
          <w:p w:rsidR="00E17473" w:rsidRPr="00E17473" w:rsidRDefault="00E17473" w:rsidP="00E17473">
            <w:pPr>
              <w:ind w:left="992" w:hanging="992"/>
              <w:rPr>
                <w:ins w:id="85" w:author="Author"/>
                <w:color w:val="000000"/>
              </w:rPr>
            </w:pPr>
          </w:p>
          <w:p w:rsidR="00E17473" w:rsidRPr="00E17473" w:rsidRDefault="00E17473" w:rsidP="00E17473">
            <w:pPr>
              <w:ind w:left="992" w:hanging="992"/>
              <w:rPr>
                <w:ins w:id="86" w:author="Author"/>
              </w:rPr>
            </w:pPr>
            <w:ins w:id="87" w:author="Author">
              <w:r w:rsidRPr="00E17473">
                <w:rPr>
                  <w:color w:val="000000"/>
                </w:rPr>
                <w:t>G.2.10.3</w:t>
              </w:r>
              <w:r w:rsidRPr="00E17473">
                <w:tab/>
                <w:t xml:space="preserve">A </w:t>
              </w:r>
              <w:bookmarkStart w:id="88" w:name="_Hlk502852818"/>
              <w:r w:rsidRPr="00E17473">
                <w:t xml:space="preserve">notice under paragraph </w:t>
              </w:r>
              <w:r w:rsidRPr="00E17473">
                <w:rPr>
                  <w:color w:val="000000"/>
                </w:rPr>
                <w:t>G.2.10.2</w:t>
              </w:r>
              <w:r w:rsidRPr="00E17473">
                <w:t xml:space="preserve"> </w:t>
              </w:r>
              <w:bookmarkEnd w:id="88"/>
              <w:r w:rsidRPr="00E17473">
                <w:t>must be given before the relevant Payment In Due Date.</w:t>
              </w:r>
            </w:ins>
          </w:p>
          <w:p w:rsidR="00E17473" w:rsidRPr="00E17473" w:rsidRDefault="00E17473" w:rsidP="00E17473">
            <w:pPr>
              <w:ind w:left="992" w:hanging="992"/>
              <w:rPr>
                <w:ins w:id="89" w:author="Author"/>
              </w:rPr>
            </w:pPr>
          </w:p>
          <w:p w:rsidR="00E17473" w:rsidRPr="00E17473" w:rsidRDefault="00E17473" w:rsidP="00E17473">
            <w:pPr>
              <w:ind w:left="992" w:hanging="992"/>
              <w:rPr>
                <w:ins w:id="90" w:author="Author"/>
              </w:rPr>
            </w:pPr>
            <w:ins w:id="91" w:author="Author">
              <w:r w:rsidRPr="00E17473">
                <w:rPr>
                  <w:color w:val="000000"/>
                </w:rPr>
                <w:t>G.2.10.4</w:t>
              </w:r>
              <w:r w:rsidRPr="00E17473">
                <w:rPr>
                  <w:color w:val="000000"/>
                </w:rPr>
                <w:tab/>
              </w:r>
              <w:r w:rsidRPr="00E17473">
                <w:t xml:space="preserve">As soon as practical after receiving a notice under </w:t>
              </w:r>
              <w:r w:rsidRPr="00E17473">
                <w:rPr>
                  <w:lang w:val="en-US"/>
                </w:rPr>
                <w:t xml:space="preserve">paragraph </w:t>
              </w:r>
              <w:r w:rsidRPr="00E17473">
                <w:rPr>
                  <w:color w:val="000000"/>
                </w:rPr>
                <w:t>G.2.10.2</w:t>
              </w:r>
              <w:r w:rsidRPr="00E17473">
                <w:rPr>
                  <w:lang w:val="en-US"/>
                </w:rPr>
                <w:t xml:space="preserve">, the </w:t>
              </w:r>
              <w:r w:rsidRPr="00E17473">
                <w:t>Market Operator shall publish the notice.</w:t>
              </w:r>
            </w:ins>
          </w:p>
          <w:p w:rsidR="00E17473" w:rsidRPr="00E17473" w:rsidRDefault="00E17473" w:rsidP="00E17473">
            <w:pPr>
              <w:ind w:left="992" w:hanging="992"/>
              <w:rPr>
                <w:ins w:id="92" w:author="Author"/>
              </w:rPr>
            </w:pPr>
          </w:p>
          <w:p w:rsidR="00E17473" w:rsidRPr="00E17473" w:rsidRDefault="00E17473" w:rsidP="00E17473">
            <w:pPr>
              <w:ind w:left="992" w:hanging="992"/>
              <w:rPr>
                <w:ins w:id="93" w:author="Author"/>
              </w:rPr>
            </w:pPr>
            <w:ins w:id="94" w:author="Author">
              <w:r w:rsidRPr="00E17473">
                <w:rPr>
                  <w:color w:val="000000"/>
                </w:rPr>
                <w:t>G.2.10.5</w:t>
              </w:r>
              <w:r w:rsidRPr="00E17473">
                <w:tab/>
                <w:t xml:space="preserve">Notwithstanding anything else in this Code, where the Market Operator receives a notice under paragraph </w:t>
              </w:r>
              <w:r w:rsidRPr="00E17473">
                <w:rPr>
                  <w:color w:val="000000"/>
                </w:rPr>
                <w:t xml:space="preserve">G.2.10.2 in respect of a </w:t>
              </w:r>
              <w:r w:rsidRPr="00E17473">
                <w:t xml:space="preserve">Contracted Quantity </w:t>
              </w:r>
              <w:r w:rsidRPr="00E17473">
                <w:rPr>
                  <w:color w:val="000000"/>
                </w:rPr>
                <w:t xml:space="preserve">before the time determined in accordance with </w:t>
              </w:r>
              <w:r w:rsidRPr="00E17473">
                <w:t xml:space="preserve">paragraph </w:t>
              </w:r>
              <w:r w:rsidRPr="00E17473">
                <w:rPr>
                  <w:color w:val="000000"/>
                </w:rPr>
                <w:t>G.2.10.3</w:t>
              </w:r>
              <w:r w:rsidRPr="00E17473">
                <w:t>:</w:t>
              </w:r>
            </w:ins>
          </w:p>
          <w:p w:rsidR="00E17473" w:rsidRPr="00E17473" w:rsidRDefault="00E17473" w:rsidP="00E17473">
            <w:pPr>
              <w:ind w:left="992" w:hanging="992"/>
              <w:rPr>
                <w:ins w:id="95" w:author="Author"/>
              </w:rPr>
            </w:pPr>
          </w:p>
          <w:p w:rsidR="00E17473" w:rsidRPr="00E17473" w:rsidRDefault="009C4403" w:rsidP="00E17473">
            <w:pPr>
              <w:numPr>
                <w:ilvl w:val="0"/>
                <w:numId w:val="23"/>
              </w:numPr>
              <w:contextualSpacing/>
              <w:rPr>
                <w:ins w:id="96" w:author="Author"/>
              </w:rPr>
            </w:pPr>
            <w:ins w:id="97" w:author="Author">
              <w:r w:rsidRPr="009C4403">
                <w:t xml:space="preserve">to the maximum extent permissible at law, </w:t>
              </w:r>
              <w:r w:rsidR="00E17473" w:rsidRPr="00E17473">
                <w:t xml:space="preserve">the amount payable by the Market Operator to </w:t>
              </w:r>
              <w:bookmarkStart w:id="98" w:name="_Hlk502858084"/>
              <w:r w:rsidR="00E17473" w:rsidRPr="00E17473">
                <w:t>the Participant in respect of the specified Unit (called the “</w:t>
              </w:r>
              <w:r w:rsidR="00E17473" w:rsidRPr="00E17473">
                <w:rPr>
                  <w:b/>
                </w:rPr>
                <w:t>Relevant Participant</w:t>
              </w:r>
              <w:r w:rsidR="00E17473" w:rsidRPr="00E17473">
                <w:t xml:space="preserve">”) under section G.2.5 </w:t>
              </w:r>
              <w:bookmarkEnd w:id="98"/>
              <w:r w:rsidR="00E17473" w:rsidRPr="00E17473">
                <w:t>on the relevant Payment In Due Date shall be reduced by an amount (called the “</w:t>
              </w:r>
              <w:r w:rsidR="00E17473" w:rsidRPr="00E17473">
                <w:rPr>
                  <w:b/>
                </w:rPr>
                <w:t>Reassigned Amount</w:t>
              </w:r>
              <w:r w:rsidR="00E17473" w:rsidRPr="00E17473">
                <w:t>”) equal to the specified invalid Contracted Quantity multiplied by the Imbalance Settlement Price for the Imbalance Settlement Period to which the invalid Contracted Quantity relates; and</w:t>
              </w:r>
            </w:ins>
          </w:p>
          <w:p w:rsidR="00E17473" w:rsidRPr="00E17473" w:rsidRDefault="00E17473" w:rsidP="00E17473">
            <w:pPr>
              <w:ind w:left="1442"/>
              <w:contextualSpacing/>
              <w:rPr>
                <w:ins w:id="99" w:author="Author"/>
              </w:rPr>
            </w:pPr>
          </w:p>
          <w:p w:rsidR="00E17473" w:rsidRPr="00E17473" w:rsidRDefault="00E17473" w:rsidP="00E17473">
            <w:pPr>
              <w:numPr>
                <w:ilvl w:val="0"/>
                <w:numId w:val="23"/>
              </w:numPr>
              <w:contextualSpacing/>
              <w:rPr>
                <w:ins w:id="100" w:author="Author"/>
              </w:rPr>
            </w:pPr>
            <w:ins w:id="101" w:author="Author">
              <w:r w:rsidRPr="00E17473">
                <w:t>the amount payable by the relevant SEM NEMO to the Market Operator under section G.2.5 on the relevant Payment Out Due Date shall be reduced by the Reassigned Amount; and</w:t>
              </w:r>
            </w:ins>
          </w:p>
          <w:p w:rsidR="00E17473" w:rsidRPr="00E17473" w:rsidRDefault="00E17473" w:rsidP="00E17473">
            <w:pPr>
              <w:rPr>
                <w:ins w:id="102" w:author="Author"/>
              </w:rPr>
            </w:pPr>
          </w:p>
          <w:p w:rsidR="00E17473" w:rsidRPr="00E17473" w:rsidRDefault="00E17473" w:rsidP="00E17473">
            <w:pPr>
              <w:numPr>
                <w:ilvl w:val="0"/>
                <w:numId w:val="23"/>
              </w:numPr>
              <w:contextualSpacing/>
              <w:rPr>
                <w:ins w:id="103" w:author="Author"/>
                <w:color w:val="000000"/>
              </w:rPr>
            </w:pPr>
            <w:ins w:id="104" w:author="Author">
              <w:r w:rsidRPr="00E17473">
                <w:t xml:space="preserve">to the extent that the Reassigned Amount is less than the unadjusted amount payable by the Market Operator to the Relevant Participant under section G.2.5 on the relevant </w:t>
              </w:r>
              <w:bookmarkStart w:id="105" w:name="_Hlk502857906"/>
              <w:r w:rsidRPr="00E17473">
                <w:t>Payment In Due Date</w:t>
              </w:r>
              <w:bookmarkEnd w:id="105"/>
              <w:r w:rsidRPr="00E17473">
                <w:t xml:space="preserve"> </w:t>
              </w:r>
              <w:r w:rsidRPr="00E17473">
                <w:rPr>
                  <w:color w:val="000000"/>
                </w:rPr>
                <w:t>(the difference between the two amounts is in this section referred to as the “</w:t>
              </w:r>
              <w:r w:rsidRPr="00E17473">
                <w:rPr>
                  <w:b/>
                  <w:color w:val="000000"/>
                </w:rPr>
                <w:t>initial shortfall</w:t>
              </w:r>
              <w:r w:rsidRPr="00E17473">
                <w:rPr>
                  <w:color w:val="000000"/>
                </w:rPr>
                <w:t>”)</w:t>
              </w:r>
              <w:r w:rsidRPr="00E17473">
                <w:t>:</w:t>
              </w:r>
            </w:ins>
          </w:p>
          <w:p w:rsidR="00E17473" w:rsidRPr="00E17473" w:rsidRDefault="00E17473" w:rsidP="00E17473">
            <w:pPr>
              <w:pStyle w:val="ListParagraph"/>
              <w:rPr>
                <w:ins w:id="106" w:author="Author"/>
                <w:rFonts w:ascii="Times New Roman" w:hAnsi="Times New Roman"/>
                <w:sz w:val="20"/>
                <w:szCs w:val="20"/>
                <w:lang w:eastAsia="en-GB"/>
              </w:rPr>
            </w:pPr>
          </w:p>
          <w:p w:rsidR="00E17473" w:rsidRPr="00E17473" w:rsidRDefault="00E17473" w:rsidP="00375AA8">
            <w:pPr>
              <w:pStyle w:val="ListParagraph"/>
              <w:numPr>
                <w:ilvl w:val="0"/>
                <w:numId w:val="25"/>
              </w:numPr>
              <w:overflowPunct w:val="0"/>
              <w:autoSpaceDE w:val="0"/>
              <w:autoSpaceDN w:val="0"/>
              <w:adjustRightInd w:val="0"/>
              <w:contextualSpacing/>
              <w:textAlignment w:val="baseline"/>
              <w:rPr>
                <w:ins w:id="107" w:author="Author"/>
                <w:rFonts w:ascii="Times New Roman" w:hAnsi="Times New Roman"/>
                <w:color w:val="000000"/>
                <w:sz w:val="20"/>
                <w:szCs w:val="20"/>
                <w:lang w:val="en-IE"/>
              </w:rPr>
            </w:pPr>
            <w:ins w:id="108" w:author="Author">
              <w:r w:rsidRPr="00E17473">
                <w:rPr>
                  <w:rFonts w:ascii="Times New Roman" w:hAnsi="Times New Roman"/>
                  <w:sz w:val="20"/>
                  <w:szCs w:val="20"/>
                  <w:lang w:val="en-IE"/>
                </w:rPr>
                <w:t xml:space="preserve">if the Relevant Participant has </w:t>
              </w:r>
              <w:r w:rsidR="00B928DD">
                <w:rPr>
                  <w:rFonts w:ascii="Times New Roman" w:hAnsi="Times New Roman"/>
                  <w:sz w:val="20"/>
                  <w:szCs w:val="20"/>
                  <w:lang w:val="en-IE"/>
                </w:rPr>
                <w:t>P</w:t>
              </w:r>
              <w:r w:rsidRPr="00E17473">
                <w:rPr>
                  <w:rFonts w:ascii="Times New Roman" w:hAnsi="Times New Roman"/>
                  <w:sz w:val="20"/>
                  <w:szCs w:val="20"/>
                  <w:lang w:val="en-IE"/>
                </w:rPr>
                <w:t xml:space="preserve">osted </w:t>
              </w:r>
              <w:r w:rsidR="00B928DD">
                <w:rPr>
                  <w:rFonts w:ascii="Times New Roman" w:hAnsi="Times New Roman"/>
                  <w:sz w:val="20"/>
                  <w:szCs w:val="20"/>
                  <w:lang w:val="en-IE"/>
                </w:rPr>
                <w:t>Credit Cover</w:t>
              </w:r>
              <w:r w:rsidRPr="00E17473">
                <w:rPr>
                  <w:rFonts w:ascii="Times New Roman" w:hAnsi="Times New Roman"/>
                  <w:sz w:val="20"/>
                  <w:szCs w:val="20"/>
                  <w:lang w:val="en-IE"/>
                </w:rPr>
                <w:t xml:space="preserve"> as at the Payment In Due Date, the Market Operator shall </w:t>
              </w:r>
              <w:r w:rsidRPr="00E17473">
                <w:rPr>
                  <w:rFonts w:ascii="Times New Roman" w:hAnsi="Times New Roman"/>
                  <w:sz w:val="20"/>
                  <w:szCs w:val="20"/>
                </w:rPr>
                <w:t>make a Credit Call on the</w:t>
              </w:r>
              <w:r w:rsidR="004901E1">
                <w:rPr>
                  <w:rFonts w:ascii="Times New Roman" w:hAnsi="Times New Roman"/>
                  <w:sz w:val="20"/>
                  <w:szCs w:val="20"/>
                </w:rPr>
                <w:t xml:space="preserve"> Relevant</w:t>
              </w:r>
              <w:r w:rsidRPr="00E17473">
                <w:rPr>
                  <w:rFonts w:ascii="Times New Roman" w:hAnsi="Times New Roman"/>
                  <w:sz w:val="20"/>
                  <w:szCs w:val="20"/>
                </w:rPr>
                <w:t xml:space="preserve"> Participant’s Posted Credit Cover for payment of the lesser of the initial shortfall and the amount of the </w:t>
              </w:r>
              <w:r w:rsidR="00741E24">
                <w:rPr>
                  <w:rFonts w:ascii="Times New Roman" w:hAnsi="Times New Roman"/>
                  <w:sz w:val="20"/>
                  <w:szCs w:val="20"/>
                  <w:lang w:val="en-IE"/>
                </w:rPr>
                <w:t>P</w:t>
              </w:r>
              <w:r w:rsidR="00741E24" w:rsidRPr="00E17473">
                <w:rPr>
                  <w:rFonts w:ascii="Times New Roman" w:hAnsi="Times New Roman"/>
                  <w:sz w:val="20"/>
                  <w:szCs w:val="20"/>
                  <w:lang w:val="en-IE"/>
                </w:rPr>
                <w:t xml:space="preserve">osted </w:t>
              </w:r>
              <w:r w:rsidR="00741E24">
                <w:rPr>
                  <w:rFonts w:ascii="Times New Roman" w:hAnsi="Times New Roman"/>
                  <w:sz w:val="20"/>
                  <w:szCs w:val="20"/>
                  <w:lang w:val="en-IE"/>
                </w:rPr>
                <w:t>Credit Cover</w:t>
              </w:r>
              <w:r w:rsidRPr="00E17473">
                <w:rPr>
                  <w:rFonts w:ascii="Times New Roman" w:hAnsi="Times New Roman"/>
                  <w:sz w:val="20"/>
                  <w:szCs w:val="20"/>
                </w:rPr>
                <w:t xml:space="preserve"> (the lesser of those two amounts is </w:t>
              </w:r>
              <w:r w:rsidRPr="00E17473">
                <w:rPr>
                  <w:rFonts w:ascii="Times New Roman" w:hAnsi="Times New Roman"/>
                  <w:color w:val="000000"/>
                  <w:sz w:val="20"/>
                  <w:szCs w:val="20"/>
                  <w:lang w:val="en-IE"/>
                </w:rPr>
                <w:t>in this section referred to as</w:t>
              </w:r>
              <w:r w:rsidRPr="00E17473">
                <w:rPr>
                  <w:rFonts w:ascii="Times New Roman" w:hAnsi="Times New Roman"/>
                  <w:sz w:val="20"/>
                  <w:szCs w:val="20"/>
                </w:rPr>
                <w:t xml:space="preserve"> the “</w:t>
              </w:r>
              <w:r w:rsidRPr="00E17473">
                <w:rPr>
                  <w:rFonts w:ascii="Times New Roman" w:hAnsi="Times New Roman"/>
                  <w:b/>
                  <w:sz w:val="20"/>
                  <w:szCs w:val="20"/>
                </w:rPr>
                <w:t>draw-down amount</w:t>
              </w:r>
              <w:r w:rsidRPr="00E17473">
                <w:rPr>
                  <w:rFonts w:ascii="Times New Roman" w:hAnsi="Times New Roman"/>
                  <w:sz w:val="20"/>
                  <w:szCs w:val="20"/>
                </w:rPr>
                <w:t>”) and, for th</w:t>
              </w:r>
              <w:r w:rsidR="00375AA8">
                <w:rPr>
                  <w:rFonts w:ascii="Times New Roman" w:hAnsi="Times New Roman"/>
                  <w:sz w:val="20"/>
                  <w:szCs w:val="20"/>
                </w:rPr>
                <w:t>e</w:t>
              </w:r>
              <w:r w:rsidRPr="00E17473">
                <w:rPr>
                  <w:rFonts w:ascii="Times New Roman" w:hAnsi="Times New Roman"/>
                  <w:sz w:val="20"/>
                  <w:szCs w:val="20"/>
                </w:rPr>
                <w:t xml:space="preserve"> purpose</w:t>
              </w:r>
              <w:r w:rsidR="00375AA8">
                <w:rPr>
                  <w:rFonts w:ascii="Times New Roman" w:hAnsi="Times New Roman"/>
                  <w:sz w:val="20"/>
                  <w:szCs w:val="20"/>
                </w:rPr>
                <w:t xml:space="preserve"> of making such Credit Call on the </w:t>
              </w:r>
              <w:r w:rsidR="004901E1">
                <w:rPr>
                  <w:rFonts w:ascii="Times New Roman" w:hAnsi="Times New Roman"/>
                  <w:sz w:val="20"/>
                  <w:szCs w:val="20"/>
                </w:rPr>
                <w:t xml:space="preserve">Relevant </w:t>
              </w:r>
              <w:r w:rsidR="00375AA8">
                <w:rPr>
                  <w:rFonts w:ascii="Times New Roman" w:hAnsi="Times New Roman"/>
                  <w:sz w:val="20"/>
                  <w:szCs w:val="20"/>
                </w:rPr>
                <w:t>Participant’s Posted Credit Cover</w:t>
              </w:r>
              <w:r w:rsidRPr="00E17473">
                <w:rPr>
                  <w:rFonts w:ascii="Times New Roman" w:hAnsi="Times New Roman"/>
                  <w:sz w:val="20"/>
                  <w:szCs w:val="20"/>
                </w:rPr>
                <w:t>:</w:t>
              </w:r>
            </w:ins>
          </w:p>
          <w:p w:rsidR="00E17473" w:rsidRPr="00E17473" w:rsidRDefault="00E17473" w:rsidP="00E17473">
            <w:pPr>
              <w:pStyle w:val="ListParagraph"/>
              <w:numPr>
                <w:ilvl w:val="1"/>
                <w:numId w:val="25"/>
              </w:numPr>
              <w:overflowPunct w:val="0"/>
              <w:autoSpaceDE w:val="0"/>
              <w:autoSpaceDN w:val="0"/>
              <w:adjustRightInd w:val="0"/>
              <w:contextualSpacing/>
              <w:textAlignment w:val="baseline"/>
              <w:rPr>
                <w:ins w:id="109" w:author="Author"/>
                <w:rFonts w:ascii="Times New Roman" w:hAnsi="Times New Roman"/>
                <w:color w:val="000000"/>
                <w:sz w:val="20"/>
                <w:szCs w:val="20"/>
                <w:lang w:val="en-IE"/>
              </w:rPr>
            </w:pPr>
            <w:ins w:id="110" w:author="Author">
              <w:r w:rsidRPr="00E17473">
                <w:rPr>
                  <w:rFonts w:ascii="Times New Roman" w:hAnsi="Times New Roman"/>
                  <w:sz w:val="20"/>
                  <w:szCs w:val="20"/>
                </w:rPr>
                <w:t>clause G.2.6.2 applies as if the draw-down amount was a “Shortfall”</w:t>
              </w:r>
              <w:r w:rsidRPr="00E17473">
                <w:rPr>
                  <w:rFonts w:ascii="Times New Roman" w:hAnsi="Times New Roman"/>
                  <w:color w:val="000000"/>
                  <w:sz w:val="20"/>
                  <w:szCs w:val="20"/>
                  <w:lang w:val="en-IE"/>
                </w:rPr>
                <w:t xml:space="preserve"> (and ignoring references to Agreed Procedure 15</w:t>
              </w:r>
              <w:r w:rsidR="00375AA8">
                <w:rPr>
                  <w:rFonts w:ascii="Times New Roman" w:hAnsi="Times New Roman"/>
                  <w:color w:val="000000"/>
                  <w:sz w:val="20"/>
                  <w:szCs w:val="20"/>
                  <w:lang w:val="en-IE"/>
                </w:rPr>
                <w:t xml:space="preserve"> when applying </w:t>
              </w:r>
              <w:r w:rsidR="007374BB">
                <w:rPr>
                  <w:rFonts w:ascii="Times New Roman" w:hAnsi="Times New Roman"/>
                  <w:color w:val="000000"/>
                  <w:sz w:val="20"/>
                  <w:szCs w:val="20"/>
                  <w:lang w:val="en-IE"/>
                </w:rPr>
                <w:t>paragraph</w:t>
              </w:r>
              <w:r w:rsidR="00375AA8">
                <w:rPr>
                  <w:rFonts w:ascii="Times New Roman" w:hAnsi="Times New Roman"/>
                  <w:color w:val="000000"/>
                  <w:sz w:val="20"/>
                  <w:szCs w:val="20"/>
                  <w:lang w:val="en-IE"/>
                </w:rPr>
                <w:t xml:space="preserve"> G.2.6.2</w:t>
              </w:r>
              <w:r w:rsidRPr="00E17473">
                <w:rPr>
                  <w:rFonts w:ascii="Times New Roman" w:hAnsi="Times New Roman"/>
                  <w:color w:val="000000"/>
                  <w:sz w:val="20"/>
                  <w:szCs w:val="20"/>
                  <w:lang w:val="en-IE"/>
                </w:rPr>
                <w:t>)</w:t>
              </w:r>
              <w:r w:rsidRPr="00E17473">
                <w:rPr>
                  <w:rFonts w:ascii="Times New Roman" w:hAnsi="Times New Roman"/>
                  <w:sz w:val="20"/>
                  <w:szCs w:val="20"/>
                </w:rPr>
                <w:t>; and</w:t>
              </w:r>
            </w:ins>
          </w:p>
          <w:p w:rsidR="00E17473" w:rsidRPr="00E17473" w:rsidRDefault="00E17473" w:rsidP="00E17473">
            <w:pPr>
              <w:pStyle w:val="ListParagraph"/>
              <w:numPr>
                <w:ilvl w:val="1"/>
                <w:numId w:val="25"/>
              </w:numPr>
              <w:overflowPunct w:val="0"/>
              <w:autoSpaceDE w:val="0"/>
              <w:autoSpaceDN w:val="0"/>
              <w:adjustRightInd w:val="0"/>
              <w:contextualSpacing/>
              <w:textAlignment w:val="baseline"/>
              <w:rPr>
                <w:ins w:id="111" w:author="Author"/>
                <w:rFonts w:ascii="Times New Roman" w:hAnsi="Times New Roman"/>
                <w:color w:val="000000"/>
                <w:sz w:val="20"/>
                <w:szCs w:val="20"/>
                <w:lang w:val="en-IE"/>
              </w:rPr>
            </w:pPr>
            <w:ins w:id="112" w:author="Author">
              <w:r w:rsidRPr="00E17473">
                <w:rPr>
                  <w:rFonts w:ascii="Times New Roman" w:hAnsi="Times New Roman"/>
                  <w:color w:val="000000"/>
                  <w:sz w:val="20"/>
                  <w:szCs w:val="20"/>
                  <w:lang w:val="en-IE"/>
                </w:rPr>
                <w:t xml:space="preserve">the Relevant Participant shall be deemed to be in </w:t>
              </w:r>
              <w:r w:rsidRPr="00E17473">
                <w:rPr>
                  <w:rFonts w:ascii="Times New Roman" w:hAnsi="Times New Roman"/>
                  <w:sz w:val="20"/>
                  <w:szCs w:val="20"/>
                </w:rPr>
                <w:t>default of an obligation to pay the draw-down amount pursuant to this Code; and</w:t>
              </w:r>
            </w:ins>
          </w:p>
          <w:p w:rsidR="00E17473" w:rsidRPr="00E17473" w:rsidRDefault="00E17473" w:rsidP="00E17473">
            <w:pPr>
              <w:ind w:left="1802" w:firstLine="358"/>
              <w:rPr>
                <w:ins w:id="113" w:author="Author"/>
              </w:rPr>
            </w:pPr>
            <w:ins w:id="114" w:author="Author">
              <w:r w:rsidRPr="00E17473">
                <w:t xml:space="preserve"> </w:t>
              </w:r>
            </w:ins>
          </w:p>
          <w:p w:rsidR="00E17473" w:rsidRPr="00E17473" w:rsidRDefault="00E17473" w:rsidP="00E17473">
            <w:pPr>
              <w:ind w:left="1802" w:hanging="360"/>
              <w:rPr>
                <w:ins w:id="115" w:author="Author"/>
              </w:rPr>
            </w:pPr>
            <w:ins w:id="116" w:author="Author">
              <w:r w:rsidRPr="00E17473">
                <w:t>(ii)</w:t>
              </w:r>
              <w:r w:rsidRPr="00E17473">
                <w:tab/>
              </w:r>
              <w:r w:rsidR="00FC633F" w:rsidRPr="009C4403">
                <w:t xml:space="preserve">to the maximum extent permissible at law, </w:t>
              </w:r>
              <w:r w:rsidRPr="00E17473">
                <w:t>the Market Operator shall be entitled to reduce payments to the other Participants under this Code on the relevant Payment Out Due Date by an aggregate amount (</w:t>
              </w:r>
              <w:r w:rsidRPr="00E17473">
                <w:rPr>
                  <w:color w:val="000000"/>
                </w:rPr>
                <w:t xml:space="preserve">in this section </w:t>
              </w:r>
              <w:r w:rsidRPr="00E17473">
                <w:t>called the “</w:t>
              </w:r>
              <w:r w:rsidRPr="00E17473">
                <w:rPr>
                  <w:b/>
                </w:rPr>
                <w:t>remaining</w:t>
              </w:r>
              <w:r w:rsidRPr="00E17473">
                <w:t xml:space="preserve"> </w:t>
              </w:r>
              <w:r w:rsidRPr="00E17473">
                <w:rPr>
                  <w:b/>
                </w:rPr>
                <w:t>amount</w:t>
              </w:r>
              <w:r w:rsidRPr="00E17473">
                <w:t>”) equal to the initial shortfall less any sum drawn down as a result of the Credit Call made under paragraph G.2.10.5(c)(</w:t>
              </w:r>
              <w:proofErr w:type="spellStart"/>
              <w:r w:rsidRPr="00E17473">
                <w:t>i</w:t>
              </w:r>
              <w:proofErr w:type="spellEnd"/>
              <w:r w:rsidRPr="00E17473">
                <w:t xml:space="preserve">), and in so doing, so far as practicable and </w:t>
              </w:r>
              <w:r w:rsidRPr="00E17473">
                <w:rPr>
                  <w:i/>
                </w:rPr>
                <w:t>mutatis mutandis</w:t>
              </w:r>
              <w:r w:rsidRPr="00E17473">
                <w:t xml:space="preserve">, apply the provisions of paragraphs G.2.7.3, G.2.7.5 and G.2.7.7 as if the remaining amount was an </w:t>
              </w:r>
              <w:r w:rsidRPr="00E17473">
                <w:rPr>
                  <w:color w:val="000000"/>
                </w:rPr>
                <w:t>Unsecured Bad Debt and an Unsecured Bad Energy Debt (and ignoring references to the Defaulting Participant(s), a Default and Default Interest</w:t>
              </w:r>
              <w:r w:rsidR="00B24969">
                <w:rPr>
                  <w:color w:val="000000"/>
                </w:rPr>
                <w:t xml:space="preserve"> when applying the provisions of </w:t>
              </w:r>
              <w:r w:rsidR="00B24969" w:rsidRPr="00E17473">
                <w:t>paragraphs G.2.7.3, G.2.7.5 and G.2.7.7</w:t>
              </w:r>
              <w:r w:rsidRPr="00E17473">
                <w:rPr>
                  <w:color w:val="000000"/>
                </w:rPr>
                <w:t>)</w:t>
              </w:r>
              <w:r w:rsidRPr="00E17473">
                <w:t>; and</w:t>
              </w:r>
              <w:bookmarkStart w:id="117" w:name="_Hlk502913723"/>
            </w:ins>
          </w:p>
          <w:bookmarkEnd w:id="117"/>
          <w:p w:rsidR="00E17473" w:rsidRPr="00E17473" w:rsidRDefault="00E17473" w:rsidP="00E17473">
            <w:pPr>
              <w:pStyle w:val="ListParagraph"/>
              <w:overflowPunct w:val="0"/>
              <w:autoSpaceDE w:val="0"/>
              <w:autoSpaceDN w:val="0"/>
              <w:adjustRightInd w:val="0"/>
              <w:ind w:left="1802"/>
              <w:textAlignment w:val="baseline"/>
              <w:rPr>
                <w:ins w:id="118" w:author="Author"/>
                <w:rFonts w:ascii="Times New Roman" w:hAnsi="Times New Roman"/>
                <w:color w:val="000000"/>
                <w:sz w:val="20"/>
                <w:szCs w:val="20"/>
                <w:lang w:val="en-IE"/>
              </w:rPr>
            </w:pPr>
          </w:p>
          <w:p w:rsidR="00E17473" w:rsidRPr="00E17473" w:rsidRDefault="00E17473" w:rsidP="00E17473">
            <w:pPr>
              <w:ind w:left="1802" w:hanging="360"/>
              <w:rPr>
                <w:ins w:id="119" w:author="Author"/>
              </w:rPr>
            </w:pPr>
            <w:ins w:id="120" w:author="Author">
              <w:r w:rsidRPr="00E17473">
                <w:rPr>
                  <w:color w:val="000000"/>
                </w:rPr>
                <w:t>(iii)</w:t>
              </w:r>
              <w:r w:rsidRPr="00E17473">
                <w:rPr>
                  <w:color w:val="000000"/>
                </w:rPr>
                <w:tab/>
                <w:t xml:space="preserve">paragraph G.2.10.5(a) shall be reapplied on subsequent </w:t>
              </w:r>
              <w:r w:rsidRPr="00E17473">
                <w:t>Payment Due Date</w:t>
              </w:r>
              <w:r w:rsidRPr="00E17473">
                <w:rPr>
                  <w:color w:val="000000"/>
                </w:rPr>
                <w:t xml:space="preserve">s </w:t>
              </w:r>
              <w:bookmarkStart w:id="121" w:name="_Hlk503199649"/>
              <w:r w:rsidRPr="00E17473">
                <w:t xml:space="preserve">for the purpose of paragraph G.2.5.4(c) </w:t>
              </w:r>
              <w:bookmarkEnd w:id="121"/>
              <w:r w:rsidRPr="00E17473">
                <w:rPr>
                  <w:color w:val="000000"/>
                </w:rPr>
                <w:t xml:space="preserve">until the remaining amount has been recovered in full from </w:t>
              </w:r>
              <w:r w:rsidRPr="00E17473">
                <w:t>the Relevant Participant in respect of the relevant Unit; and</w:t>
              </w:r>
            </w:ins>
          </w:p>
          <w:p w:rsidR="00E17473" w:rsidRPr="00E17473" w:rsidRDefault="00E17473" w:rsidP="00E17473">
            <w:pPr>
              <w:ind w:left="1802" w:hanging="360"/>
              <w:rPr>
                <w:ins w:id="122" w:author="Author"/>
                <w:color w:val="000000"/>
              </w:rPr>
            </w:pPr>
          </w:p>
          <w:p w:rsidR="00E17473" w:rsidRPr="00E17473" w:rsidRDefault="00E17473" w:rsidP="00E17473">
            <w:pPr>
              <w:numPr>
                <w:ilvl w:val="0"/>
                <w:numId w:val="23"/>
              </w:numPr>
              <w:contextualSpacing/>
              <w:rPr>
                <w:ins w:id="123" w:author="Author"/>
              </w:rPr>
            </w:pPr>
            <w:ins w:id="124" w:author="Author">
              <w:r w:rsidRPr="00E17473">
                <w:t xml:space="preserve">all Participants agree to any adjustments contemplated by this paragraph </w:t>
              </w:r>
              <w:r w:rsidRPr="00E17473">
                <w:rPr>
                  <w:color w:val="000000"/>
                </w:rPr>
                <w:t xml:space="preserve">G.2.10.5 and that the payment of a reduced amount in place of the unadjusted amount </w:t>
              </w:r>
              <w:r w:rsidRPr="00E17473">
                <w:t xml:space="preserve">in accordance with this paragraph </w:t>
              </w:r>
              <w:r w:rsidRPr="00E17473">
                <w:rPr>
                  <w:color w:val="000000"/>
                </w:rPr>
                <w:t>G.2.10.5 does not constitute a breach or default of this Code on the part of the Market Operator or the SEM NEMO; and</w:t>
              </w:r>
              <w:r w:rsidRPr="00E17473">
                <w:t xml:space="preserve"> </w:t>
              </w:r>
            </w:ins>
          </w:p>
          <w:p w:rsidR="00E17473" w:rsidRPr="00E17473" w:rsidRDefault="00E17473" w:rsidP="00E17473">
            <w:pPr>
              <w:ind w:left="1442"/>
              <w:contextualSpacing/>
              <w:rPr>
                <w:ins w:id="125" w:author="Author"/>
              </w:rPr>
            </w:pPr>
          </w:p>
          <w:p w:rsidR="00E17473" w:rsidRPr="00E17473" w:rsidRDefault="00E17473" w:rsidP="00E17473">
            <w:pPr>
              <w:numPr>
                <w:ilvl w:val="0"/>
                <w:numId w:val="23"/>
              </w:numPr>
              <w:contextualSpacing/>
              <w:rPr>
                <w:ins w:id="126" w:author="Author"/>
              </w:rPr>
            </w:pPr>
            <w:ins w:id="127" w:author="Author">
              <w:r w:rsidRPr="00E17473">
                <w:t xml:space="preserve">despite the previous sub-paragraphs, when calculating the level of Required Credit Cover for </w:t>
              </w:r>
              <w:r w:rsidRPr="00E17473">
                <w:lastRenderedPageBreak/>
                <w:t xml:space="preserve">the Relevant Participant and the relevant SEM NEMO, the Reassigned Amount shall be regarded as owed by the Relevant Participant and not the SEM NEMO. </w:t>
              </w:r>
            </w:ins>
          </w:p>
          <w:p w:rsidR="00E17473" w:rsidRPr="00E17473" w:rsidRDefault="00E17473" w:rsidP="00E17473">
            <w:pPr>
              <w:pStyle w:val="ListParagraph"/>
              <w:overflowPunct w:val="0"/>
              <w:autoSpaceDE w:val="0"/>
              <w:autoSpaceDN w:val="0"/>
              <w:adjustRightInd w:val="0"/>
              <w:ind w:left="1442"/>
              <w:textAlignment w:val="baseline"/>
              <w:rPr>
                <w:ins w:id="128" w:author="Author"/>
                <w:rFonts w:ascii="Times New Roman" w:hAnsi="Times New Roman"/>
                <w:sz w:val="20"/>
                <w:szCs w:val="20"/>
                <w:lang w:val="en-IE"/>
              </w:rPr>
            </w:pPr>
          </w:p>
          <w:p w:rsidR="00E17473" w:rsidRPr="00E17473" w:rsidRDefault="00E17473" w:rsidP="00E17473">
            <w:pPr>
              <w:ind w:left="992" w:hanging="992"/>
              <w:rPr>
                <w:ins w:id="129" w:author="Author"/>
                <w:color w:val="000000"/>
              </w:rPr>
            </w:pPr>
            <w:ins w:id="130" w:author="Author">
              <w:r w:rsidRPr="00E17473">
                <w:rPr>
                  <w:color w:val="000000"/>
                </w:rPr>
                <w:t>G.2.10.6</w:t>
              </w:r>
              <w:r w:rsidRPr="00E17473">
                <w:rPr>
                  <w:color w:val="000000"/>
                </w:rPr>
                <w:tab/>
              </w:r>
              <w:r w:rsidR="004901E1">
                <w:rPr>
                  <w:color w:val="000000"/>
                </w:rPr>
                <w:t xml:space="preserve">Where a relevant SEM NEMO has provided </w:t>
              </w:r>
              <w:r w:rsidR="004901E1" w:rsidRPr="00E17473">
                <w:t xml:space="preserve">a notice under paragraph </w:t>
              </w:r>
              <w:r w:rsidR="004901E1" w:rsidRPr="00E17473">
                <w:rPr>
                  <w:color w:val="000000"/>
                </w:rPr>
                <w:t xml:space="preserve">G.2.10.2 </w:t>
              </w:r>
              <w:r w:rsidR="004901E1">
                <w:rPr>
                  <w:color w:val="000000"/>
                </w:rPr>
                <w:t xml:space="preserve">to the Market Operator, </w:t>
              </w:r>
              <w:proofErr w:type="spellStart"/>
              <w:r w:rsidR="004901E1">
                <w:rPr>
                  <w:color w:val="000000"/>
                </w:rPr>
                <w:t>that</w:t>
              </w:r>
              <w:del w:id="131" w:author="Author">
                <w:r w:rsidRPr="00E17473" w:rsidDel="004901E1">
                  <w:rPr>
                    <w:color w:val="000000"/>
                  </w:rPr>
                  <w:delText xml:space="preserve"> </w:delText>
                </w:r>
              </w:del>
              <w:r w:rsidRPr="00E17473">
                <w:rPr>
                  <w:color w:val="000000"/>
                </w:rPr>
                <w:t>SEM</w:t>
              </w:r>
              <w:proofErr w:type="spellEnd"/>
              <w:r w:rsidRPr="00E17473">
                <w:rPr>
                  <w:color w:val="000000"/>
                </w:rPr>
                <w:t xml:space="preserve"> NEMO shall:</w:t>
              </w:r>
            </w:ins>
          </w:p>
          <w:p w:rsidR="00E17473" w:rsidRPr="00E17473" w:rsidRDefault="00E17473" w:rsidP="00E17473">
            <w:pPr>
              <w:ind w:left="992" w:hanging="992"/>
              <w:rPr>
                <w:ins w:id="132" w:author="Author"/>
                <w:color w:val="000000"/>
              </w:rPr>
            </w:pPr>
          </w:p>
          <w:p w:rsidR="00E17473" w:rsidRPr="00E17473" w:rsidRDefault="00E17473" w:rsidP="00E17473">
            <w:pPr>
              <w:pStyle w:val="ListParagraph"/>
              <w:numPr>
                <w:ilvl w:val="0"/>
                <w:numId w:val="26"/>
              </w:numPr>
              <w:overflowPunct w:val="0"/>
              <w:autoSpaceDE w:val="0"/>
              <w:autoSpaceDN w:val="0"/>
              <w:adjustRightInd w:val="0"/>
              <w:contextualSpacing/>
              <w:textAlignment w:val="baseline"/>
              <w:rPr>
                <w:ins w:id="133" w:author="Author"/>
                <w:rFonts w:ascii="Times New Roman" w:hAnsi="Times New Roman"/>
                <w:color w:val="000000"/>
                <w:sz w:val="20"/>
                <w:szCs w:val="20"/>
              </w:rPr>
            </w:pPr>
            <w:ins w:id="134" w:author="Author">
              <w:r w:rsidRPr="00E17473">
                <w:rPr>
                  <w:rFonts w:ascii="Times New Roman" w:hAnsi="Times New Roman"/>
                  <w:color w:val="000000"/>
                  <w:sz w:val="20"/>
                  <w:szCs w:val="20"/>
                  <w:lang w:eastAsia="en-GB"/>
                </w:rPr>
                <w:t xml:space="preserve">take all steps available to it under the Market Rules of the </w:t>
              </w:r>
              <w:bookmarkStart w:id="135" w:name="_Hlk502860243"/>
              <w:r w:rsidRPr="00E17473">
                <w:rPr>
                  <w:rFonts w:ascii="Times New Roman" w:hAnsi="Times New Roman"/>
                  <w:color w:val="000000"/>
                  <w:sz w:val="20"/>
                  <w:szCs w:val="20"/>
                  <w:lang w:eastAsia="en-GB"/>
                </w:rPr>
                <w:t xml:space="preserve">Ex Ante Market </w:t>
              </w:r>
              <w:bookmarkEnd w:id="135"/>
              <w:r w:rsidRPr="00E17473">
                <w:rPr>
                  <w:rFonts w:ascii="Times New Roman" w:hAnsi="Times New Roman"/>
                  <w:color w:val="000000"/>
                  <w:sz w:val="20"/>
                  <w:szCs w:val="20"/>
                  <w:lang w:eastAsia="en-GB"/>
                </w:rPr>
                <w:t xml:space="preserve">or otherwise to recover the Reassigned Amount </w:t>
              </w:r>
              <w:r w:rsidRPr="00E17473">
                <w:rPr>
                  <w:rFonts w:ascii="Times New Roman" w:hAnsi="Times New Roman"/>
                  <w:sz w:val="20"/>
                  <w:szCs w:val="20"/>
                </w:rPr>
                <w:t xml:space="preserve">from </w:t>
              </w:r>
              <w:r w:rsidRPr="00352E1B">
                <w:rPr>
                  <w:rFonts w:ascii="Times New Roman" w:hAnsi="Times New Roman"/>
                  <w:sz w:val="20"/>
                  <w:szCs w:val="20"/>
                </w:rPr>
                <w:t xml:space="preserve">the </w:t>
              </w:r>
              <w:r w:rsidRPr="002D241C">
                <w:rPr>
                  <w:rFonts w:ascii="Times New Roman" w:hAnsi="Times New Roman"/>
                  <w:sz w:val="20"/>
                  <w:szCs w:val="20"/>
                </w:rPr>
                <w:t>person</w:t>
              </w:r>
              <w:r w:rsidRPr="00352E1B">
                <w:rPr>
                  <w:rFonts w:ascii="Times New Roman" w:hAnsi="Times New Roman"/>
                  <w:sz w:val="20"/>
                  <w:szCs w:val="20"/>
                </w:rPr>
                <w:t xml:space="preserve"> whose</w:t>
              </w:r>
              <w:r w:rsidRPr="00E17473">
                <w:rPr>
                  <w:rFonts w:ascii="Times New Roman" w:hAnsi="Times New Roman"/>
                  <w:sz w:val="20"/>
                  <w:szCs w:val="20"/>
                </w:rPr>
                <w:t xml:space="preserve"> trade in the </w:t>
              </w:r>
              <w:r w:rsidRPr="00E17473">
                <w:rPr>
                  <w:rFonts w:ascii="Times New Roman" w:hAnsi="Times New Roman"/>
                  <w:color w:val="000000"/>
                  <w:sz w:val="20"/>
                  <w:szCs w:val="20"/>
                  <w:lang w:eastAsia="en-GB"/>
                </w:rPr>
                <w:t>Ex Ante Market</w:t>
              </w:r>
              <w:r w:rsidRPr="00E17473">
                <w:rPr>
                  <w:rFonts w:ascii="Times New Roman" w:hAnsi="Times New Roman"/>
                  <w:sz w:val="20"/>
                  <w:szCs w:val="20"/>
                </w:rPr>
                <w:t xml:space="preserve"> gave rise (in whole or in part) to the invalid </w:t>
              </w:r>
              <w:r w:rsidRPr="00E17473">
                <w:rPr>
                  <w:rFonts w:ascii="Times New Roman" w:hAnsi="Times New Roman"/>
                  <w:color w:val="000000"/>
                  <w:sz w:val="20"/>
                  <w:szCs w:val="20"/>
                </w:rPr>
                <w:t>Contracted Quantity; and</w:t>
              </w:r>
            </w:ins>
          </w:p>
          <w:p w:rsidR="00E17473" w:rsidRPr="00E17473" w:rsidRDefault="00E17473" w:rsidP="00E17473">
            <w:pPr>
              <w:pStyle w:val="ListParagraph"/>
              <w:overflowPunct w:val="0"/>
              <w:autoSpaceDE w:val="0"/>
              <w:autoSpaceDN w:val="0"/>
              <w:adjustRightInd w:val="0"/>
              <w:ind w:left="1442"/>
              <w:textAlignment w:val="baseline"/>
              <w:rPr>
                <w:ins w:id="136" w:author="Author"/>
                <w:rFonts w:ascii="Times New Roman" w:hAnsi="Times New Roman"/>
                <w:color w:val="000000"/>
                <w:sz w:val="20"/>
                <w:szCs w:val="20"/>
              </w:rPr>
            </w:pPr>
          </w:p>
          <w:p w:rsidR="00E17473" w:rsidRPr="00E17473" w:rsidRDefault="00E17473" w:rsidP="00E17473">
            <w:pPr>
              <w:pStyle w:val="ListParagraph"/>
              <w:numPr>
                <w:ilvl w:val="0"/>
                <w:numId w:val="26"/>
              </w:numPr>
              <w:overflowPunct w:val="0"/>
              <w:autoSpaceDE w:val="0"/>
              <w:autoSpaceDN w:val="0"/>
              <w:adjustRightInd w:val="0"/>
              <w:contextualSpacing/>
              <w:textAlignment w:val="baseline"/>
              <w:rPr>
                <w:ins w:id="137" w:author="Author"/>
                <w:rFonts w:ascii="Times New Roman" w:hAnsi="Times New Roman"/>
                <w:color w:val="000000"/>
                <w:sz w:val="20"/>
                <w:szCs w:val="20"/>
              </w:rPr>
            </w:pPr>
            <w:ins w:id="138" w:author="Author">
              <w:r w:rsidRPr="00E17473">
                <w:rPr>
                  <w:rFonts w:ascii="Times New Roman" w:hAnsi="Times New Roman"/>
                  <w:color w:val="000000"/>
                  <w:sz w:val="20"/>
                  <w:szCs w:val="20"/>
                </w:rPr>
                <w:t xml:space="preserve">where the SEM NEMO has appointed a separate clearing house to </w:t>
              </w:r>
              <w:r w:rsidRPr="00E17473">
                <w:rPr>
                  <w:rFonts w:ascii="Times New Roman" w:hAnsi="Times New Roman"/>
                  <w:sz w:val="20"/>
                  <w:szCs w:val="20"/>
                  <w:lang w:val="en-IE" w:eastAsia="en-IE"/>
                </w:rPr>
                <w:t xml:space="preserve">act as the central counterparty for the </w:t>
              </w:r>
              <w:r w:rsidRPr="00E17473">
                <w:rPr>
                  <w:rFonts w:ascii="Times New Roman" w:hAnsi="Times New Roman"/>
                  <w:color w:val="000000"/>
                  <w:sz w:val="20"/>
                  <w:szCs w:val="20"/>
                  <w:lang w:eastAsia="en-GB"/>
                </w:rPr>
                <w:t>Ex Ante Market</w:t>
              </w:r>
              <w:r w:rsidRPr="00E17473">
                <w:rPr>
                  <w:rFonts w:ascii="Times New Roman" w:hAnsi="Times New Roman"/>
                  <w:sz w:val="20"/>
                  <w:szCs w:val="20"/>
                  <w:lang w:val="en-IE" w:eastAsia="en-IE"/>
                </w:rPr>
                <w:t xml:space="preserve">, use reasonable endeavours to </w:t>
              </w:r>
              <w:r w:rsidRPr="00E17473">
                <w:rPr>
                  <w:rFonts w:ascii="Times New Roman" w:hAnsi="Times New Roman"/>
                  <w:color w:val="000000"/>
                  <w:sz w:val="20"/>
                  <w:szCs w:val="20"/>
                  <w:lang w:eastAsia="en-GB"/>
                </w:rPr>
                <w:t>procure that the clearing house takes all steps available to the clearing house under its C</w:t>
              </w:r>
              <w:r w:rsidRPr="00E17473">
                <w:rPr>
                  <w:rFonts w:ascii="Times New Roman" w:hAnsi="Times New Roman"/>
                  <w:color w:val="000000"/>
                  <w:sz w:val="20"/>
                  <w:szCs w:val="20"/>
                </w:rPr>
                <w:t>learing Conditions or</w:t>
              </w:r>
              <w:r w:rsidRPr="00E17473">
                <w:rPr>
                  <w:rFonts w:ascii="Times New Roman" w:hAnsi="Times New Roman"/>
                  <w:color w:val="000000"/>
                  <w:sz w:val="20"/>
                  <w:szCs w:val="20"/>
                  <w:lang w:eastAsia="en-GB"/>
                </w:rPr>
                <w:t xml:space="preserve"> otherwise to recover the Reassigned Amount </w:t>
              </w:r>
              <w:r w:rsidRPr="00E17473">
                <w:rPr>
                  <w:rFonts w:ascii="Times New Roman" w:hAnsi="Times New Roman"/>
                  <w:sz w:val="20"/>
                  <w:szCs w:val="20"/>
                </w:rPr>
                <w:t xml:space="preserve">from </w:t>
              </w:r>
              <w:r w:rsidRPr="00352E1B">
                <w:rPr>
                  <w:rFonts w:ascii="Times New Roman" w:hAnsi="Times New Roman"/>
                  <w:sz w:val="20"/>
                  <w:szCs w:val="20"/>
                </w:rPr>
                <w:t xml:space="preserve">the </w:t>
              </w:r>
              <w:bookmarkStart w:id="139" w:name="_GoBack"/>
              <w:r w:rsidRPr="002D241C">
                <w:rPr>
                  <w:rFonts w:ascii="Times New Roman" w:hAnsi="Times New Roman"/>
                  <w:sz w:val="20"/>
                  <w:szCs w:val="20"/>
                </w:rPr>
                <w:t>person</w:t>
              </w:r>
              <w:bookmarkEnd w:id="139"/>
              <w:r w:rsidR="00352E1B">
                <w:rPr>
                  <w:rFonts w:ascii="Times New Roman" w:hAnsi="Times New Roman"/>
                  <w:sz w:val="20"/>
                  <w:szCs w:val="20"/>
                </w:rPr>
                <w:t xml:space="preserve"> </w:t>
              </w:r>
              <w:r w:rsidRPr="00352E1B">
                <w:rPr>
                  <w:rFonts w:ascii="Times New Roman" w:hAnsi="Times New Roman"/>
                  <w:sz w:val="20"/>
                  <w:szCs w:val="20"/>
                </w:rPr>
                <w:t>whose</w:t>
              </w:r>
              <w:r w:rsidRPr="00E17473">
                <w:rPr>
                  <w:rFonts w:ascii="Times New Roman" w:hAnsi="Times New Roman"/>
                  <w:sz w:val="20"/>
                  <w:szCs w:val="20"/>
                </w:rPr>
                <w:t xml:space="preserve"> trade in the </w:t>
              </w:r>
              <w:r w:rsidRPr="00E17473">
                <w:rPr>
                  <w:rFonts w:ascii="Times New Roman" w:hAnsi="Times New Roman"/>
                  <w:color w:val="000000"/>
                  <w:sz w:val="20"/>
                  <w:szCs w:val="20"/>
                  <w:lang w:eastAsia="en-GB"/>
                </w:rPr>
                <w:t>Ex Ante Market</w:t>
              </w:r>
              <w:r w:rsidRPr="00E17473">
                <w:rPr>
                  <w:rFonts w:ascii="Times New Roman" w:hAnsi="Times New Roman"/>
                  <w:sz w:val="20"/>
                  <w:szCs w:val="20"/>
                </w:rPr>
                <w:t xml:space="preserve"> gave rise (in whole or in part) to the invalid </w:t>
              </w:r>
              <w:r w:rsidRPr="00E17473">
                <w:rPr>
                  <w:rFonts w:ascii="Times New Roman" w:hAnsi="Times New Roman"/>
                  <w:color w:val="000000"/>
                  <w:sz w:val="20"/>
                  <w:szCs w:val="20"/>
                </w:rPr>
                <w:t xml:space="preserve">Contracted Quantity; </w:t>
              </w:r>
              <w:bookmarkStart w:id="140" w:name="_Hlk502941368"/>
              <w:r w:rsidRPr="00E17473">
                <w:rPr>
                  <w:rFonts w:ascii="Times New Roman" w:hAnsi="Times New Roman"/>
                  <w:color w:val="000000"/>
                  <w:sz w:val="20"/>
                  <w:szCs w:val="20"/>
                </w:rPr>
                <w:t xml:space="preserve">and </w:t>
              </w:r>
            </w:ins>
          </w:p>
          <w:bookmarkEnd w:id="140"/>
          <w:p w:rsidR="00E17473" w:rsidRPr="00E17473" w:rsidRDefault="00E17473" w:rsidP="00E17473">
            <w:pPr>
              <w:pStyle w:val="ListParagraph"/>
              <w:overflowPunct w:val="0"/>
              <w:autoSpaceDE w:val="0"/>
              <w:autoSpaceDN w:val="0"/>
              <w:adjustRightInd w:val="0"/>
              <w:ind w:left="1442"/>
              <w:textAlignment w:val="baseline"/>
              <w:rPr>
                <w:ins w:id="141" w:author="Author"/>
                <w:rFonts w:ascii="Times New Roman" w:hAnsi="Times New Roman"/>
                <w:color w:val="000000"/>
                <w:sz w:val="20"/>
                <w:szCs w:val="20"/>
              </w:rPr>
            </w:pPr>
          </w:p>
          <w:p w:rsidR="00E17473" w:rsidRPr="00E17473" w:rsidRDefault="00E17473" w:rsidP="00E17473">
            <w:pPr>
              <w:pStyle w:val="ListParagraph"/>
              <w:numPr>
                <w:ilvl w:val="0"/>
                <w:numId w:val="26"/>
              </w:numPr>
              <w:overflowPunct w:val="0"/>
              <w:autoSpaceDE w:val="0"/>
              <w:autoSpaceDN w:val="0"/>
              <w:adjustRightInd w:val="0"/>
              <w:contextualSpacing/>
              <w:textAlignment w:val="baseline"/>
              <w:rPr>
                <w:ins w:id="142" w:author="Author"/>
                <w:rFonts w:ascii="Times New Roman" w:hAnsi="Times New Roman"/>
                <w:color w:val="000000"/>
                <w:sz w:val="20"/>
                <w:szCs w:val="20"/>
              </w:rPr>
            </w:pPr>
            <w:ins w:id="143" w:author="Author">
              <w:r w:rsidRPr="00E17473">
                <w:rPr>
                  <w:rFonts w:ascii="Times New Roman" w:hAnsi="Times New Roman"/>
                  <w:color w:val="000000"/>
                  <w:sz w:val="20"/>
                  <w:szCs w:val="20"/>
                </w:rPr>
                <w:t xml:space="preserve">pay to the Market Operator any amounts so recovered. </w:t>
              </w:r>
            </w:ins>
          </w:p>
          <w:p w:rsidR="00E17473" w:rsidRPr="00E17473" w:rsidRDefault="00E17473" w:rsidP="00E17473">
            <w:pPr>
              <w:ind w:left="992" w:hanging="992"/>
              <w:rPr>
                <w:ins w:id="144" w:author="Author"/>
                <w:color w:val="000000"/>
              </w:rPr>
            </w:pPr>
          </w:p>
          <w:p w:rsidR="00E17473" w:rsidRPr="00E17473" w:rsidRDefault="00E17473" w:rsidP="00E17473">
            <w:pPr>
              <w:ind w:left="992" w:hanging="992"/>
              <w:rPr>
                <w:ins w:id="145" w:author="Author"/>
                <w:color w:val="000000"/>
              </w:rPr>
            </w:pPr>
            <w:ins w:id="146" w:author="Author">
              <w:r w:rsidRPr="00E17473">
                <w:rPr>
                  <w:color w:val="000000"/>
                </w:rPr>
                <w:t>G.2.10.7</w:t>
              </w:r>
              <w:r w:rsidRPr="00E17473">
                <w:rPr>
                  <w:color w:val="000000"/>
                </w:rPr>
                <w:tab/>
                <w:t xml:space="preserve">If: </w:t>
              </w:r>
            </w:ins>
          </w:p>
          <w:p w:rsidR="00E17473" w:rsidRPr="00E17473" w:rsidRDefault="00E17473" w:rsidP="00E17473">
            <w:pPr>
              <w:ind w:left="992" w:hanging="992"/>
              <w:rPr>
                <w:ins w:id="147" w:author="Author"/>
              </w:rPr>
            </w:pPr>
          </w:p>
          <w:p w:rsidR="00E17473" w:rsidRPr="00E17473" w:rsidRDefault="00E17473" w:rsidP="00E17473">
            <w:pPr>
              <w:numPr>
                <w:ilvl w:val="0"/>
                <w:numId w:val="24"/>
              </w:numPr>
              <w:contextualSpacing/>
              <w:rPr>
                <w:ins w:id="148" w:author="Author"/>
                <w:color w:val="000000"/>
              </w:rPr>
            </w:pPr>
            <w:ins w:id="149" w:author="Author">
              <w:r w:rsidRPr="00E17473">
                <w:rPr>
                  <w:color w:val="000000"/>
                </w:rPr>
                <w:t xml:space="preserve">because of </w:t>
              </w:r>
              <w:r w:rsidRPr="00E17473">
                <w:rPr>
                  <w:lang w:val="en-US"/>
                </w:rPr>
                <w:t xml:space="preserve">the operation of paragraph </w:t>
              </w:r>
              <w:r w:rsidRPr="00E17473">
                <w:rPr>
                  <w:color w:val="000000"/>
                </w:rPr>
                <w:t>G.2.10.5(c)(ii)</w:t>
              </w:r>
              <w:r w:rsidRPr="00E17473">
                <w:rPr>
                  <w:lang w:val="en-US"/>
                </w:rPr>
                <w:t xml:space="preserve">, </w:t>
              </w:r>
              <w:r w:rsidRPr="00E17473">
                <w:rPr>
                  <w:color w:val="000000"/>
                </w:rPr>
                <w:t>a P</w:t>
              </w:r>
              <w:r w:rsidRPr="00E17473">
                <w:rPr>
                  <w:iCs/>
                  <w:color w:val="000000"/>
                </w:rPr>
                <w:t>articipant</w:t>
              </w:r>
              <w:r w:rsidRPr="00E17473">
                <w:rPr>
                  <w:i/>
                  <w:iCs/>
                  <w:color w:val="000000"/>
                </w:rPr>
                <w:t xml:space="preserve"> </w:t>
              </w:r>
              <w:r w:rsidRPr="00E17473">
                <w:rPr>
                  <w:color w:val="000000"/>
                </w:rPr>
                <w:t xml:space="preserve">does not receive the full </w:t>
              </w:r>
              <w:r w:rsidRPr="00E17473">
                <w:t xml:space="preserve">amount that the Market Operator is otherwise required to pay the Participant in respect of any Billing Period </w:t>
              </w:r>
              <w:r w:rsidRPr="00E17473">
                <w:rPr>
                  <w:lang w:val="en-US"/>
                </w:rPr>
                <w:t>(the amount not received by the Participant due to the operation of that paragraph being called a “</w:t>
              </w:r>
              <w:r w:rsidRPr="00E17473">
                <w:rPr>
                  <w:b/>
                  <w:lang w:val="en-US"/>
                </w:rPr>
                <w:t>Reduction in Payment</w:t>
              </w:r>
              <w:r w:rsidRPr="00E17473">
                <w:rPr>
                  <w:lang w:val="en-US"/>
                </w:rPr>
                <w:t>”)</w:t>
              </w:r>
              <w:r w:rsidRPr="00E17473">
                <w:rPr>
                  <w:color w:val="000000"/>
                </w:rPr>
                <w:t xml:space="preserve">; and </w:t>
              </w:r>
            </w:ins>
          </w:p>
          <w:p w:rsidR="00E17473" w:rsidRPr="00E17473" w:rsidRDefault="00E17473" w:rsidP="00E17473">
            <w:pPr>
              <w:ind w:left="1442"/>
              <w:contextualSpacing/>
              <w:rPr>
                <w:ins w:id="150" w:author="Author"/>
                <w:color w:val="000000"/>
              </w:rPr>
            </w:pPr>
          </w:p>
          <w:p w:rsidR="00E17473" w:rsidRPr="00E17473" w:rsidRDefault="00E17473" w:rsidP="00E17473">
            <w:pPr>
              <w:numPr>
                <w:ilvl w:val="0"/>
                <w:numId w:val="24"/>
              </w:numPr>
              <w:contextualSpacing/>
              <w:rPr>
                <w:ins w:id="151" w:author="Author"/>
                <w:color w:val="000000"/>
              </w:rPr>
            </w:pPr>
            <w:ins w:id="152" w:author="Author">
              <w:r w:rsidRPr="00E17473">
                <w:rPr>
                  <w:color w:val="000000"/>
                </w:rPr>
                <w:t>either:</w:t>
              </w:r>
            </w:ins>
          </w:p>
          <w:p w:rsidR="00E17473" w:rsidRPr="00E17473" w:rsidRDefault="00E17473" w:rsidP="00E17473">
            <w:pPr>
              <w:pStyle w:val="ListParagraph"/>
              <w:rPr>
                <w:ins w:id="153" w:author="Author"/>
                <w:rFonts w:ascii="Times New Roman" w:hAnsi="Times New Roman"/>
                <w:color w:val="000000"/>
                <w:sz w:val="20"/>
                <w:szCs w:val="20"/>
                <w:lang w:val="en-IE"/>
              </w:rPr>
            </w:pPr>
          </w:p>
          <w:p w:rsidR="00E17473" w:rsidRPr="00E17473" w:rsidRDefault="00E17473" w:rsidP="00E17473">
            <w:pPr>
              <w:pStyle w:val="ListParagraph"/>
              <w:numPr>
                <w:ilvl w:val="0"/>
                <w:numId w:val="28"/>
              </w:numPr>
              <w:overflowPunct w:val="0"/>
              <w:autoSpaceDE w:val="0"/>
              <w:autoSpaceDN w:val="0"/>
              <w:adjustRightInd w:val="0"/>
              <w:contextualSpacing/>
              <w:textAlignment w:val="baseline"/>
              <w:rPr>
                <w:ins w:id="154" w:author="Author"/>
                <w:rFonts w:ascii="Times New Roman" w:hAnsi="Times New Roman"/>
                <w:color w:val="000000"/>
                <w:sz w:val="20"/>
                <w:szCs w:val="20"/>
                <w:lang w:val="en-IE"/>
              </w:rPr>
            </w:pPr>
            <w:ins w:id="155" w:author="Author">
              <w:r w:rsidRPr="00E17473">
                <w:rPr>
                  <w:rFonts w:ascii="Times New Roman" w:hAnsi="Times New Roman"/>
                  <w:color w:val="000000"/>
                  <w:sz w:val="20"/>
                  <w:szCs w:val="20"/>
                  <w:lang w:val="en-IE"/>
                </w:rPr>
                <w:t>paragraph</w:t>
              </w:r>
              <w:r w:rsidRPr="00E17473">
                <w:rPr>
                  <w:rFonts w:ascii="Times New Roman" w:hAnsi="Times New Roman"/>
                  <w:color w:val="000000"/>
                  <w:sz w:val="20"/>
                  <w:szCs w:val="20"/>
                </w:rPr>
                <w:t xml:space="preserve"> G.2.10.5</w:t>
              </w:r>
              <w:r w:rsidRPr="00E17473">
                <w:rPr>
                  <w:rFonts w:ascii="Times New Roman" w:hAnsi="Times New Roman"/>
                  <w:color w:val="000000"/>
                  <w:sz w:val="20"/>
                  <w:szCs w:val="20"/>
                  <w:lang w:val="en-IE"/>
                </w:rPr>
                <w:t>(a) is reapplied in accordance with paragraph</w:t>
              </w:r>
              <w:r w:rsidRPr="00E17473">
                <w:rPr>
                  <w:rFonts w:ascii="Times New Roman" w:hAnsi="Times New Roman"/>
                  <w:color w:val="000000"/>
                  <w:sz w:val="20"/>
                  <w:szCs w:val="20"/>
                </w:rPr>
                <w:t xml:space="preserve"> G.2.10.5</w:t>
              </w:r>
              <w:r w:rsidRPr="00E17473">
                <w:rPr>
                  <w:rFonts w:ascii="Times New Roman" w:hAnsi="Times New Roman"/>
                  <w:color w:val="000000"/>
                  <w:sz w:val="20"/>
                  <w:szCs w:val="20"/>
                  <w:lang w:val="en-IE"/>
                </w:rPr>
                <w:t xml:space="preserve">(c)(iii) on a subsequent </w:t>
              </w:r>
              <w:r w:rsidRPr="00E17473">
                <w:rPr>
                  <w:rFonts w:ascii="Times New Roman" w:hAnsi="Times New Roman"/>
                  <w:sz w:val="20"/>
                  <w:szCs w:val="20"/>
                  <w:lang w:eastAsia="en-GB"/>
                </w:rPr>
                <w:t>Payment Due Date</w:t>
              </w:r>
              <w:r w:rsidRPr="00E17473">
                <w:rPr>
                  <w:rFonts w:ascii="Times New Roman" w:hAnsi="Times New Roman"/>
                  <w:color w:val="000000"/>
                  <w:sz w:val="20"/>
                  <w:szCs w:val="20"/>
                </w:rPr>
                <w:t xml:space="preserve"> and an amount is recovered from </w:t>
              </w:r>
              <w:r w:rsidRPr="00E17473">
                <w:rPr>
                  <w:rFonts w:ascii="Times New Roman" w:hAnsi="Times New Roman"/>
                  <w:sz w:val="20"/>
                  <w:szCs w:val="20"/>
                  <w:lang w:val="en-IE"/>
                </w:rPr>
                <w:t>the Relevant Participant</w:t>
              </w:r>
              <w:r w:rsidRPr="00E17473">
                <w:rPr>
                  <w:rFonts w:ascii="Times New Roman" w:hAnsi="Times New Roman"/>
                  <w:color w:val="000000"/>
                  <w:sz w:val="20"/>
                  <w:szCs w:val="20"/>
                  <w:lang w:val="en-IE"/>
                </w:rPr>
                <w:t>; or</w:t>
              </w:r>
            </w:ins>
          </w:p>
          <w:p w:rsidR="00E17473" w:rsidRPr="00E17473" w:rsidRDefault="00E17473" w:rsidP="00E17473">
            <w:pPr>
              <w:pStyle w:val="ListParagraph"/>
              <w:overflowPunct w:val="0"/>
              <w:autoSpaceDE w:val="0"/>
              <w:autoSpaceDN w:val="0"/>
              <w:adjustRightInd w:val="0"/>
              <w:ind w:left="2162"/>
              <w:textAlignment w:val="baseline"/>
              <w:rPr>
                <w:ins w:id="156" w:author="Author"/>
                <w:rFonts w:ascii="Times New Roman" w:hAnsi="Times New Roman"/>
                <w:color w:val="000000"/>
                <w:sz w:val="20"/>
                <w:szCs w:val="20"/>
                <w:lang w:val="en-IE"/>
              </w:rPr>
            </w:pPr>
          </w:p>
          <w:p w:rsidR="00E17473" w:rsidRPr="00E17473" w:rsidRDefault="00E17473" w:rsidP="00E17473">
            <w:pPr>
              <w:pStyle w:val="ListParagraph"/>
              <w:numPr>
                <w:ilvl w:val="0"/>
                <w:numId w:val="28"/>
              </w:numPr>
              <w:overflowPunct w:val="0"/>
              <w:autoSpaceDE w:val="0"/>
              <w:autoSpaceDN w:val="0"/>
              <w:adjustRightInd w:val="0"/>
              <w:contextualSpacing/>
              <w:textAlignment w:val="baseline"/>
              <w:rPr>
                <w:ins w:id="157" w:author="Author"/>
                <w:rFonts w:ascii="Times New Roman" w:hAnsi="Times New Roman"/>
                <w:color w:val="000000"/>
                <w:sz w:val="20"/>
                <w:szCs w:val="20"/>
                <w:lang w:val="en-IE"/>
              </w:rPr>
            </w:pPr>
            <w:ins w:id="158" w:author="Author">
              <w:r w:rsidRPr="00E17473">
                <w:rPr>
                  <w:rFonts w:ascii="Times New Roman" w:hAnsi="Times New Roman"/>
                  <w:color w:val="000000"/>
                  <w:sz w:val="20"/>
                  <w:szCs w:val="20"/>
                  <w:lang w:val="en-IE"/>
                </w:rPr>
                <w:t xml:space="preserve">the Market Operator is subsequently paid an amount under paragraph G.2.10.6 by the relevant SEM NEMO </w:t>
              </w:r>
            </w:ins>
          </w:p>
          <w:p w:rsidR="00E17473" w:rsidRPr="00E17473" w:rsidRDefault="00E17473" w:rsidP="00E17473">
            <w:pPr>
              <w:pStyle w:val="ListParagraph"/>
              <w:rPr>
                <w:ins w:id="159" w:author="Author"/>
                <w:rFonts w:ascii="Times New Roman" w:hAnsi="Times New Roman"/>
                <w:color w:val="000000"/>
                <w:sz w:val="20"/>
                <w:szCs w:val="20"/>
                <w:lang w:val="en-IE"/>
              </w:rPr>
            </w:pPr>
          </w:p>
          <w:p w:rsidR="00E17473" w:rsidRPr="00E17473" w:rsidRDefault="00E17473" w:rsidP="00E17473">
            <w:pPr>
              <w:ind w:left="1440"/>
              <w:rPr>
                <w:ins w:id="160" w:author="Author"/>
                <w:color w:val="000000"/>
              </w:rPr>
            </w:pPr>
            <w:ins w:id="161" w:author="Author">
              <w:r w:rsidRPr="00E17473">
                <w:rPr>
                  <w:color w:val="000000"/>
                </w:rPr>
                <w:t xml:space="preserve">in respect of the relevant invalid </w:t>
              </w:r>
              <w:r w:rsidRPr="00E17473">
                <w:t xml:space="preserve">Contracted Quantity </w:t>
              </w:r>
              <w:r w:rsidRPr="00E17473">
                <w:rPr>
                  <w:color w:val="000000"/>
                </w:rPr>
                <w:t>(in this section called the “</w:t>
              </w:r>
              <w:bookmarkStart w:id="162" w:name="_Hlk494913195"/>
              <w:r w:rsidRPr="00E17473">
                <w:rPr>
                  <w:b/>
                  <w:color w:val="000000"/>
                </w:rPr>
                <w:t>recovered amount</w:t>
              </w:r>
              <w:bookmarkEnd w:id="162"/>
              <w:r w:rsidRPr="00E17473">
                <w:rPr>
                  <w:color w:val="000000"/>
                </w:rPr>
                <w:t>”),</w:t>
              </w:r>
            </w:ins>
          </w:p>
          <w:p w:rsidR="00E17473" w:rsidRPr="00E17473" w:rsidRDefault="00E17473" w:rsidP="00E17473">
            <w:pPr>
              <w:contextualSpacing/>
              <w:rPr>
                <w:ins w:id="163" w:author="Author"/>
                <w:color w:val="000000"/>
              </w:rPr>
            </w:pPr>
            <w:ins w:id="164" w:author="Author">
              <w:r w:rsidRPr="00E17473">
                <w:rPr>
                  <w:color w:val="000000"/>
                </w:rPr>
                <w:t xml:space="preserve"> </w:t>
              </w:r>
            </w:ins>
          </w:p>
          <w:p w:rsidR="00E17473" w:rsidRPr="00E17473" w:rsidRDefault="00E17473" w:rsidP="00E17473">
            <w:pPr>
              <w:spacing w:after="134"/>
              <w:ind w:left="992"/>
              <w:rPr>
                <w:ins w:id="165" w:author="Author"/>
                <w:color w:val="000000"/>
              </w:rPr>
            </w:pPr>
            <w:ins w:id="166" w:author="Author">
              <w:r w:rsidRPr="00E17473">
                <w:rPr>
                  <w:color w:val="000000"/>
                </w:rPr>
                <w:t xml:space="preserve">then, subject to paragraph </w:t>
              </w:r>
              <w:bookmarkStart w:id="167" w:name="_Hlk502859368"/>
              <w:r w:rsidRPr="00E17473">
                <w:rPr>
                  <w:color w:val="000000"/>
                </w:rPr>
                <w:t>G.2.10.8</w:t>
              </w:r>
              <w:bookmarkEnd w:id="167"/>
              <w:r w:rsidRPr="00E17473">
                <w:rPr>
                  <w:color w:val="000000"/>
                </w:rPr>
                <w:t xml:space="preserve">, that </w:t>
              </w:r>
              <w:r w:rsidRPr="00E17473">
                <w:rPr>
                  <w:iCs/>
                  <w:color w:val="000000"/>
                </w:rPr>
                <w:t>Participant</w:t>
              </w:r>
              <w:r w:rsidRPr="00E17473">
                <w:rPr>
                  <w:i/>
                  <w:iCs/>
                  <w:color w:val="000000"/>
                </w:rPr>
                <w:t xml:space="preserve"> </w:t>
              </w:r>
              <w:r w:rsidRPr="00E17473">
                <w:rPr>
                  <w:color w:val="000000"/>
                </w:rPr>
                <w:t xml:space="preserve">is entitled to be reimbursed the amount of the Reduction </w:t>
              </w:r>
              <w:bookmarkStart w:id="168" w:name="_Hlk495087908"/>
              <w:r w:rsidRPr="00E17473">
                <w:rPr>
                  <w:color w:val="000000"/>
                </w:rPr>
                <w:t xml:space="preserve">in Payment </w:t>
              </w:r>
              <w:bookmarkEnd w:id="168"/>
              <w:r w:rsidRPr="00E17473">
                <w:rPr>
                  <w:color w:val="000000"/>
                </w:rPr>
                <w:t xml:space="preserve">it suffered.  </w:t>
              </w:r>
            </w:ins>
          </w:p>
          <w:p w:rsidR="00E17473" w:rsidRPr="00E17473" w:rsidRDefault="00E17473" w:rsidP="00F87C60">
            <w:pPr>
              <w:spacing w:after="134"/>
              <w:ind w:left="992" w:hanging="992"/>
              <w:rPr>
                <w:ins w:id="169" w:author="Author"/>
                <w:color w:val="000000"/>
              </w:rPr>
            </w:pPr>
            <w:ins w:id="170" w:author="Author">
              <w:r w:rsidRPr="00E17473">
                <w:rPr>
                  <w:color w:val="000000"/>
                </w:rPr>
                <w:t>G.2.10.8</w:t>
              </w:r>
              <w:r w:rsidRPr="00E17473">
                <w:rPr>
                  <w:color w:val="000000"/>
                </w:rPr>
                <w:tab/>
                <w:t xml:space="preserve">If the recovered amount is not sufficient to pay all </w:t>
              </w:r>
              <w:r w:rsidRPr="00E17473">
                <w:rPr>
                  <w:iCs/>
                  <w:color w:val="000000"/>
                </w:rPr>
                <w:t>Participants</w:t>
              </w:r>
              <w:r w:rsidRPr="00E17473">
                <w:rPr>
                  <w:i/>
                  <w:iCs/>
                  <w:color w:val="000000"/>
                </w:rPr>
                <w:t xml:space="preserve"> </w:t>
              </w:r>
              <w:r w:rsidRPr="00E17473">
                <w:rPr>
                  <w:color w:val="000000"/>
                </w:rPr>
                <w:t xml:space="preserve">the Reduction in Payments they suffered in full, then the recovered amount is to be distributed amongst the applicable Participants pro rata according to the Reductions in Payment they suffered, with the process repeated each time </w:t>
              </w:r>
              <w:r w:rsidR="00916F18">
                <w:rPr>
                  <w:color w:val="000000"/>
                </w:rPr>
                <w:t xml:space="preserve">to the extent that </w:t>
              </w:r>
              <w:r w:rsidRPr="00E17473">
                <w:rPr>
                  <w:color w:val="000000"/>
                </w:rPr>
                <w:t xml:space="preserve">there is a recovered amount in respect of the same invalid </w:t>
              </w:r>
              <w:r w:rsidRPr="00E17473">
                <w:t xml:space="preserve">Contracted Quantity </w:t>
              </w:r>
              <w:r w:rsidRPr="00E17473">
                <w:rPr>
                  <w:color w:val="000000"/>
                </w:rPr>
                <w:t xml:space="preserve">until each Participant has been reimbursed in aggregate the amount of the Reduction in Payment it suffered. </w:t>
              </w:r>
              <w:r w:rsidR="00F87C60" w:rsidRPr="00F87C60">
                <w:rPr>
                  <w:color w:val="000000"/>
                </w:rPr>
                <w:t>(it being acknowledged by each affected Participant under paragraph G.2.10.7 and</w:t>
              </w:r>
              <w:r w:rsidR="00F87C60">
                <w:rPr>
                  <w:color w:val="000000"/>
                </w:rPr>
                <w:t xml:space="preserve"> </w:t>
              </w:r>
              <w:r w:rsidR="00F87C60" w:rsidRPr="00F87C60">
                <w:rPr>
                  <w:color w:val="000000"/>
                </w:rPr>
                <w:t>this paragraph G.2.10.8 that there may not be sufficient recovered amounts to reimburse in</w:t>
              </w:r>
              <w:r w:rsidR="00F87C60">
                <w:rPr>
                  <w:color w:val="000000"/>
                </w:rPr>
                <w:t xml:space="preserve"> </w:t>
              </w:r>
              <w:r w:rsidR="00F87C60" w:rsidRPr="00F87C60">
                <w:rPr>
                  <w:color w:val="000000"/>
                </w:rPr>
                <w:t>aggregate the total amount of the Reduction in Payment suffered by it).</w:t>
              </w:r>
              <w:r w:rsidRPr="00E17473">
                <w:rPr>
                  <w:color w:val="000000"/>
                </w:rPr>
                <w:t xml:space="preserve"> </w:t>
              </w:r>
            </w:ins>
          </w:p>
          <w:p w:rsidR="00E17473" w:rsidRPr="00E17473" w:rsidRDefault="00E17473" w:rsidP="00E17473">
            <w:pPr>
              <w:spacing w:after="134"/>
              <w:ind w:left="992" w:hanging="992"/>
              <w:rPr>
                <w:ins w:id="171" w:author="Author"/>
                <w:color w:val="000000"/>
              </w:rPr>
            </w:pPr>
            <w:ins w:id="172" w:author="Author">
              <w:r w:rsidRPr="00E17473">
                <w:rPr>
                  <w:color w:val="000000"/>
                </w:rPr>
                <w:t>G.2.10.9</w:t>
              </w:r>
              <w:r w:rsidRPr="00E17473">
                <w:rPr>
                  <w:color w:val="000000"/>
                </w:rPr>
                <w:tab/>
                <w:t>Settlement Documents issued under Chapter G shall include an additional payment line item reflecting any reimbursement under paragraphs G.2.10.7 and G.2.10.8.</w:t>
              </w:r>
            </w:ins>
          </w:p>
          <w:p w:rsidR="00E17473" w:rsidRPr="00E17473" w:rsidRDefault="00E17473" w:rsidP="00E17473">
            <w:pPr>
              <w:rPr>
                <w:ins w:id="173" w:author="Author"/>
              </w:rPr>
            </w:pPr>
          </w:p>
          <w:p w:rsidR="00E17473" w:rsidRPr="00E17473" w:rsidRDefault="00E17473" w:rsidP="00E17473">
            <w:pPr>
              <w:rPr>
                <w:ins w:id="174" w:author="Author"/>
                <w:b/>
                <w:i/>
              </w:rPr>
            </w:pPr>
            <w:ins w:id="175" w:author="Author">
              <w:r w:rsidRPr="00E17473">
                <w:rPr>
                  <w:b/>
                  <w:i/>
                </w:rPr>
                <w:t>NEW DEFINITIONS (to be inserted in alphabetical order in the Glossary):</w:t>
              </w:r>
            </w:ins>
          </w:p>
          <w:p w:rsidR="00E17473" w:rsidRPr="00E17473" w:rsidRDefault="00E17473" w:rsidP="00E17473">
            <w:pPr>
              <w:rPr>
                <w:ins w:id="176"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525"/>
            </w:tblGrid>
            <w:tr w:rsidR="00E17473" w:rsidRPr="00C346DC" w:rsidTr="00782F83">
              <w:trPr>
                <w:ins w:id="177" w:author="Author"/>
              </w:trPr>
              <w:tc>
                <w:tcPr>
                  <w:tcW w:w="4491" w:type="dxa"/>
                </w:tcPr>
                <w:p w:rsidR="00E17473" w:rsidRPr="00E17473" w:rsidRDefault="00E17473" w:rsidP="00782F83">
                  <w:pPr>
                    <w:rPr>
                      <w:ins w:id="178" w:author="Author"/>
                      <w:b/>
                      <w:color w:val="000000"/>
                    </w:rPr>
                  </w:pPr>
                  <w:ins w:id="179" w:author="Author">
                    <w:r w:rsidRPr="00E17473">
                      <w:rPr>
                        <w:b/>
                      </w:rPr>
                      <w:t>C</w:t>
                    </w:r>
                    <w:r w:rsidRPr="00E17473">
                      <w:rPr>
                        <w:b/>
                        <w:color w:val="000000"/>
                      </w:rPr>
                      <w:t>learing Conditions</w:t>
                    </w:r>
                  </w:ins>
                </w:p>
                <w:p w:rsidR="00E17473" w:rsidRPr="00E17473" w:rsidRDefault="00E17473" w:rsidP="00782F83">
                  <w:pPr>
                    <w:rPr>
                      <w:ins w:id="180" w:author="Author"/>
                    </w:rPr>
                  </w:pPr>
                </w:p>
              </w:tc>
              <w:tc>
                <w:tcPr>
                  <w:tcW w:w="4525" w:type="dxa"/>
                </w:tcPr>
                <w:p w:rsidR="00E17473" w:rsidRPr="00E17473" w:rsidRDefault="00E17473" w:rsidP="00782F83">
                  <w:pPr>
                    <w:rPr>
                      <w:ins w:id="181" w:author="Author"/>
                      <w:color w:val="000000"/>
                    </w:rPr>
                  </w:pPr>
                  <w:ins w:id="182" w:author="Author">
                    <w:r w:rsidRPr="00E17473">
                      <w:rPr>
                        <w:color w:val="000000"/>
                      </w:rPr>
                      <w:t xml:space="preserve">where a SEM NEMO has appointed a separate clearing house to </w:t>
                    </w:r>
                    <w:r w:rsidRPr="00E17473">
                      <w:rPr>
                        <w:lang w:eastAsia="en-IE"/>
                      </w:rPr>
                      <w:t xml:space="preserve">act as the central counterparty for the Ex Ante Market the </w:t>
                    </w:r>
                    <w:r w:rsidRPr="00E17473">
                      <w:rPr>
                        <w:color w:val="000000"/>
                      </w:rPr>
                      <w:t xml:space="preserve">SEM NEMO </w:t>
                    </w:r>
                    <w:r w:rsidRPr="00E17473">
                      <w:rPr>
                        <w:lang w:eastAsia="en-IE"/>
                      </w:rPr>
                      <w:t>operates, means</w:t>
                    </w:r>
                    <w:r w:rsidRPr="00E17473">
                      <w:rPr>
                        <w:color w:val="000000"/>
                      </w:rPr>
                      <w:t xml:space="preserve"> the </w:t>
                    </w:r>
                    <w:r w:rsidRPr="00E17473">
                      <w:t>rules, code, procedures,</w:t>
                    </w:r>
                    <w:r w:rsidRPr="00E17473">
                      <w:rPr>
                        <w:lang w:eastAsia="en-IE"/>
                      </w:rPr>
                      <w:t xml:space="preserve"> terms and conditions </w:t>
                    </w:r>
                    <w:r w:rsidRPr="00E17473">
                      <w:rPr>
                        <w:color w:val="000000"/>
                      </w:rPr>
                      <w:t>under which the clearing house carries out that role.</w:t>
                    </w:r>
                  </w:ins>
                </w:p>
                <w:p w:rsidR="00E17473" w:rsidRPr="00E17473" w:rsidRDefault="00E17473" w:rsidP="00782F83">
                  <w:pPr>
                    <w:rPr>
                      <w:ins w:id="183" w:author="Author"/>
                    </w:rPr>
                  </w:pPr>
                </w:p>
              </w:tc>
            </w:tr>
            <w:tr w:rsidR="00E17473" w:rsidRPr="00C346DC" w:rsidTr="00782F83">
              <w:trPr>
                <w:ins w:id="184" w:author="Author"/>
              </w:trPr>
              <w:tc>
                <w:tcPr>
                  <w:tcW w:w="4491" w:type="dxa"/>
                </w:tcPr>
                <w:p w:rsidR="00E17473" w:rsidRPr="00E17473" w:rsidRDefault="00E17473" w:rsidP="00782F83">
                  <w:pPr>
                    <w:rPr>
                      <w:ins w:id="185" w:author="Author"/>
                      <w:b/>
                    </w:rPr>
                  </w:pPr>
                  <w:ins w:id="186" w:author="Author">
                    <w:r w:rsidRPr="00E17473">
                      <w:rPr>
                        <w:b/>
                        <w:color w:val="000000"/>
                        <w:kern w:val="24"/>
                      </w:rPr>
                      <w:lastRenderedPageBreak/>
                      <w:t>Ex-Ante Market</w:t>
                    </w:r>
                  </w:ins>
                </w:p>
              </w:tc>
              <w:tc>
                <w:tcPr>
                  <w:tcW w:w="4525" w:type="dxa"/>
                </w:tcPr>
                <w:p w:rsidR="00E17473" w:rsidRPr="00E17473" w:rsidRDefault="00E17473" w:rsidP="00782F83">
                  <w:pPr>
                    <w:rPr>
                      <w:ins w:id="187" w:author="Author"/>
                    </w:rPr>
                  </w:pPr>
                  <w:ins w:id="188" w:author="Author">
                    <w:r w:rsidRPr="00E17473">
                      <w:t xml:space="preserve">means a day-ahead market or an intraday market operated by a SEM NEMO and includes the markets operated by EirGrid plc and SONI Limited (in their capacity as </w:t>
                    </w:r>
                    <w:proofErr w:type="spellStart"/>
                    <w:r w:rsidRPr="00E17473">
                      <w:t>SEMOpx</w:t>
                    </w:r>
                    <w:proofErr w:type="spellEnd"/>
                    <w:r w:rsidRPr="00E17473">
                      <w:t>).</w:t>
                    </w:r>
                  </w:ins>
                </w:p>
                <w:p w:rsidR="00E17473" w:rsidRPr="00E17473" w:rsidRDefault="00E17473" w:rsidP="00782F83">
                  <w:pPr>
                    <w:rPr>
                      <w:ins w:id="189" w:author="Author"/>
                    </w:rPr>
                  </w:pPr>
                </w:p>
              </w:tc>
            </w:tr>
            <w:tr w:rsidR="00E17473" w:rsidRPr="00C346DC" w:rsidTr="00782F83">
              <w:trPr>
                <w:ins w:id="190" w:author="Author"/>
              </w:trPr>
              <w:tc>
                <w:tcPr>
                  <w:tcW w:w="4491" w:type="dxa"/>
                </w:tcPr>
                <w:p w:rsidR="00E17473" w:rsidRPr="00E17473" w:rsidRDefault="00E17473" w:rsidP="00782F83">
                  <w:pPr>
                    <w:rPr>
                      <w:ins w:id="191" w:author="Author"/>
                      <w:b/>
                      <w:color w:val="000000"/>
                      <w:kern w:val="24"/>
                    </w:rPr>
                  </w:pPr>
                  <w:ins w:id="192" w:author="Author">
                    <w:r w:rsidRPr="00E17473">
                      <w:rPr>
                        <w:b/>
                        <w:color w:val="000000"/>
                        <w:kern w:val="24"/>
                      </w:rPr>
                      <w:t>Market Rules</w:t>
                    </w:r>
                  </w:ins>
                </w:p>
                <w:p w:rsidR="00E17473" w:rsidRPr="00E17473" w:rsidRDefault="00E17473" w:rsidP="00782F83">
                  <w:pPr>
                    <w:rPr>
                      <w:ins w:id="193" w:author="Author"/>
                      <w:b/>
                      <w:color w:val="000000"/>
                      <w:kern w:val="24"/>
                    </w:rPr>
                  </w:pPr>
                </w:p>
              </w:tc>
              <w:tc>
                <w:tcPr>
                  <w:tcW w:w="4525" w:type="dxa"/>
                </w:tcPr>
                <w:p w:rsidR="00E17473" w:rsidRPr="00E17473" w:rsidRDefault="00E17473" w:rsidP="00782F83">
                  <w:pPr>
                    <w:rPr>
                      <w:ins w:id="194" w:author="Author"/>
                      <w:color w:val="000000"/>
                      <w:kern w:val="24"/>
                    </w:rPr>
                  </w:pPr>
                  <w:ins w:id="195" w:author="Author">
                    <w:r w:rsidRPr="00E17473">
                      <w:t>in respect of an</w:t>
                    </w:r>
                    <w:r w:rsidRPr="00E17473">
                      <w:rPr>
                        <w:b/>
                        <w:color w:val="000000"/>
                        <w:kern w:val="24"/>
                      </w:rPr>
                      <w:t xml:space="preserve"> </w:t>
                    </w:r>
                    <w:r w:rsidRPr="00E17473">
                      <w:rPr>
                        <w:color w:val="000000"/>
                        <w:kern w:val="24"/>
                      </w:rPr>
                      <w:t>Ex-Ante Market:</w:t>
                    </w:r>
                  </w:ins>
                </w:p>
                <w:p w:rsidR="00E17473" w:rsidRPr="00E17473" w:rsidRDefault="00E17473" w:rsidP="00E17473">
                  <w:pPr>
                    <w:pStyle w:val="ListParagraph"/>
                    <w:numPr>
                      <w:ilvl w:val="0"/>
                      <w:numId w:val="27"/>
                    </w:numPr>
                    <w:overflowPunct w:val="0"/>
                    <w:autoSpaceDE w:val="0"/>
                    <w:autoSpaceDN w:val="0"/>
                    <w:adjustRightInd w:val="0"/>
                    <w:contextualSpacing/>
                    <w:textAlignment w:val="baseline"/>
                    <w:rPr>
                      <w:ins w:id="196" w:author="Author"/>
                      <w:rFonts w:ascii="Times New Roman" w:hAnsi="Times New Roman"/>
                      <w:sz w:val="20"/>
                      <w:szCs w:val="20"/>
                      <w:lang w:eastAsia="en-IE"/>
                    </w:rPr>
                  </w:pPr>
                  <w:ins w:id="197" w:author="Author">
                    <w:r w:rsidRPr="00E17473">
                      <w:rPr>
                        <w:rFonts w:ascii="Times New Roman" w:hAnsi="Times New Roman"/>
                        <w:color w:val="000000"/>
                        <w:kern w:val="24"/>
                        <w:sz w:val="20"/>
                        <w:szCs w:val="20"/>
                        <w:lang w:val="en-IE"/>
                      </w:rPr>
                      <w:t>means the</w:t>
                    </w:r>
                    <w:r w:rsidRPr="00E17473">
                      <w:rPr>
                        <w:rFonts w:ascii="Times New Roman" w:hAnsi="Times New Roman"/>
                        <w:b/>
                        <w:color w:val="000000"/>
                        <w:kern w:val="24"/>
                        <w:sz w:val="20"/>
                        <w:szCs w:val="20"/>
                        <w:lang w:val="en-IE"/>
                      </w:rPr>
                      <w:t xml:space="preserve"> </w:t>
                    </w:r>
                    <w:r w:rsidRPr="00E17473">
                      <w:rPr>
                        <w:rFonts w:ascii="Times New Roman" w:hAnsi="Times New Roman"/>
                        <w:sz w:val="20"/>
                        <w:szCs w:val="20"/>
                      </w:rPr>
                      <w:t>rules, code, procedures,</w:t>
                    </w:r>
                    <w:r w:rsidRPr="00E17473">
                      <w:rPr>
                        <w:rFonts w:ascii="Times New Roman" w:hAnsi="Times New Roman"/>
                        <w:sz w:val="20"/>
                        <w:szCs w:val="20"/>
                        <w:lang w:eastAsia="en-IE"/>
                      </w:rPr>
                      <w:t xml:space="preserve"> terms and conditions governing that market; and</w:t>
                    </w:r>
                  </w:ins>
                </w:p>
                <w:p w:rsidR="00E17473" w:rsidRPr="00E17473" w:rsidRDefault="00E17473" w:rsidP="00E17473">
                  <w:pPr>
                    <w:pStyle w:val="ListParagraph"/>
                    <w:numPr>
                      <w:ilvl w:val="0"/>
                      <w:numId w:val="27"/>
                    </w:numPr>
                    <w:overflowPunct w:val="0"/>
                    <w:autoSpaceDE w:val="0"/>
                    <w:autoSpaceDN w:val="0"/>
                    <w:adjustRightInd w:val="0"/>
                    <w:contextualSpacing/>
                    <w:textAlignment w:val="baseline"/>
                    <w:rPr>
                      <w:ins w:id="198" w:author="Author"/>
                      <w:rFonts w:ascii="Times New Roman" w:hAnsi="Times New Roman"/>
                      <w:color w:val="000000"/>
                      <w:sz w:val="20"/>
                      <w:szCs w:val="20"/>
                    </w:rPr>
                  </w:pPr>
                  <w:ins w:id="199" w:author="Author">
                    <w:r w:rsidRPr="00E17473">
                      <w:rPr>
                        <w:rFonts w:ascii="Times New Roman" w:hAnsi="Times New Roman"/>
                        <w:color w:val="000000"/>
                        <w:sz w:val="20"/>
                        <w:szCs w:val="20"/>
                      </w:rPr>
                      <w:t xml:space="preserve">where a separate clearing house has been appointed to </w:t>
                    </w:r>
                    <w:r w:rsidRPr="00E17473">
                      <w:rPr>
                        <w:rFonts w:ascii="Times New Roman" w:hAnsi="Times New Roman"/>
                        <w:sz w:val="20"/>
                        <w:szCs w:val="20"/>
                        <w:lang w:val="en-IE" w:eastAsia="en-IE"/>
                      </w:rPr>
                      <w:t xml:space="preserve">act as the central counterparty for the Ex Ante Market, includes </w:t>
                    </w:r>
                    <w:r w:rsidRPr="00E17473">
                      <w:rPr>
                        <w:rFonts w:ascii="Times New Roman" w:hAnsi="Times New Roman"/>
                        <w:color w:val="000000"/>
                        <w:sz w:val="20"/>
                        <w:szCs w:val="20"/>
                      </w:rPr>
                      <w:t xml:space="preserve">the </w:t>
                    </w:r>
                    <w:r w:rsidRPr="00E17473">
                      <w:rPr>
                        <w:rFonts w:ascii="Times New Roman" w:hAnsi="Times New Roman"/>
                        <w:sz w:val="20"/>
                        <w:szCs w:val="20"/>
                      </w:rPr>
                      <w:t>Clearing Conditions</w:t>
                    </w:r>
                    <w:r w:rsidRPr="00E17473">
                      <w:rPr>
                        <w:rFonts w:ascii="Times New Roman" w:hAnsi="Times New Roman"/>
                        <w:color w:val="000000"/>
                        <w:sz w:val="20"/>
                        <w:szCs w:val="20"/>
                      </w:rPr>
                      <w:t>.</w:t>
                    </w:r>
                  </w:ins>
                </w:p>
                <w:p w:rsidR="00E17473" w:rsidRPr="00E17473" w:rsidRDefault="00E17473" w:rsidP="00782F83">
                  <w:pPr>
                    <w:rPr>
                      <w:ins w:id="200" w:author="Author"/>
                    </w:rPr>
                  </w:pPr>
                </w:p>
              </w:tc>
            </w:tr>
            <w:tr w:rsidR="00E17473" w:rsidRPr="00C346DC" w:rsidTr="00782F83">
              <w:trPr>
                <w:ins w:id="201" w:author="Author"/>
              </w:trPr>
              <w:tc>
                <w:tcPr>
                  <w:tcW w:w="4491" w:type="dxa"/>
                </w:tcPr>
                <w:p w:rsidR="00E17473" w:rsidRPr="00E17473" w:rsidRDefault="00E17473" w:rsidP="00782F83">
                  <w:pPr>
                    <w:rPr>
                      <w:ins w:id="202" w:author="Author"/>
                      <w:b/>
                    </w:rPr>
                  </w:pPr>
                  <w:ins w:id="203" w:author="Author">
                    <w:r w:rsidRPr="00E17473">
                      <w:rPr>
                        <w:b/>
                      </w:rPr>
                      <w:t>Payment In Due Date</w:t>
                    </w:r>
                  </w:ins>
                </w:p>
              </w:tc>
              <w:tc>
                <w:tcPr>
                  <w:tcW w:w="4525" w:type="dxa"/>
                </w:tcPr>
                <w:p w:rsidR="00E17473" w:rsidRPr="00E17473" w:rsidRDefault="00E17473" w:rsidP="00782F83">
                  <w:pPr>
                    <w:rPr>
                      <w:ins w:id="204" w:author="Author"/>
                    </w:rPr>
                  </w:pPr>
                  <w:ins w:id="205" w:author="Author">
                    <w:r w:rsidRPr="00E17473">
                      <w:t xml:space="preserve">in respect of an invalid Contracted Quantity within the meaning of paragraph </w:t>
                    </w:r>
                    <w:r w:rsidRPr="00E17473">
                      <w:rPr>
                        <w:color w:val="000000"/>
                      </w:rPr>
                      <w:t>G.2.10.1, m</w:t>
                    </w:r>
                    <w:r w:rsidRPr="00E17473">
                      <w:t>eans the Payment Due Date for the purpose of sub-paragraph G.2.5.4(c) in respect of Settlement Documents covering the Imbalance Settlement Period to which the invalid Contracted Quantity relates.</w:t>
                    </w:r>
                  </w:ins>
                </w:p>
                <w:p w:rsidR="00E17473" w:rsidRPr="00E17473" w:rsidRDefault="00E17473" w:rsidP="00782F83">
                  <w:pPr>
                    <w:rPr>
                      <w:ins w:id="206" w:author="Author"/>
                    </w:rPr>
                  </w:pPr>
                </w:p>
              </w:tc>
            </w:tr>
            <w:tr w:rsidR="00E17473" w:rsidRPr="00C346DC" w:rsidTr="00782F83">
              <w:trPr>
                <w:ins w:id="207" w:author="Author"/>
              </w:trPr>
              <w:tc>
                <w:tcPr>
                  <w:tcW w:w="4491" w:type="dxa"/>
                </w:tcPr>
                <w:p w:rsidR="00E17473" w:rsidRPr="00E17473" w:rsidDel="007E3068" w:rsidRDefault="00E17473" w:rsidP="00782F83">
                  <w:pPr>
                    <w:rPr>
                      <w:ins w:id="208" w:author="Author"/>
                      <w:b/>
                    </w:rPr>
                  </w:pPr>
                  <w:ins w:id="209" w:author="Author">
                    <w:r w:rsidRPr="00E17473">
                      <w:rPr>
                        <w:b/>
                      </w:rPr>
                      <w:t>Payment Out Due Date</w:t>
                    </w:r>
                  </w:ins>
                </w:p>
              </w:tc>
              <w:tc>
                <w:tcPr>
                  <w:tcW w:w="4525" w:type="dxa"/>
                </w:tcPr>
                <w:p w:rsidR="00E17473" w:rsidRPr="00E17473" w:rsidRDefault="00E17473" w:rsidP="00782F83">
                  <w:pPr>
                    <w:rPr>
                      <w:ins w:id="210" w:author="Author"/>
                    </w:rPr>
                  </w:pPr>
                  <w:ins w:id="211" w:author="Author">
                    <w:r w:rsidRPr="00E17473">
                      <w:t xml:space="preserve">in respect of an invalid Contracted Quantity within the meaning of paragraph </w:t>
                    </w:r>
                    <w:r w:rsidRPr="00E17473">
                      <w:rPr>
                        <w:color w:val="000000"/>
                      </w:rPr>
                      <w:t>G.2.10.1, m</w:t>
                    </w:r>
                    <w:r w:rsidRPr="00E17473">
                      <w:t>eans the Payment Due Date for the purpose of sub-paragraph G.2.5.4(d) in respect of Settlement Documents covering the Imbalance Settlement Period to which the invalid Contracted Quantity relates.</w:t>
                    </w:r>
                  </w:ins>
                </w:p>
                <w:p w:rsidR="00E17473" w:rsidRPr="00E17473" w:rsidRDefault="00E17473" w:rsidP="00782F83">
                  <w:pPr>
                    <w:rPr>
                      <w:ins w:id="212" w:author="Author"/>
                    </w:rPr>
                  </w:pPr>
                </w:p>
              </w:tc>
            </w:tr>
            <w:tr w:rsidR="00E17473" w:rsidRPr="00C346DC" w:rsidTr="00782F83">
              <w:trPr>
                <w:ins w:id="213" w:author="Author"/>
              </w:trPr>
              <w:tc>
                <w:tcPr>
                  <w:tcW w:w="4491" w:type="dxa"/>
                </w:tcPr>
                <w:p w:rsidR="00E17473" w:rsidRPr="00E17473" w:rsidRDefault="00E17473" w:rsidP="00782F83">
                  <w:pPr>
                    <w:rPr>
                      <w:ins w:id="214" w:author="Author"/>
                      <w:b/>
                    </w:rPr>
                  </w:pPr>
                  <w:ins w:id="215" w:author="Author">
                    <w:r w:rsidRPr="00E17473">
                      <w:rPr>
                        <w:b/>
                      </w:rPr>
                      <w:t>Reassigned Amount</w:t>
                    </w:r>
                  </w:ins>
                </w:p>
              </w:tc>
              <w:tc>
                <w:tcPr>
                  <w:tcW w:w="4525" w:type="dxa"/>
                </w:tcPr>
                <w:p w:rsidR="00E17473" w:rsidRPr="00E17473" w:rsidRDefault="00E17473" w:rsidP="00782F83">
                  <w:pPr>
                    <w:rPr>
                      <w:ins w:id="216" w:author="Author"/>
                      <w:color w:val="000000"/>
                    </w:rPr>
                  </w:pPr>
                  <w:ins w:id="217" w:author="Author">
                    <w:r w:rsidRPr="00E17473">
                      <w:t xml:space="preserve">in respect of an invalid Contracted Quantity within the meaning of paragraph </w:t>
                    </w:r>
                    <w:r w:rsidRPr="00E17473">
                      <w:rPr>
                        <w:color w:val="000000"/>
                      </w:rPr>
                      <w:t>G.2.10.1</w:t>
                    </w:r>
                    <w:r w:rsidRPr="00E17473">
                      <w:t xml:space="preserve">, has the meaning given in paragraph </w:t>
                    </w:r>
                    <w:r w:rsidRPr="00E17473">
                      <w:rPr>
                        <w:color w:val="000000"/>
                      </w:rPr>
                      <w:t>G.2.10.5(a).</w:t>
                    </w:r>
                  </w:ins>
                </w:p>
                <w:p w:rsidR="00E17473" w:rsidRPr="00E17473" w:rsidRDefault="00E17473" w:rsidP="00782F83">
                  <w:pPr>
                    <w:rPr>
                      <w:ins w:id="218" w:author="Author"/>
                    </w:rPr>
                  </w:pPr>
                </w:p>
              </w:tc>
            </w:tr>
            <w:tr w:rsidR="00E17473" w:rsidRPr="00C346DC" w:rsidTr="00782F83">
              <w:trPr>
                <w:ins w:id="219" w:author="Author"/>
              </w:trPr>
              <w:tc>
                <w:tcPr>
                  <w:tcW w:w="4491" w:type="dxa"/>
                </w:tcPr>
                <w:p w:rsidR="00E17473" w:rsidRPr="00E17473" w:rsidRDefault="00E17473" w:rsidP="00782F83">
                  <w:pPr>
                    <w:rPr>
                      <w:ins w:id="220" w:author="Author"/>
                      <w:b/>
                    </w:rPr>
                  </w:pPr>
                  <w:ins w:id="221" w:author="Author">
                    <w:r w:rsidRPr="00E17473">
                      <w:rPr>
                        <w:b/>
                      </w:rPr>
                      <w:t>Relevant Participant</w:t>
                    </w:r>
                  </w:ins>
                </w:p>
              </w:tc>
              <w:tc>
                <w:tcPr>
                  <w:tcW w:w="4525" w:type="dxa"/>
                </w:tcPr>
                <w:p w:rsidR="00E17473" w:rsidRPr="00E17473" w:rsidRDefault="00E17473" w:rsidP="00782F83">
                  <w:pPr>
                    <w:rPr>
                      <w:ins w:id="222" w:author="Author"/>
                      <w:color w:val="000000"/>
                    </w:rPr>
                  </w:pPr>
                  <w:ins w:id="223" w:author="Author">
                    <w:r w:rsidRPr="00E17473">
                      <w:t xml:space="preserve">in respect of an invalid Contracted Quantity within the meaning of paragraph </w:t>
                    </w:r>
                    <w:r w:rsidRPr="00E17473">
                      <w:rPr>
                        <w:color w:val="000000"/>
                      </w:rPr>
                      <w:t>G.2.10.1</w:t>
                    </w:r>
                    <w:r w:rsidRPr="00E17473">
                      <w:t xml:space="preserve">, has the meaning given in paragraph </w:t>
                    </w:r>
                    <w:r w:rsidRPr="00E17473">
                      <w:rPr>
                        <w:color w:val="000000"/>
                      </w:rPr>
                      <w:t>G.2.10.5(a).</w:t>
                    </w:r>
                  </w:ins>
                </w:p>
                <w:p w:rsidR="00E17473" w:rsidRPr="00E17473" w:rsidRDefault="00E17473" w:rsidP="00782F83">
                  <w:pPr>
                    <w:rPr>
                      <w:ins w:id="224" w:author="Author"/>
                    </w:rPr>
                  </w:pPr>
                </w:p>
              </w:tc>
            </w:tr>
          </w:tbl>
          <w:p w:rsidR="00E17473" w:rsidRPr="00553930" w:rsidRDefault="00E17473" w:rsidP="00E17473">
            <w:pPr>
              <w:rPr>
                <w:ins w:id="225" w:author="Author"/>
                <w:sz w:val="24"/>
                <w:szCs w:val="24"/>
              </w:rPr>
            </w:pPr>
          </w:p>
          <w:p w:rsidR="00E17473" w:rsidRPr="007E1423" w:rsidDel="00404964" w:rsidRDefault="00E17473" w:rsidP="00E17473"/>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lastRenderedPageBreak/>
              <w:t>Modification Proposal Justification</w:t>
            </w:r>
          </w:p>
          <w:p w:rsidR="004C53E7" w:rsidRPr="004C53E7" w:rsidRDefault="004C53E7" w:rsidP="00D74B02">
            <w:pPr>
              <w:jc w:val="center"/>
              <w:rPr>
                <w:rFonts w:ascii="Calibri" w:hAnsi="Calibri" w:cs="Arial"/>
              </w:rPr>
            </w:pPr>
            <w:r w:rsidRPr="004C53E7">
              <w:rPr>
                <w:rFonts w:ascii="Calibri" w:hAnsi="Calibri" w:cs="Arial"/>
                <w:i/>
                <w:iCs/>
              </w:rPr>
              <w:t>(Clearly state the reason for the Modification</w:t>
            </w:r>
            <w:r w:rsidRPr="004C53E7">
              <w:rPr>
                <w:rFonts w:ascii="Calibri" w:hAnsi="Calibri" w:cs="Arial"/>
                <w:i/>
                <w:lang w:eastAsia="en-US"/>
              </w:rPr>
              <w:t>)</w:t>
            </w:r>
          </w:p>
        </w:tc>
      </w:tr>
      <w:tr w:rsidR="004C53E7" w:rsidRPr="004C53E7" w:rsidTr="006212EE">
        <w:tc>
          <w:tcPr>
            <w:tcW w:w="9243" w:type="dxa"/>
            <w:gridSpan w:val="6"/>
            <w:vAlign w:val="center"/>
          </w:tcPr>
          <w:p w:rsidR="00D42B72" w:rsidRDefault="00D42B72" w:rsidP="00001773">
            <w:pPr>
              <w:rPr>
                <w:rFonts w:ascii="Calibri" w:hAnsi="Calibri" w:cs="Arial"/>
              </w:rPr>
            </w:pPr>
          </w:p>
          <w:p w:rsidR="00D42B72" w:rsidRPr="004673F6" w:rsidRDefault="002A4E1A" w:rsidP="00BD4492">
            <w:pPr>
              <w:rPr>
                <w:b/>
                <w:sz w:val="22"/>
                <w:szCs w:val="22"/>
                <w:lang w:val="en-AU"/>
              </w:rPr>
            </w:pPr>
            <w:r w:rsidRPr="004673F6">
              <w:rPr>
                <w:b/>
                <w:sz w:val="22"/>
                <w:szCs w:val="22"/>
                <w:lang w:val="en-AU"/>
              </w:rPr>
              <w:t>Why is the M</w:t>
            </w:r>
            <w:r w:rsidR="00681F03" w:rsidRPr="004673F6">
              <w:rPr>
                <w:b/>
                <w:sz w:val="22"/>
                <w:szCs w:val="22"/>
                <w:lang w:val="en-AU"/>
              </w:rPr>
              <w:t>odification being raised</w:t>
            </w:r>
            <w:r w:rsidR="00D42B72" w:rsidRPr="004673F6">
              <w:rPr>
                <w:b/>
                <w:sz w:val="22"/>
                <w:szCs w:val="22"/>
                <w:lang w:val="en-AU"/>
              </w:rPr>
              <w:t>?</w:t>
            </w:r>
          </w:p>
          <w:p w:rsidR="00BA393C" w:rsidRDefault="00BA393C" w:rsidP="00BA393C"/>
          <w:p w:rsidR="00883252" w:rsidRDefault="00883252" w:rsidP="00883252">
            <w:r>
              <w:t>The design of the I-S</w:t>
            </w:r>
            <w:r w:rsidR="004673F6">
              <w:t>EM includes a component related to Imbalance Settlement being based partly on Contracted Quantities agreed in Ex-Ante Markets</w:t>
            </w:r>
            <w:r>
              <w:t>. The consequences of any such Contract</w:t>
            </w:r>
            <w:r w:rsidR="006E3922">
              <w:t>ed Quantity</w:t>
            </w:r>
            <w:r w:rsidR="004673F6">
              <w:t xml:space="preserve"> being considered invalid by the Market Operator</w:t>
            </w:r>
            <w:r>
              <w:t xml:space="preserve"> </w:t>
            </w:r>
            <w:r w:rsidR="004673F6">
              <w:t xml:space="preserve">is </w:t>
            </w:r>
            <w:r>
              <w:t>an imbalance occurring against the relevant SEM NEMO under the Trading and Settlement Code</w:t>
            </w:r>
            <w:r w:rsidR="00670B07">
              <w:t xml:space="preserve"> </w:t>
            </w:r>
            <w:r>
              <w:t>- for the value of the Contract</w:t>
            </w:r>
            <w:r w:rsidR="006E3922">
              <w:t>ed</w:t>
            </w:r>
            <w:r>
              <w:t xml:space="preserve"> </w:t>
            </w:r>
            <w:r w:rsidR="004673F6">
              <w:t>Q</w:t>
            </w:r>
            <w:r>
              <w:t>uantity at the Imbalance Price.</w:t>
            </w:r>
          </w:p>
          <w:p w:rsidR="00883252" w:rsidRDefault="00883252" w:rsidP="00883252"/>
          <w:p w:rsidR="00883252" w:rsidRDefault="00041086" w:rsidP="00883252">
            <w:r>
              <w:t>During</w:t>
            </w:r>
            <w:r w:rsidR="00883252">
              <w:t xml:space="preserve"> </w:t>
            </w:r>
            <w:proofErr w:type="spellStart"/>
            <w:r w:rsidR="00670B07">
              <w:t>SEMOpx’s</w:t>
            </w:r>
            <w:proofErr w:type="spellEnd"/>
            <w:r w:rsidR="00670B07">
              <w:t xml:space="preserve"> evaluation </w:t>
            </w:r>
            <w:r w:rsidR="00883252">
              <w:t>of financial risks associated the interrelationship between the</w:t>
            </w:r>
            <w:r w:rsidR="00555D41">
              <w:t xml:space="preserve"> Ex-Ante Markets and Imbalance S</w:t>
            </w:r>
            <w:r w:rsidR="00883252">
              <w:t>ettlement there have been identified specific “scenarios” that could l</w:t>
            </w:r>
            <w:r w:rsidR="004673F6">
              <w:t xml:space="preserve">ead to this situation of </w:t>
            </w:r>
            <w:r w:rsidR="00883252">
              <w:t>Contract</w:t>
            </w:r>
            <w:r w:rsidR="004673F6">
              <w:t>ed Quantities being considered invalid in Imbalance Settlement.</w:t>
            </w:r>
            <w:r w:rsidR="00883252">
              <w:t xml:space="preserve"> Although they have an extremely low probability of occurrence the impact in terms of financial costs needing recovery could be high.</w:t>
            </w:r>
          </w:p>
          <w:p w:rsidR="00883252" w:rsidRDefault="00883252" w:rsidP="00883252"/>
          <w:p w:rsidR="00883252" w:rsidRDefault="00883252" w:rsidP="00883252">
            <w:proofErr w:type="spellStart"/>
            <w:r>
              <w:t>SEMOpx</w:t>
            </w:r>
            <w:proofErr w:type="spellEnd"/>
            <w:r>
              <w:t xml:space="preserve"> does not have the financial resources nor operating environment to cover this type of potential risk </w:t>
            </w:r>
            <w:r w:rsidR="002706D5">
              <w:t>n</w:t>
            </w:r>
            <w:r>
              <w:t xml:space="preserve">either in the short term through working capital to finance the imbalance costs for imbalance settlement while the </w:t>
            </w:r>
            <w:r w:rsidR="004673F6">
              <w:t>invalid Contracted Quantity</w:t>
            </w:r>
            <w:r>
              <w:t xml:space="preserve"> costs are recovered, nor in the long term should the </w:t>
            </w:r>
            <w:r w:rsidR="004673F6">
              <w:t>invalid Contract Quantity</w:t>
            </w:r>
            <w:r>
              <w:t xml:space="preserve"> costs not be recovered. </w:t>
            </w:r>
          </w:p>
          <w:p w:rsidR="00883252" w:rsidRDefault="00883252" w:rsidP="00883252"/>
          <w:p w:rsidR="00883252" w:rsidRDefault="00883252" w:rsidP="00883252">
            <w:r>
              <w:t xml:space="preserve">Therefore, mechanisms must be in place to mitigate against these risk scenarios and their impacts to ensure </w:t>
            </w:r>
            <w:proofErr w:type="spellStart"/>
            <w:r>
              <w:t>SEMOpx</w:t>
            </w:r>
            <w:proofErr w:type="spellEnd"/>
            <w:r>
              <w:t xml:space="preserve"> is not exposed to liabilities imposed by the Balancing Market that it is not able to take on.</w:t>
            </w:r>
          </w:p>
          <w:p w:rsidR="00883252" w:rsidRDefault="00883252" w:rsidP="00883252">
            <w:pPr>
              <w:rPr>
                <w:b/>
                <w:u w:val="single"/>
              </w:rPr>
            </w:pPr>
          </w:p>
          <w:p w:rsidR="00883252" w:rsidRPr="00E061D6" w:rsidRDefault="00883252" w:rsidP="00883252">
            <w:pPr>
              <w:rPr>
                <w:b/>
                <w:u w:val="single"/>
              </w:rPr>
            </w:pPr>
            <w:r w:rsidRPr="00E061D6">
              <w:rPr>
                <w:b/>
                <w:u w:val="single"/>
              </w:rPr>
              <w:t xml:space="preserve">How </w:t>
            </w:r>
            <w:r>
              <w:rPr>
                <w:b/>
                <w:u w:val="single"/>
              </w:rPr>
              <w:t xml:space="preserve">the </w:t>
            </w:r>
            <w:r w:rsidRPr="00E061D6">
              <w:rPr>
                <w:b/>
                <w:u w:val="single"/>
              </w:rPr>
              <w:t>Risk Eventuates</w:t>
            </w:r>
          </w:p>
          <w:p w:rsidR="00883252" w:rsidRDefault="00883252" w:rsidP="00883252"/>
          <w:p w:rsidR="00883252" w:rsidRDefault="00883252" w:rsidP="00883252">
            <w:r>
              <w:t>The specific scenarios identified, with an indication of their probability and impact</w:t>
            </w:r>
            <w:r w:rsidR="00041086">
              <w:t>,</w:t>
            </w:r>
            <w:r>
              <w:t xml:space="preserve"> are provided below.</w:t>
            </w:r>
          </w:p>
          <w:p w:rsidR="00883252" w:rsidRDefault="00883252" w:rsidP="00883252"/>
          <w:tbl>
            <w:tblPr>
              <w:tblStyle w:val="LightShading-Accent1"/>
              <w:tblW w:w="8933" w:type="dxa"/>
              <w:tblLayout w:type="fixed"/>
              <w:tblLook w:val="0420"/>
            </w:tblPr>
            <w:tblGrid>
              <w:gridCol w:w="5389"/>
              <w:gridCol w:w="1843"/>
              <w:gridCol w:w="1701"/>
            </w:tblGrid>
            <w:tr w:rsidR="00883252" w:rsidRPr="00D101DA" w:rsidTr="00913F9B">
              <w:trPr>
                <w:cnfStyle w:val="100000000000"/>
                <w:trHeight w:val="355"/>
              </w:trPr>
              <w:tc>
                <w:tcPr>
                  <w:tcW w:w="5389" w:type="dxa"/>
                  <w:hideMark/>
                </w:tcPr>
                <w:p w:rsidR="00883252" w:rsidRPr="00D101DA" w:rsidRDefault="00883252" w:rsidP="00913F9B">
                  <w:pPr>
                    <w:spacing w:after="200" w:line="276" w:lineRule="auto"/>
                    <w:jc w:val="center"/>
                  </w:pPr>
                  <w:r>
                    <w:t>Scenario</w:t>
                  </w:r>
                </w:p>
              </w:tc>
              <w:tc>
                <w:tcPr>
                  <w:tcW w:w="1843" w:type="dxa"/>
                  <w:hideMark/>
                </w:tcPr>
                <w:p w:rsidR="00883252" w:rsidRPr="00D101DA" w:rsidRDefault="00883252" w:rsidP="00913F9B">
                  <w:pPr>
                    <w:spacing w:after="200" w:line="276" w:lineRule="auto"/>
                    <w:jc w:val="center"/>
                  </w:pPr>
                  <w:r w:rsidRPr="00D101DA">
                    <w:t>Probability</w:t>
                  </w:r>
                </w:p>
              </w:tc>
              <w:tc>
                <w:tcPr>
                  <w:tcW w:w="1701" w:type="dxa"/>
                  <w:hideMark/>
                </w:tcPr>
                <w:p w:rsidR="00883252" w:rsidRPr="00D101DA" w:rsidRDefault="00883252" w:rsidP="00913F9B">
                  <w:pPr>
                    <w:spacing w:after="200" w:line="276" w:lineRule="auto"/>
                    <w:jc w:val="center"/>
                  </w:pPr>
                  <w:r w:rsidRPr="00D101DA">
                    <w:t>Impact</w:t>
                  </w:r>
                </w:p>
              </w:tc>
            </w:tr>
            <w:tr w:rsidR="00883252" w:rsidRPr="00D101DA" w:rsidTr="00913F9B">
              <w:trPr>
                <w:cnfStyle w:val="000000100000"/>
                <w:trHeight w:val="584"/>
              </w:trPr>
              <w:tc>
                <w:tcPr>
                  <w:tcW w:w="5389" w:type="dxa"/>
                  <w:hideMark/>
                </w:tcPr>
                <w:p w:rsidR="00883252" w:rsidRPr="00D101DA" w:rsidRDefault="00883252" w:rsidP="00913F9B">
                  <w:r>
                    <w:t xml:space="preserve">Exchange Member trades in the </w:t>
                  </w:r>
                  <w:r w:rsidRPr="00D101DA">
                    <w:t xml:space="preserve">Ex-Ante </w:t>
                  </w:r>
                  <w:r>
                    <w:t xml:space="preserve">Markets </w:t>
                  </w:r>
                  <w:r w:rsidRPr="00D101DA">
                    <w:t>before a Unit is effective in the Balancing Market</w:t>
                  </w:r>
                </w:p>
              </w:tc>
              <w:tc>
                <w:tcPr>
                  <w:tcW w:w="1843" w:type="dxa"/>
                  <w:hideMark/>
                </w:tcPr>
                <w:p w:rsidR="00883252" w:rsidRPr="00D101DA" w:rsidRDefault="00883252" w:rsidP="00913F9B">
                  <w:pPr>
                    <w:jc w:val="center"/>
                  </w:pPr>
                  <w:r>
                    <w:t>Extremely</w:t>
                  </w:r>
                  <w:r w:rsidRPr="00D101DA">
                    <w:t xml:space="preserve"> Low</w:t>
                  </w:r>
                </w:p>
              </w:tc>
              <w:tc>
                <w:tcPr>
                  <w:tcW w:w="1701" w:type="dxa"/>
                  <w:hideMark/>
                </w:tcPr>
                <w:p w:rsidR="00883252" w:rsidRPr="00D101DA" w:rsidRDefault="00883252" w:rsidP="00913F9B">
                  <w:pPr>
                    <w:spacing w:after="200" w:line="276" w:lineRule="auto"/>
                    <w:jc w:val="center"/>
                  </w:pPr>
                  <w:r w:rsidRPr="00D101DA">
                    <w:t>High</w:t>
                  </w:r>
                </w:p>
              </w:tc>
            </w:tr>
            <w:tr w:rsidR="00883252" w:rsidRPr="00D101DA" w:rsidTr="00913F9B">
              <w:trPr>
                <w:trHeight w:val="584"/>
              </w:trPr>
              <w:tc>
                <w:tcPr>
                  <w:tcW w:w="5389" w:type="dxa"/>
                  <w:hideMark/>
                </w:tcPr>
                <w:p w:rsidR="00883252" w:rsidRPr="00D101DA" w:rsidRDefault="00883252" w:rsidP="00670B07">
                  <w:r>
                    <w:t xml:space="preserve">Exchange Member trades in the </w:t>
                  </w:r>
                  <w:r w:rsidRPr="00D101DA">
                    <w:t xml:space="preserve">Ex-Ante </w:t>
                  </w:r>
                  <w:r>
                    <w:t xml:space="preserve">Markets </w:t>
                  </w:r>
                  <w:r w:rsidRPr="00D101DA">
                    <w:t>wh</w:t>
                  </w:r>
                  <w:r>
                    <w:t xml:space="preserve">ile a Trading Halt </w:t>
                  </w:r>
                  <w:r w:rsidR="00670B07">
                    <w:t>should have been in effect.</w:t>
                  </w:r>
                </w:p>
              </w:tc>
              <w:tc>
                <w:tcPr>
                  <w:tcW w:w="1843" w:type="dxa"/>
                  <w:hideMark/>
                </w:tcPr>
                <w:p w:rsidR="00883252" w:rsidRPr="00D101DA" w:rsidRDefault="00883252" w:rsidP="00913F9B">
                  <w:pPr>
                    <w:jc w:val="center"/>
                  </w:pPr>
                  <w:r>
                    <w:t xml:space="preserve">Very </w:t>
                  </w:r>
                  <w:r w:rsidRPr="00D101DA">
                    <w:t>Low</w:t>
                  </w:r>
                </w:p>
              </w:tc>
              <w:tc>
                <w:tcPr>
                  <w:tcW w:w="1701" w:type="dxa"/>
                  <w:hideMark/>
                </w:tcPr>
                <w:p w:rsidR="00883252" w:rsidRPr="00D101DA" w:rsidRDefault="00883252" w:rsidP="00913F9B">
                  <w:pPr>
                    <w:jc w:val="center"/>
                  </w:pPr>
                  <w:r w:rsidRPr="00D101DA">
                    <w:t>High</w:t>
                  </w:r>
                </w:p>
              </w:tc>
            </w:tr>
            <w:tr w:rsidR="00883252" w:rsidRPr="00D101DA" w:rsidTr="00913F9B">
              <w:trPr>
                <w:cnfStyle w:val="000000100000"/>
                <w:trHeight w:val="584"/>
              </w:trPr>
              <w:tc>
                <w:tcPr>
                  <w:tcW w:w="5389" w:type="dxa"/>
                  <w:hideMark/>
                </w:tcPr>
                <w:p w:rsidR="00883252" w:rsidRPr="00D101DA" w:rsidRDefault="00883252" w:rsidP="00670B07">
                  <w:r>
                    <w:t xml:space="preserve">Exchange Member trades in the </w:t>
                  </w:r>
                  <w:r w:rsidRPr="00D101DA">
                    <w:t xml:space="preserve">Ex-Ante </w:t>
                  </w:r>
                  <w:r>
                    <w:t xml:space="preserve">Markets while </w:t>
                  </w:r>
                  <w:r w:rsidR="00670B07">
                    <w:t>a S</w:t>
                  </w:r>
                  <w:r w:rsidRPr="00D101DA">
                    <w:t xml:space="preserve">uspension of </w:t>
                  </w:r>
                  <w:r>
                    <w:t xml:space="preserve">the relevant Unit from the </w:t>
                  </w:r>
                  <w:r w:rsidRPr="00D101DA">
                    <w:t>Balancing Market</w:t>
                  </w:r>
                  <w:r w:rsidR="00670B07">
                    <w:t xml:space="preserve"> is in effect.</w:t>
                  </w:r>
                </w:p>
              </w:tc>
              <w:tc>
                <w:tcPr>
                  <w:tcW w:w="1843" w:type="dxa"/>
                  <w:hideMark/>
                </w:tcPr>
                <w:p w:rsidR="00883252" w:rsidRPr="00D101DA" w:rsidRDefault="00883252" w:rsidP="00913F9B">
                  <w:pPr>
                    <w:jc w:val="center"/>
                  </w:pPr>
                  <w:r>
                    <w:t>Extremely</w:t>
                  </w:r>
                  <w:r w:rsidRPr="00D101DA">
                    <w:t xml:space="preserve"> Low</w:t>
                  </w:r>
                </w:p>
              </w:tc>
              <w:tc>
                <w:tcPr>
                  <w:tcW w:w="1701" w:type="dxa"/>
                  <w:hideMark/>
                </w:tcPr>
                <w:p w:rsidR="00883252" w:rsidRPr="00D101DA" w:rsidRDefault="00883252" w:rsidP="00913F9B">
                  <w:pPr>
                    <w:jc w:val="center"/>
                  </w:pPr>
                  <w:r w:rsidRPr="00D101DA">
                    <w:t>High</w:t>
                  </w:r>
                </w:p>
              </w:tc>
            </w:tr>
          </w:tbl>
          <w:p w:rsidR="00883252" w:rsidRDefault="00883252" w:rsidP="00883252"/>
          <w:p w:rsidR="00883252" w:rsidRPr="00E061D6" w:rsidRDefault="00883252" w:rsidP="00883252">
            <w:pPr>
              <w:rPr>
                <w:b/>
                <w:u w:val="single"/>
              </w:rPr>
            </w:pPr>
            <w:r w:rsidRPr="00E061D6">
              <w:rPr>
                <w:b/>
                <w:u w:val="single"/>
              </w:rPr>
              <w:t>Probability of the Risk Occur</w:t>
            </w:r>
            <w:r>
              <w:rPr>
                <w:b/>
                <w:u w:val="single"/>
              </w:rPr>
              <w:t>r</w:t>
            </w:r>
            <w:r w:rsidRPr="00E061D6">
              <w:rPr>
                <w:b/>
                <w:u w:val="single"/>
              </w:rPr>
              <w:t>ing</w:t>
            </w:r>
          </w:p>
          <w:p w:rsidR="00883252" w:rsidRDefault="00883252" w:rsidP="00883252"/>
          <w:p w:rsidR="00883252" w:rsidRDefault="00883252" w:rsidP="00883252">
            <w:r>
              <w:t>To illustrate the extremely low probability of this event occurring, the diagram below shows the sequence of events that would need to occur in order for this risk to eventuate.</w:t>
            </w:r>
          </w:p>
          <w:p w:rsidR="00883252" w:rsidRDefault="00883252" w:rsidP="00883252">
            <w:pPr>
              <w:rPr>
                <w:b/>
              </w:rPr>
            </w:pPr>
            <w:r w:rsidRPr="00D308C7">
              <w:rPr>
                <w:b/>
                <w:noProof/>
                <w:lang w:eastAsia="en-IE"/>
              </w:rPr>
              <w:drawing>
                <wp:inline distT="0" distB="0" distL="0" distR="0">
                  <wp:extent cx="5715000" cy="1607820"/>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83252" w:rsidRPr="00E061D6" w:rsidRDefault="00883252" w:rsidP="00883252">
            <w:pPr>
              <w:rPr>
                <w:b/>
                <w:u w:val="single"/>
              </w:rPr>
            </w:pPr>
            <w:r>
              <w:rPr>
                <w:b/>
                <w:u w:val="single"/>
              </w:rPr>
              <w:t>Impact if the Risk Eventuates</w:t>
            </w:r>
          </w:p>
          <w:p w:rsidR="00883252" w:rsidRDefault="00883252" w:rsidP="00883252"/>
          <w:p w:rsidR="00883252" w:rsidRDefault="00883252" w:rsidP="00883252">
            <w:r>
              <w:t>While the probability of the scenario occurring is extremely low the impact of such an event could be significant. Although it is difficult to quantify the monetary impact of the scenarios – as there is a great deal of variability and lack of historical data in most cases. However, examples of the costs that could need recovery are illustrated below.</w:t>
            </w:r>
          </w:p>
          <w:p w:rsidR="00883252" w:rsidRDefault="00883252" w:rsidP="00883252"/>
          <w:p w:rsidR="00883252" w:rsidRDefault="006212EE" w:rsidP="007E1423">
            <w:pPr>
              <w:jc w:val="center"/>
            </w:pPr>
            <w:r>
              <w:rPr>
                <w:noProof/>
                <w:lang w:eastAsia="en-IE"/>
              </w:rPr>
              <w:drawing>
                <wp:inline distT="0" distB="0" distL="0" distR="0">
                  <wp:extent cx="5076191" cy="19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076191" cy="1914286"/>
                          </a:xfrm>
                          <a:prstGeom prst="rect">
                            <a:avLst/>
                          </a:prstGeom>
                        </pic:spPr>
                      </pic:pic>
                    </a:graphicData>
                  </a:graphic>
                </wp:inline>
              </w:drawing>
            </w:r>
          </w:p>
          <w:p w:rsidR="00883252" w:rsidRDefault="00883252" w:rsidP="00883252"/>
          <w:p w:rsidR="00883252" w:rsidRDefault="00883252" w:rsidP="00883252">
            <w:r>
              <w:t>Please note that:</w:t>
            </w:r>
          </w:p>
          <w:p w:rsidR="00883252" w:rsidRPr="00883252" w:rsidRDefault="00883252" w:rsidP="00883252">
            <w:pPr>
              <w:pStyle w:val="ListParagraph"/>
              <w:numPr>
                <w:ilvl w:val="0"/>
                <w:numId w:val="13"/>
              </w:numPr>
              <w:spacing w:after="200" w:line="276" w:lineRule="auto"/>
              <w:contextualSpacing/>
              <w:rPr>
                <w:rFonts w:ascii="Times New Roman" w:hAnsi="Times New Roman"/>
                <w:sz w:val="20"/>
                <w:szCs w:val="20"/>
              </w:rPr>
            </w:pPr>
            <w:r w:rsidRPr="00883252">
              <w:rPr>
                <w:rFonts w:ascii="Times New Roman" w:hAnsi="Times New Roman"/>
                <w:sz w:val="20"/>
                <w:szCs w:val="20"/>
              </w:rPr>
              <w:t>These exposures are only expected for one auction and trading day as measures would be implemented immediately to rectify the issue and avoid further</w:t>
            </w:r>
            <w:r w:rsidR="004673F6">
              <w:rPr>
                <w:rFonts w:ascii="Times New Roman" w:hAnsi="Times New Roman"/>
                <w:sz w:val="20"/>
                <w:szCs w:val="20"/>
              </w:rPr>
              <w:t xml:space="preserve"> invalid Contracted </w:t>
            </w:r>
            <w:r w:rsidR="002706D5">
              <w:rPr>
                <w:rFonts w:ascii="Times New Roman" w:hAnsi="Times New Roman"/>
                <w:sz w:val="20"/>
                <w:szCs w:val="20"/>
              </w:rPr>
              <w:t>Quantities</w:t>
            </w:r>
            <w:r w:rsidRPr="00883252">
              <w:rPr>
                <w:rFonts w:ascii="Times New Roman" w:hAnsi="Times New Roman"/>
                <w:sz w:val="20"/>
                <w:szCs w:val="20"/>
              </w:rPr>
              <w:t xml:space="preserve"> for subsequent auctions.</w:t>
            </w:r>
          </w:p>
          <w:p w:rsidR="00883252" w:rsidRPr="00883252" w:rsidRDefault="00883252" w:rsidP="00883252">
            <w:pPr>
              <w:pStyle w:val="ListParagraph"/>
              <w:numPr>
                <w:ilvl w:val="0"/>
                <w:numId w:val="13"/>
              </w:numPr>
              <w:spacing w:after="200" w:line="276" w:lineRule="auto"/>
              <w:contextualSpacing/>
              <w:rPr>
                <w:rFonts w:ascii="Times New Roman" w:hAnsi="Times New Roman"/>
                <w:sz w:val="20"/>
                <w:szCs w:val="20"/>
              </w:rPr>
            </w:pPr>
            <w:r w:rsidRPr="00883252">
              <w:rPr>
                <w:rFonts w:ascii="Times New Roman" w:hAnsi="Times New Roman"/>
                <w:sz w:val="20"/>
                <w:szCs w:val="20"/>
              </w:rPr>
              <w:t xml:space="preserve">The figures assume that </w:t>
            </w:r>
            <w:r w:rsidR="004673F6">
              <w:rPr>
                <w:rFonts w:ascii="Times New Roman" w:hAnsi="Times New Roman"/>
                <w:sz w:val="20"/>
                <w:szCs w:val="20"/>
              </w:rPr>
              <w:t>the</w:t>
            </w:r>
            <w:r w:rsidR="00F27AD9">
              <w:rPr>
                <w:rFonts w:ascii="Times New Roman" w:hAnsi="Times New Roman"/>
                <w:sz w:val="20"/>
                <w:szCs w:val="20"/>
              </w:rPr>
              <w:t xml:space="preserve"> Ex-Ante payments for the </w:t>
            </w:r>
            <w:r w:rsidR="004673F6">
              <w:rPr>
                <w:rFonts w:ascii="Times New Roman" w:hAnsi="Times New Roman"/>
                <w:sz w:val="20"/>
                <w:szCs w:val="20"/>
              </w:rPr>
              <w:t xml:space="preserve">invalid Contracted Quantity has not been </w:t>
            </w:r>
            <w:r w:rsidRPr="00883252">
              <w:rPr>
                <w:rFonts w:ascii="Times New Roman" w:hAnsi="Times New Roman"/>
                <w:sz w:val="20"/>
                <w:szCs w:val="20"/>
              </w:rPr>
              <w:t xml:space="preserve">able to be withheld - which would reduce the costs needing recovery to just the </w:t>
            </w:r>
            <w:r w:rsidR="004673F6">
              <w:rPr>
                <w:rFonts w:ascii="Times New Roman" w:hAnsi="Times New Roman"/>
                <w:sz w:val="20"/>
                <w:szCs w:val="20"/>
              </w:rPr>
              <w:t>Contract Q</w:t>
            </w:r>
            <w:r w:rsidRPr="00883252">
              <w:rPr>
                <w:rFonts w:ascii="Times New Roman" w:hAnsi="Times New Roman"/>
                <w:sz w:val="20"/>
                <w:szCs w:val="20"/>
              </w:rPr>
              <w:t xml:space="preserve">uantity x the </w:t>
            </w:r>
            <w:r w:rsidRPr="00883252">
              <w:rPr>
                <w:rFonts w:ascii="Times New Roman" w:hAnsi="Times New Roman"/>
                <w:sz w:val="20"/>
                <w:szCs w:val="20"/>
              </w:rPr>
              <w:lastRenderedPageBreak/>
              <w:t>difference in Imbalance and Ex-Ante prices.</w:t>
            </w:r>
            <w:del w:id="226" w:author="Author">
              <w:r w:rsidRPr="00883252" w:rsidDel="007C263D">
                <w:rPr>
                  <w:rStyle w:val="FootnoteReference"/>
                  <w:rFonts w:ascii="Times New Roman" w:hAnsi="Times New Roman"/>
                  <w:sz w:val="20"/>
                  <w:szCs w:val="20"/>
                </w:rPr>
                <w:footnoteReference w:id="3"/>
              </w:r>
            </w:del>
          </w:p>
          <w:p w:rsidR="00883252" w:rsidRDefault="00883252" w:rsidP="00883252">
            <w:pPr>
              <w:rPr>
                <w:b/>
                <w:u w:val="single"/>
              </w:rPr>
            </w:pPr>
            <w:r w:rsidRPr="00E45176">
              <w:rPr>
                <w:b/>
                <w:u w:val="single"/>
              </w:rPr>
              <w:t>Implications for Imbalance Settlement</w:t>
            </w:r>
          </w:p>
          <w:p w:rsidR="00883252" w:rsidRPr="00E45176" w:rsidRDefault="00883252" w:rsidP="00883252">
            <w:pPr>
              <w:rPr>
                <w:b/>
                <w:u w:val="single"/>
              </w:rPr>
            </w:pPr>
          </w:p>
          <w:p w:rsidR="00883252" w:rsidRDefault="00883252" w:rsidP="00883252">
            <w:r>
              <w:t xml:space="preserve">To recover the costs associated with any </w:t>
            </w:r>
            <w:r w:rsidR="00555D41">
              <w:t xml:space="preserve">of </w:t>
            </w:r>
            <w:r w:rsidR="004673F6">
              <w:t xml:space="preserve">the invalid Contracted Quantity </w:t>
            </w:r>
            <w:r>
              <w:t xml:space="preserve">scenario, </w:t>
            </w:r>
            <w:r w:rsidR="00F55452">
              <w:t>a SEM NEMO</w:t>
            </w:r>
            <w:r>
              <w:t xml:space="preserve"> would need to obtain the relevant costs in order to pay the imbalance. The processes to recover these costs </w:t>
            </w:r>
            <w:del w:id="229" w:author="Author">
              <w:r w:rsidDel="004901E1">
                <w:delText xml:space="preserve">are </w:delText>
              </w:r>
              <w:r w:rsidDel="00E17473">
                <w:delText>very unlikely</w:delText>
              </w:r>
            </w:del>
            <w:ins w:id="230" w:author="Author">
              <w:r w:rsidR="00E17473">
                <w:t>may</w:t>
              </w:r>
            </w:ins>
            <w:r>
              <w:t xml:space="preserve"> </w:t>
            </w:r>
            <w:ins w:id="231" w:author="Author">
              <w:r w:rsidR="004901E1">
                <w:t xml:space="preserve">not </w:t>
              </w:r>
            </w:ins>
            <w:del w:id="232" w:author="Author">
              <w:r w:rsidDel="004901E1">
                <w:delText xml:space="preserve">to </w:delText>
              </w:r>
            </w:del>
            <w:r>
              <w:t>be able to be completed in sufficient time to meet the required payment deadlines for Imbalance Settlement.</w:t>
            </w:r>
          </w:p>
          <w:p w:rsidR="00883252" w:rsidRDefault="00883252" w:rsidP="00883252"/>
          <w:p w:rsidR="00883252" w:rsidRDefault="00883252" w:rsidP="00883252">
            <w:r>
              <w:t>In addition</w:t>
            </w:r>
            <w:del w:id="233" w:author="Author">
              <w:r w:rsidDel="004901E1">
                <w:delText>al</w:delText>
              </w:r>
            </w:del>
            <w:r>
              <w:t xml:space="preserve">, although </w:t>
            </w:r>
            <w:r w:rsidR="00F55452">
              <w:t>a SEM NEMO</w:t>
            </w:r>
            <w:r>
              <w:t xml:space="preserve"> will utilise several mechanisms in order to recover the </w:t>
            </w:r>
            <w:r w:rsidR="00514A38">
              <w:t xml:space="preserve">invalid Contracted Quantity </w:t>
            </w:r>
            <w:r>
              <w:t xml:space="preserve">costs, there is still an extremely low probability that the costs are never fully recovered and therefore the imbalance </w:t>
            </w:r>
            <w:r w:rsidR="0006155B">
              <w:t>cannot</w:t>
            </w:r>
            <w:r>
              <w:t xml:space="preserve"> be fully </w:t>
            </w:r>
            <w:r w:rsidR="009216E4">
              <w:t>re</w:t>
            </w:r>
            <w:r>
              <w:t xml:space="preserve">paid </w:t>
            </w:r>
            <w:r w:rsidR="0006155B">
              <w:t xml:space="preserve">by </w:t>
            </w:r>
            <w:r w:rsidR="00F55452">
              <w:t>SEM NEMO</w:t>
            </w:r>
            <w:r w:rsidR="0006155B">
              <w:t xml:space="preserve"> </w:t>
            </w:r>
            <w:r>
              <w:t>in Imbalance Settlement.</w:t>
            </w:r>
          </w:p>
          <w:p w:rsidR="00883252" w:rsidRDefault="00883252" w:rsidP="00883252"/>
          <w:p w:rsidR="00883252" w:rsidRDefault="00883252" w:rsidP="00883252">
            <w:r>
              <w:t>This provides two key issues of:</w:t>
            </w:r>
          </w:p>
          <w:p w:rsidR="00883252" w:rsidRPr="00883252" w:rsidRDefault="00883252" w:rsidP="00883252">
            <w:pPr>
              <w:pStyle w:val="ListParagraph"/>
              <w:numPr>
                <w:ilvl w:val="0"/>
                <w:numId w:val="14"/>
              </w:numPr>
              <w:spacing w:after="200" w:line="276" w:lineRule="auto"/>
              <w:contextualSpacing/>
              <w:rPr>
                <w:rFonts w:ascii="Times New Roman" w:hAnsi="Times New Roman"/>
                <w:sz w:val="20"/>
                <w:szCs w:val="20"/>
              </w:rPr>
            </w:pPr>
            <w:r w:rsidRPr="00883252">
              <w:rPr>
                <w:rFonts w:ascii="Times New Roman" w:hAnsi="Times New Roman"/>
                <w:sz w:val="20"/>
                <w:szCs w:val="20"/>
              </w:rPr>
              <w:t xml:space="preserve">Who funds the working capital of the imbalance under Imbalance Settlement until the costs of the </w:t>
            </w:r>
            <w:r w:rsidR="00514A38">
              <w:rPr>
                <w:rFonts w:ascii="Times New Roman" w:hAnsi="Times New Roman"/>
                <w:sz w:val="20"/>
                <w:szCs w:val="20"/>
              </w:rPr>
              <w:t xml:space="preserve">invalid Contracted </w:t>
            </w:r>
            <w:r w:rsidR="002706D5">
              <w:rPr>
                <w:rFonts w:ascii="Times New Roman" w:hAnsi="Times New Roman"/>
                <w:sz w:val="20"/>
                <w:szCs w:val="20"/>
              </w:rPr>
              <w:t>Quantity</w:t>
            </w:r>
            <w:r w:rsidRPr="00883252">
              <w:rPr>
                <w:rFonts w:ascii="Times New Roman" w:hAnsi="Times New Roman"/>
                <w:sz w:val="20"/>
                <w:szCs w:val="20"/>
              </w:rPr>
              <w:t xml:space="preserve"> are recovered?</w:t>
            </w:r>
            <w:ins w:id="234" w:author="Author">
              <w:r w:rsidR="004901E1">
                <w:rPr>
                  <w:rFonts w:ascii="Times New Roman" w:hAnsi="Times New Roman"/>
                  <w:sz w:val="20"/>
                  <w:szCs w:val="20"/>
                </w:rPr>
                <w:t>; and</w:t>
              </w:r>
            </w:ins>
          </w:p>
          <w:p w:rsidR="00883252" w:rsidRPr="00883252" w:rsidRDefault="00883252" w:rsidP="00883252">
            <w:pPr>
              <w:pStyle w:val="ListParagraph"/>
              <w:numPr>
                <w:ilvl w:val="0"/>
                <w:numId w:val="14"/>
              </w:numPr>
              <w:spacing w:after="200" w:line="276" w:lineRule="auto"/>
              <w:contextualSpacing/>
              <w:rPr>
                <w:rFonts w:ascii="Times New Roman" w:hAnsi="Times New Roman"/>
                <w:sz w:val="20"/>
                <w:szCs w:val="20"/>
              </w:rPr>
            </w:pPr>
            <w:r w:rsidRPr="00883252">
              <w:rPr>
                <w:rFonts w:ascii="Times New Roman" w:hAnsi="Times New Roman"/>
                <w:sz w:val="20"/>
                <w:szCs w:val="20"/>
              </w:rPr>
              <w:t>Who ultimately, if all other measures fail, b</w:t>
            </w:r>
            <w:ins w:id="235" w:author="Author">
              <w:r w:rsidR="00E17473">
                <w:rPr>
                  <w:rFonts w:ascii="Times New Roman" w:hAnsi="Times New Roman"/>
                  <w:sz w:val="20"/>
                  <w:szCs w:val="20"/>
                </w:rPr>
                <w:t>e</w:t>
              </w:r>
            </w:ins>
            <w:r w:rsidRPr="00883252">
              <w:rPr>
                <w:rFonts w:ascii="Times New Roman" w:hAnsi="Times New Roman"/>
                <w:sz w:val="20"/>
                <w:szCs w:val="20"/>
              </w:rPr>
              <w:t>ar</w:t>
            </w:r>
            <w:del w:id="236" w:author="Author">
              <w:r w:rsidRPr="00883252" w:rsidDel="00E17473">
                <w:rPr>
                  <w:rFonts w:ascii="Times New Roman" w:hAnsi="Times New Roman"/>
                  <w:sz w:val="20"/>
                  <w:szCs w:val="20"/>
                </w:rPr>
                <w:delText>e</w:delText>
              </w:r>
            </w:del>
            <w:r w:rsidRPr="00883252">
              <w:rPr>
                <w:rFonts w:ascii="Times New Roman" w:hAnsi="Times New Roman"/>
                <w:sz w:val="20"/>
                <w:szCs w:val="20"/>
              </w:rPr>
              <w:t>s the cost of any remaining costs related to the</w:t>
            </w:r>
            <w:r w:rsidR="00514A38">
              <w:rPr>
                <w:rFonts w:ascii="Times New Roman" w:hAnsi="Times New Roman"/>
                <w:sz w:val="20"/>
                <w:szCs w:val="20"/>
              </w:rPr>
              <w:t xml:space="preserve"> invalid Contracted Quantity</w:t>
            </w:r>
            <w:r w:rsidRPr="00883252">
              <w:rPr>
                <w:rFonts w:ascii="Times New Roman" w:hAnsi="Times New Roman"/>
                <w:sz w:val="20"/>
                <w:szCs w:val="20"/>
              </w:rPr>
              <w:t>?</w:t>
            </w:r>
          </w:p>
          <w:p w:rsidR="00883252" w:rsidRPr="00E92EFE" w:rsidRDefault="00883252" w:rsidP="00883252">
            <w:pPr>
              <w:ind w:left="360"/>
              <w:rPr>
                <w:b/>
              </w:rPr>
            </w:pPr>
            <w:r>
              <w:rPr>
                <w:b/>
              </w:rPr>
              <w:t>Who funds the W</w:t>
            </w:r>
            <w:r w:rsidRPr="00E92EFE">
              <w:rPr>
                <w:b/>
              </w:rPr>
              <w:t xml:space="preserve">orking </w:t>
            </w:r>
            <w:r>
              <w:rPr>
                <w:b/>
              </w:rPr>
              <w:t>C</w:t>
            </w:r>
            <w:r w:rsidRPr="00E92EFE">
              <w:rPr>
                <w:b/>
              </w:rPr>
              <w:t>apital</w:t>
            </w:r>
            <w:r>
              <w:rPr>
                <w:b/>
              </w:rPr>
              <w:t xml:space="preserve"> to cover the Imbalance prior to Recovery</w:t>
            </w:r>
            <w:r w:rsidRPr="00E92EFE">
              <w:rPr>
                <w:b/>
              </w:rPr>
              <w:t>?</w:t>
            </w:r>
          </w:p>
          <w:p w:rsidR="00883252" w:rsidRDefault="00883252" w:rsidP="00883252">
            <w:pPr>
              <w:ind w:left="360"/>
            </w:pPr>
          </w:p>
          <w:p w:rsidR="00883252" w:rsidRDefault="00883252" w:rsidP="00883252">
            <w:pPr>
              <w:ind w:left="360"/>
            </w:pPr>
            <w:r>
              <w:t xml:space="preserve">Based on the financial and operating model proposed for </w:t>
            </w:r>
            <w:proofErr w:type="spellStart"/>
            <w:r>
              <w:t>SEMOpx</w:t>
            </w:r>
            <w:proofErr w:type="spellEnd"/>
            <w:r>
              <w:t xml:space="preserve"> under regulatory requirements</w:t>
            </w:r>
            <w:r w:rsidR="00514A38">
              <w:t>,</w:t>
            </w:r>
            <w:r>
              <w:t xml:space="preserve"> the service will operate on a cost pass through model with no allowance for the costs of working capital. Therefore, </w:t>
            </w:r>
            <w:proofErr w:type="spellStart"/>
            <w:r>
              <w:t>SEMOpx</w:t>
            </w:r>
            <w:proofErr w:type="spellEnd"/>
            <w:r>
              <w:t xml:space="preserve"> is not in a position to provide working capital to fund an imbalance due to </w:t>
            </w:r>
            <w:r w:rsidR="00514A38">
              <w:t>invalid Contracted Quantities</w:t>
            </w:r>
            <w:r>
              <w:t>.</w:t>
            </w:r>
          </w:p>
          <w:p w:rsidR="00883252" w:rsidRDefault="00883252" w:rsidP="00883252">
            <w:pPr>
              <w:ind w:left="360"/>
            </w:pPr>
          </w:p>
          <w:p w:rsidR="00883252" w:rsidRPr="00E92EFE" w:rsidRDefault="00883252" w:rsidP="00883252">
            <w:pPr>
              <w:ind w:left="360"/>
            </w:pPr>
            <w:r>
              <w:t xml:space="preserve">Therefore </w:t>
            </w:r>
            <w:r w:rsidR="00555D41">
              <w:t>the only plausible solution</w:t>
            </w:r>
            <w:r>
              <w:t xml:space="preserve"> is that </w:t>
            </w:r>
            <w:r w:rsidR="00670B07">
              <w:t>a SEM NEMO</w:t>
            </w:r>
            <w:r>
              <w:t xml:space="preserve"> can notify the </w:t>
            </w:r>
            <w:r w:rsidR="00670B07">
              <w:t>M</w:t>
            </w:r>
            <w:r>
              <w:t>arket Operator of a delay in recoveri</w:t>
            </w:r>
            <w:r w:rsidR="00514A38">
              <w:t xml:space="preserve">ng the costs associated with the invalid Contracted Quantity </w:t>
            </w:r>
            <w:r>
              <w:t xml:space="preserve">and the Market Operator in acknowledging this delay, hold </w:t>
            </w:r>
            <w:r w:rsidR="00670B07">
              <w:t xml:space="preserve">SEM NEMO </w:t>
            </w:r>
            <w:r>
              <w:t xml:space="preserve">harmless and short pay the relevant recipients of the imbalance payment until such time as the costs can be recovered by </w:t>
            </w:r>
            <w:r w:rsidR="00670B07">
              <w:t>SEM NEMO.</w:t>
            </w:r>
            <w:r>
              <w:t xml:space="preserve"> </w:t>
            </w:r>
          </w:p>
          <w:p w:rsidR="00883252" w:rsidRDefault="00883252" w:rsidP="00883252">
            <w:pPr>
              <w:ind w:left="360"/>
              <w:rPr>
                <w:b/>
              </w:rPr>
            </w:pPr>
          </w:p>
          <w:p w:rsidR="00883252" w:rsidRDefault="00883252" w:rsidP="00883252">
            <w:pPr>
              <w:ind w:left="360"/>
              <w:rPr>
                <w:b/>
              </w:rPr>
            </w:pPr>
            <w:r>
              <w:rPr>
                <w:b/>
              </w:rPr>
              <w:t>If all else fails, who b</w:t>
            </w:r>
            <w:ins w:id="237" w:author="Author">
              <w:r w:rsidR="00E17473">
                <w:rPr>
                  <w:b/>
                </w:rPr>
                <w:t>e</w:t>
              </w:r>
            </w:ins>
            <w:r>
              <w:rPr>
                <w:b/>
              </w:rPr>
              <w:t>ar</w:t>
            </w:r>
            <w:del w:id="238" w:author="Author">
              <w:r w:rsidDel="007C263D">
                <w:rPr>
                  <w:b/>
                </w:rPr>
                <w:delText>e</w:delText>
              </w:r>
            </w:del>
            <w:r>
              <w:rPr>
                <w:b/>
              </w:rPr>
              <w:t xml:space="preserve">s any residual costs of the </w:t>
            </w:r>
            <w:r w:rsidR="00AC7339">
              <w:rPr>
                <w:b/>
              </w:rPr>
              <w:t>invalid Contracted Quantity</w:t>
            </w:r>
            <w:r>
              <w:rPr>
                <w:b/>
              </w:rPr>
              <w:t>?</w:t>
            </w:r>
          </w:p>
          <w:p w:rsidR="00883252" w:rsidRDefault="00883252" w:rsidP="00883252">
            <w:pPr>
              <w:ind w:left="360"/>
            </w:pPr>
          </w:p>
          <w:p w:rsidR="00883252" w:rsidRDefault="00883252" w:rsidP="00883252">
            <w:pPr>
              <w:ind w:left="360"/>
            </w:pPr>
            <w:r>
              <w:t>In considering the b</w:t>
            </w:r>
            <w:ins w:id="239" w:author="Author">
              <w:r w:rsidR="00E17473">
                <w:t>e</w:t>
              </w:r>
            </w:ins>
            <w:r>
              <w:t>aring of residual costs, it should be noted that prior to this ultimate b</w:t>
            </w:r>
            <w:ins w:id="240" w:author="Author">
              <w:r w:rsidR="00E17473">
                <w:t>e</w:t>
              </w:r>
            </w:ins>
            <w:r>
              <w:t xml:space="preserve">aring of </w:t>
            </w:r>
            <w:r w:rsidR="00514A38">
              <w:t xml:space="preserve">invalid Contract Quantity </w:t>
            </w:r>
            <w:r>
              <w:t>costs there will be a number of mitigation measures that will be looked at to be implemented in order to minimise the likelihood of this bad debt occurring. These mitigation measures mean that in addition</w:t>
            </w:r>
            <w:del w:id="241" w:author="Author">
              <w:r w:rsidDel="004901E1">
                <w:delText>al</w:delText>
              </w:r>
            </w:del>
            <w:r>
              <w:t xml:space="preserve"> to the event being extremely unlikely to occur, the chances of the</w:t>
            </w:r>
            <w:r w:rsidR="000A3C1C">
              <w:t xml:space="preserve"> costs not being recovered, using th</w:t>
            </w:r>
            <w:r w:rsidR="00555D41">
              <w:t>e mitigation measures</w:t>
            </w:r>
            <w:r w:rsidR="000A3C1C">
              <w:t xml:space="preserve"> below</w:t>
            </w:r>
            <w:r w:rsidR="00555D41">
              <w:t>,</w:t>
            </w:r>
            <w:r w:rsidR="000A3C1C">
              <w:t xml:space="preserve"> </w:t>
            </w:r>
            <w:r>
              <w:t>are extremely low.</w:t>
            </w:r>
          </w:p>
          <w:p w:rsidR="00883252" w:rsidRDefault="00883252" w:rsidP="00883252">
            <w:pPr>
              <w:ind w:left="360"/>
              <w:rPr>
                <w:b/>
              </w:rPr>
            </w:pPr>
          </w:p>
          <w:p w:rsidR="00883252" w:rsidRPr="00CE482B" w:rsidRDefault="00883252" w:rsidP="00AC7339">
            <w:pPr>
              <w:ind w:left="720"/>
              <w:rPr>
                <w:b/>
              </w:rPr>
            </w:pPr>
            <w:r w:rsidRPr="00CE482B">
              <w:rPr>
                <w:b/>
              </w:rPr>
              <w:t>Mitigation Measures</w:t>
            </w:r>
            <w:r>
              <w:rPr>
                <w:b/>
              </w:rPr>
              <w:t xml:space="preserve"> to Minimise Residual Costs</w:t>
            </w:r>
          </w:p>
          <w:p w:rsidR="00883252" w:rsidRDefault="00883252" w:rsidP="00AC7339">
            <w:pPr>
              <w:ind w:left="720"/>
            </w:pPr>
          </w:p>
          <w:p w:rsidR="00883252" w:rsidRDefault="00883252" w:rsidP="00AC7339">
            <w:pPr>
              <w:ind w:left="720"/>
            </w:pPr>
            <w:r>
              <w:t>The potential measures to mitigate the b</w:t>
            </w:r>
            <w:ins w:id="242" w:author="Author">
              <w:r w:rsidR="00E17473">
                <w:t>e</w:t>
              </w:r>
            </w:ins>
            <w:r>
              <w:t xml:space="preserve">aring of </w:t>
            </w:r>
            <w:r w:rsidR="00514A38">
              <w:t>invalid Contracted Quantities</w:t>
            </w:r>
            <w:r>
              <w:t xml:space="preserve"> could include:</w:t>
            </w:r>
          </w:p>
          <w:p w:rsidR="00555D41" w:rsidRDefault="00555D41" w:rsidP="00AC7339">
            <w:pPr>
              <w:ind w:left="720"/>
            </w:pPr>
          </w:p>
          <w:p w:rsidR="00883252" w:rsidRP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w:t>
            </w:r>
            <w:r w:rsidR="00883252" w:rsidRPr="00883252">
              <w:rPr>
                <w:rFonts w:ascii="Times New Roman" w:hAnsi="Times New Roman"/>
                <w:sz w:val="20"/>
                <w:szCs w:val="20"/>
              </w:rPr>
              <w:t xml:space="preserve"> withholding payment to the Exchange Member for the value of the </w:t>
            </w:r>
            <w:r w:rsidR="00514A38">
              <w:rPr>
                <w:rFonts w:ascii="Times New Roman" w:hAnsi="Times New Roman"/>
                <w:sz w:val="20"/>
                <w:szCs w:val="20"/>
              </w:rPr>
              <w:t>invalid Contracted Quantities</w:t>
            </w:r>
            <w:r w:rsidR="00883252" w:rsidRPr="00883252">
              <w:rPr>
                <w:rFonts w:ascii="Times New Roman" w:hAnsi="Times New Roman"/>
                <w:sz w:val="20"/>
                <w:szCs w:val="20"/>
              </w:rPr>
              <w:t xml:space="preserve"> therefore </w:t>
            </w:r>
            <w:r w:rsidR="00555D41">
              <w:rPr>
                <w:rFonts w:ascii="Times New Roman" w:hAnsi="Times New Roman"/>
                <w:sz w:val="20"/>
                <w:szCs w:val="20"/>
                <w:lang w:val="en-IE"/>
              </w:rPr>
              <w:t>minimising</w:t>
            </w:r>
            <w:r w:rsidR="00883252" w:rsidRPr="00883252">
              <w:rPr>
                <w:rFonts w:ascii="Times New Roman" w:hAnsi="Times New Roman"/>
                <w:sz w:val="20"/>
                <w:szCs w:val="20"/>
              </w:rPr>
              <w:t xml:space="preserve"> the costs needing recovery.</w:t>
            </w:r>
          </w:p>
          <w:p w:rsidR="00883252" w:rsidRDefault="00F55452" w:rsidP="00AC7339">
            <w:pPr>
              <w:pStyle w:val="ListParagraph"/>
              <w:numPr>
                <w:ilvl w:val="0"/>
                <w:numId w:val="15"/>
              </w:numPr>
              <w:spacing w:after="200" w:line="276" w:lineRule="auto"/>
              <w:ind w:left="1440"/>
              <w:contextualSpacing/>
              <w:rPr>
                <w:ins w:id="243" w:author="Author"/>
                <w:rFonts w:ascii="Times New Roman" w:hAnsi="Times New Roman"/>
                <w:sz w:val="20"/>
                <w:szCs w:val="20"/>
              </w:rPr>
            </w:pPr>
            <w:r>
              <w:rPr>
                <w:rFonts w:ascii="Times New Roman" w:hAnsi="Times New Roman"/>
                <w:sz w:val="20"/>
                <w:szCs w:val="20"/>
              </w:rPr>
              <w:t>SEMO</w:t>
            </w:r>
            <w:r w:rsidR="00883252" w:rsidRPr="00883252">
              <w:rPr>
                <w:rFonts w:ascii="Times New Roman" w:hAnsi="Times New Roman"/>
                <w:sz w:val="20"/>
                <w:szCs w:val="20"/>
              </w:rPr>
              <w:t xml:space="preserve"> to withhold any payments for the relevant Units in Imbalance Settlement to </w:t>
            </w:r>
            <w:r w:rsidR="00883252" w:rsidRPr="007E1423">
              <w:rPr>
                <w:rFonts w:ascii="Times New Roman" w:hAnsi="Times New Roman"/>
                <w:sz w:val="20"/>
                <w:szCs w:val="20"/>
                <w:lang w:val="en-IE"/>
              </w:rPr>
              <w:t>minimise</w:t>
            </w:r>
            <w:r w:rsidR="00883252" w:rsidRPr="00883252">
              <w:rPr>
                <w:rFonts w:ascii="Times New Roman" w:hAnsi="Times New Roman"/>
                <w:sz w:val="20"/>
                <w:szCs w:val="20"/>
              </w:rPr>
              <w:t xml:space="preserve"> the costs needing recovery.</w:t>
            </w:r>
          </w:p>
          <w:p w:rsidR="00E17473" w:rsidRPr="00883252" w:rsidRDefault="00E17473" w:rsidP="00AC7339">
            <w:pPr>
              <w:pStyle w:val="ListParagraph"/>
              <w:numPr>
                <w:ilvl w:val="0"/>
                <w:numId w:val="15"/>
              </w:numPr>
              <w:spacing w:after="200" w:line="276" w:lineRule="auto"/>
              <w:ind w:left="1440"/>
              <w:contextualSpacing/>
              <w:rPr>
                <w:rFonts w:ascii="Times New Roman" w:hAnsi="Times New Roman"/>
                <w:sz w:val="20"/>
                <w:szCs w:val="20"/>
              </w:rPr>
            </w:pPr>
            <w:ins w:id="244" w:author="Author">
              <w:r>
                <w:rPr>
                  <w:rFonts w:ascii="Times New Roman" w:hAnsi="Times New Roman"/>
                  <w:sz w:val="20"/>
                  <w:szCs w:val="20"/>
                </w:rPr>
                <w:t xml:space="preserve">SEMO to use </w:t>
              </w:r>
              <w:r w:rsidR="000743A9">
                <w:rPr>
                  <w:rFonts w:ascii="Times New Roman" w:hAnsi="Times New Roman"/>
                  <w:sz w:val="20"/>
                  <w:szCs w:val="20"/>
                </w:rPr>
                <w:t xml:space="preserve">Posted Credit Cover </w:t>
              </w:r>
              <w:r>
                <w:rPr>
                  <w:rFonts w:ascii="Times New Roman" w:hAnsi="Times New Roman"/>
                  <w:sz w:val="20"/>
                  <w:szCs w:val="20"/>
                </w:rPr>
                <w:t xml:space="preserve">for the relevant Units in Imbalance Settlement to </w:t>
              </w:r>
              <w:proofErr w:type="spellStart"/>
              <w:r>
                <w:rPr>
                  <w:rFonts w:ascii="Times New Roman" w:hAnsi="Times New Roman"/>
                  <w:sz w:val="20"/>
                  <w:szCs w:val="20"/>
                </w:rPr>
                <w:t>minimi</w:t>
              </w:r>
              <w:r w:rsidR="004901E1">
                <w:rPr>
                  <w:rFonts w:ascii="Times New Roman" w:hAnsi="Times New Roman"/>
                  <w:sz w:val="20"/>
                  <w:szCs w:val="20"/>
                </w:rPr>
                <w:t>s</w:t>
              </w:r>
              <w:r>
                <w:rPr>
                  <w:rFonts w:ascii="Times New Roman" w:hAnsi="Times New Roman"/>
                  <w:sz w:val="20"/>
                  <w:szCs w:val="20"/>
                </w:rPr>
                <w:t>e</w:t>
              </w:r>
              <w:proofErr w:type="spellEnd"/>
              <w:r>
                <w:rPr>
                  <w:rFonts w:ascii="Times New Roman" w:hAnsi="Times New Roman"/>
                  <w:sz w:val="20"/>
                  <w:szCs w:val="20"/>
                </w:rPr>
                <w:t xml:space="preserve"> the costs needing recovery.</w:t>
              </w:r>
            </w:ins>
          </w:p>
          <w:p w:rsidR="00883252" w:rsidRP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t>SEM NEMO</w:t>
            </w:r>
            <w:r w:rsidR="00883252" w:rsidRPr="00883252">
              <w:rPr>
                <w:rFonts w:ascii="Times New Roman" w:hAnsi="Times New Roman"/>
                <w:sz w:val="20"/>
                <w:szCs w:val="20"/>
              </w:rPr>
              <w:t xml:space="preserve"> to charge the Exchange Member that caused the </w:t>
            </w:r>
            <w:r w:rsidR="00514A38">
              <w:rPr>
                <w:rFonts w:ascii="Times New Roman" w:hAnsi="Times New Roman"/>
                <w:sz w:val="20"/>
                <w:szCs w:val="20"/>
              </w:rPr>
              <w:t xml:space="preserve">invalid </w:t>
            </w:r>
            <w:r w:rsidR="00883252" w:rsidRPr="00883252">
              <w:rPr>
                <w:rFonts w:ascii="Times New Roman" w:hAnsi="Times New Roman"/>
                <w:sz w:val="20"/>
                <w:szCs w:val="20"/>
              </w:rPr>
              <w:t>Contract</w:t>
            </w:r>
            <w:r w:rsidR="00514A38">
              <w:rPr>
                <w:rFonts w:ascii="Times New Roman" w:hAnsi="Times New Roman"/>
                <w:sz w:val="20"/>
                <w:szCs w:val="20"/>
              </w:rPr>
              <w:t>ed Quantities</w:t>
            </w:r>
            <w:r w:rsidR="00883252" w:rsidRPr="00883252">
              <w:rPr>
                <w:rFonts w:ascii="Times New Roman" w:hAnsi="Times New Roman"/>
                <w:sz w:val="20"/>
                <w:szCs w:val="20"/>
              </w:rPr>
              <w:t xml:space="preserve"> through trading </w:t>
            </w:r>
            <w:r w:rsidR="00E94C59">
              <w:rPr>
                <w:rFonts w:ascii="Times New Roman" w:hAnsi="Times New Roman"/>
                <w:sz w:val="20"/>
                <w:szCs w:val="20"/>
              </w:rPr>
              <w:t>in the Ex-Ante Markets</w:t>
            </w:r>
            <w:r w:rsidR="00555D41">
              <w:rPr>
                <w:rFonts w:ascii="Times New Roman" w:hAnsi="Times New Roman"/>
                <w:sz w:val="20"/>
                <w:szCs w:val="20"/>
              </w:rPr>
              <w:t>,</w:t>
            </w:r>
            <w:r w:rsidR="00555D41" w:rsidRPr="00883252">
              <w:rPr>
                <w:rFonts w:ascii="Times New Roman" w:hAnsi="Times New Roman"/>
                <w:sz w:val="20"/>
                <w:szCs w:val="20"/>
              </w:rPr>
              <w:t xml:space="preserve"> </w:t>
            </w:r>
            <w:r w:rsidR="00883252" w:rsidRPr="00883252">
              <w:rPr>
                <w:rFonts w:ascii="Times New Roman" w:hAnsi="Times New Roman"/>
                <w:sz w:val="20"/>
                <w:szCs w:val="20"/>
              </w:rPr>
              <w:t xml:space="preserve">when not </w:t>
            </w:r>
            <w:proofErr w:type="spellStart"/>
            <w:r w:rsidR="00883252" w:rsidRPr="00883252">
              <w:rPr>
                <w:rFonts w:ascii="Times New Roman" w:hAnsi="Times New Roman"/>
                <w:sz w:val="20"/>
                <w:szCs w:val="20"/>
              </w:rPr>
              <w:t>authorised</w:t>
            </w:r>
            <w:proofErr w:type="spellEnd"/>
            <w:r w:rsidR="00883252" w:rsidRPr="00883252">
              <w:rPr>
                <w:rFonts w:ascii="Times New Roman" w:hAnsi="Times New Roman"/>
                <w:sz w:val="20"/>
                <w:szCs w:val="20"/>
              </w:rPr>
              <w:t xml:space="preserve"> to do so.</w:t>
            </w:r>
          </w:p>
          <w:p w:rsidR="00883252" w:rsidRPr="00883252" w:rsidDel="00E17473" w:rsidRDefault="00F55452" w:rsidP="00AC7339">
            <w:pPr>
              <w:pStyle w:val="ListParagraph"/>
              <w:numPr>
                <w:ilvl w:val="0"/>
                <w:numId w:val="15"/>
              </w:numPr>
              <w:spacing w:after="200" w:line="276" w:lineRule="auto"/>
              <w:ind w:left="1440"/>
              <w:contextualSpacing/>
              <w:rPr>
                <w:del w:id="245" w:author="Author"/>
                <w:rFonts w:ascii="Times New Roman" w:hAnsi="Times New Roman"/>
                <w:sz w:val="20"/>
                <w:szCs w:val="20"/>
              </w:rPr>
            </w:pPr>
            <w:del w:id="246" w:author="Author">
              <w:r w:rsidDel="00E17473">
                <w:rPr>
                  <w:rFonts w:ascii="Times New Roman" w:hAnsi="Times New Roman"/>
                  <w:sz w:val="20"/>
                  <w:szCs w:val="20"/>
                </w:rPr>
                <w:delText>SEM NEMO</w:delText>
              </w:r>
              <w:r w:rsidR="00883252" w:rsidRPr="00883252" w:rsidDel="00E17473">
                <w:rPr>
                  <w:rFonts w:ascii="Times New Roman" w:hAnsi="Times New Roman"/>
                  <w:sz w:val="20"/>
                  <w:szCs w:val="20"/>
                </w:rPr>
                <w:delText xml:space="preserve"> to use contributions to a default fund where the costs cannot be recovered from the Exchange Member.</w:delText>
              </w:r>
            </w:del>
            <w:ins w:id="247" w:author="Author">
              <w:r w:rsidR="000979EA">
                <w:rPr>
                  <w:rStyle w:val="FootnoteReference"/>
                  <w:rFonts w:ascii="Times New Roman" w:hAnsi="Times New Roman"/>
                  <w:sz w:val="20"/>
                  <w:szCs w:val="20"/>
                </w:rPr>
                <w:footnoteReference w:id="4"/>
              </w:r>
            </w:ins>
          </w:p>
          <w:p w:rsidR="00D94D97" w:rsidRPr="00883252" w:rsidRDefault="00D94D97" w:rsidP="00D94D97">
            <w:pPr>
              <w:pStyle w:val="ListParagraph"/>
              <w:numPr>
                <w:ilvl w:val="0"/>
                <w:numId w:val="15"/>
              </w:numPr>
              <w:spacing w:after="200" w:line="276" w:lineRule="auto"/>
              <w:ind w:left="1440"/>
              <w:contextualSpacing/>
              <w:rPr>
                <w:ins w:id="249" w:author="Author"/>
                <w:rFonts w:ascii="Times New Roman" w:hAnsi="Times New Roman"/>
                <w:sz w:val="20"/>
                <w:szCs w:val="20"/>
              </w:rPr>
            </w:pPr>
            <w:ins w:id="250" w:author="Author">
              <w:r w:rsidRPr="00883252">
                <w:rPr>
                  <w:rFonts w:ascii="Times New Roman" w:hAnsi="Times New Roman"/>
                  <w:sz w:val="20"/>
                  <w:szCs w:val="20"/>
                </w:rPr>
                <w:t>Where the iss</w:t>
              </w:r>
              <w:r>
                <w:rPr>
                  <w:rFonts w:ascii="Times New Roman" w:hAnsi="Times New Roman"/>
                  <w:sz w:val="20"/>
                  <w:szCs w:val="20"/>
                </w:rPr>
                <w:t>ue can be attributed to SEM NEMO’s</w:t>
              </w:r>
              <w:r w:rsidRPr="00883252">
                <w:rPr>
                  <w:rFonts w:ascii="Times New Roman" w:hAnsi="Times New Roman"/>
                  <w:sz w:val="20"/>
                  <w:szCs w:val="20"/>
                </w:rPr>
                <w:t xml:space="preserve"> service providers, recovery of costs through liability provisions.</w:t>
              </w:r>
            </w:ins>
          </w:p>
          <w:p w:rsidR="00883252" w:rsidRPr="00883252" w:rsidRDefault="00F55452" w:rsidP="00AC7339">
            <w:pPr>
              <w:pStyle w:val="ListParagraph"/>
              <w:numPr>
                <w:ilvl w:val="0"/>
                <w:numId w:val="15"/>
              </w:numPr>
              <w:spacing w:after="200" w:line="276" w:lineRule="auto"/>
              <w:ind w:left="1440"/>
              <w:contextualSpacing/>
              <w:rPr>
                <w:rFonts w:ascii="Times New Roman" w:hAnsi="Times New Roman"/>
                <w:sz w:val="20"/>
                <w:szCs w:val="20"/>
              </w:rPr>
            </w:pPr>
            <w:r>
              <w:rPr>
                <w:rFonts w:ascii="Times New Roman" w:hAnsi="Times New Roman"/>
                <w:sz w:val="20"/>
                <w:szCs w:val="20"/>
              </w:rPr>
              <w:lastRenderedPageBreak/>
              <w:t>SEM NEMO</w:t>
            </w:r>
            <w:r w:rsidR="00883252" w:rsidRPr="00883252">
              <w:rPr>
                <w:rFonts w:ascii="Times New Roman" w:hAnsi="Times New Roman"/>
                <w:sz w:val="20"/>
                <w:szCs w:val="20"/>
              </w:rPr>
              <w:t xml:space="preserve"> to charge </w:t>
            </w:r>
            <w:r w:rsidR="00E94C59">
              <w:rPr>
                <w:rFonts w:ascii="Times New Roman" w:hAnsi="Times New Roman"/>
                <w:sz w:val="20"/>
                <w:szCs w:val="20"/>
              </w:rPr>
              <w:t xml:space="preserve">all </w:t>
            </w:r>
            <w:r w:rsidR="00883252" w:rsidRPr="00883252">
              <w:rPr>
                <w:rFonts w:ascii="Times New Roman" w:hAnsi="Times New Roman"/>
                <w:sz w:val="20"/>
                <w:szCs w:val="20"/>
              </w:rPr>
              <w:t>other Exchange Members where the costs cannot be recovered from the Exchange Member or the Default Fund.</w:t>
            </w:r>
          </w:p>
          <w:p w:rsidR="00883252" w:rsidRPr="00883252" w:rsidDel="00D94D97" w:rsidRDefault="00883252" w:rsidP="00AC7339">
            <w:pPr>
              <w:pStyle w:val="ListParagraph"/>
              <w:numPr>
                <w:ilvl w:val="0"/>
                <w:numId w:val="15"/>
              </w:numPr>
              <w:spacing w:after="200" w:line="276" w:lineRule="auto"/>
              <w:ind w:left="1440"/>
              <w:contextualSpacing/>
              <w:rPr>
                <w:del w:id="251" w:author="Author"/>
                <w:rFonts w:ascii="Times New Roman" w:hAnsi="Times New Roman"/>
                <w:sz w:val="20"/>
                <w:szCs w:val="20"/>
              </w:rPr>
            </w:pPr>
            <w:del w:id="252" w:author="Author">
              <w:r w:rsidRPr="00883252" w:rsidDel="00D94D97">
                <w:rPr>
                  <w:rFonts w:ascii="Times New Roman" w:hAnsi="Times New Roman"/>
                  <w:sz w:val="20"/>
                  <w:szCs w:val="20"/>
                </w:rPr>
                <w:delText>Where the iss</w:delText>
              </w:r>
              <w:r w:rsidR="00F55452" w:rsidDel="00D94D97">
                <w:rPr>
                  <w:rFonts w:ascii="Times New Roman" w:hAnsi="Times New Roman"/>
                  <w:sz w:val="20"/>
                  <w:szCs w:val="20"/>
                </w:rPr>
                <w:delText>ue can be attributed to SEM NEMO’s</w:delText>
              </w:r>
              <w:r w:rsidRPr="00883252" w:rsidDel="00D94D97">
                <w:rPr>
                  <w:rFonts w:ascii="Times New Roman" w:hAnsi="Times New Roman"/>
                  <w:sz w:val="20"/>
                  <w:szCs w:val="20"/>
                </w:rPr>
                <w:delText xml:space="preserve"> service providers, recovery of costs through liability provisions.</w:delText>
              </w:r>
            </w:del>
          </w:p>
          <w:p w:rsidR="00883252" w:rsidRDefault="00883252" w:rsidP="00AC7339">
            <w:pPr>
              <w:ind w:left="720"/>
            </w:pPr>
            <w:r>
              <w:t>Thus, in order for the bad de</w:t>
            </w:r>
            <w:r w:rsidR="00514A38">
              <w:t>bt to ultimately crystalize</w:t>
            </w:r>
            <w:r>
              <w:t>, all the mitigation</w:t>
            </w:r>
            <w:ins w:id="253" w:author="Author">
              <w:r w:rsidR="00D94D97">
                <w:t xml:space="preserve"> and recover of cost</w:t>
              </w:r>
            </w:ins>
            <w:r>
              <w:t xml:space="preserve"> measures</w:t>
            </w:r>
            <w:r w:rsidR="00CF1D0B">
              <w:t xml:space="preserve"> would have to have failed. As outlined in the </w:t>
            </w:r>
            <w:r>
              <w:t>diagram below</w:t>
            </w:r>
            <w:r w:rsidR="00CF1D0B">
              <w:t>.</w:t>
            </w:r>
          </w:p>
          <w:p w:rsidR="00883252" w:rsidRDefault="00883252" w:rsidP="00883252">
            <w:pPr>
              <w:ind w:left="360"/>
            </w:pPr>
          </w:p>
          <w:p w:rsidR="00883252" w:rsidRDefault="00883252" w:rsidP="00883252">
            <w:pPr>
              <w:ind w:left="360"/>
            </w:pPr>
            <w:r>
              <w:rPr>
                <w:noProof/>
                <w:lang w:eastAsia="en-IE"/>
              </w:rPr>
              <w:drawing>
                <wp:inline distT="0" distB="0" distL="0" distR="0">
                  <wp:extent cx="5486400" cy="320040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83252" w:rsidRDefault="00883252" w:rsidP="00883252">
            <w:pPr>
              <w:ind w:left="360"/>
            </w:pPr>
          </w:p>
          <w:p w:rsidR="00883252" w:rsidDel="00C346DC" w:rsidRDefault="00883252" w:rsidP="00AC7339">
            <w:pPr>
              <w:ind w:left="720"/>
              <w:rPr>
                <w:del w:id="254" w:author="Author"/>
              </w:rPr>
            </w:pPr>
            <w:del w:id="255" w:author="Author">
              <w:r w:rsidDel="00C346DC">
                <w:delText>Note that not all these mitigation measures have been confirmed as implementable at this point in time, but all are being looked at as a suite of mitigation measures to minimise the likelihood of the bad debt situation eventuating.</w:delText>
              </w:r>
            </w:del>
          </w:p>
          <w:p w:rsidR="00883252" w:rsidRDefault="00883252" w:rsidP="00AC7339">
            <w:pPr>
              <w:ind w:left="720"/>
            </w:pPr>
          </w:p>
          <w:p w:rsidR="00883252" w:rsidRPr="00E8000C" w:rsidRDefault="00883252" w:rsidP="00AC7339">
            <w:pPr>
              <w:ind w:left="720"/>
              <w:rPr>
                <w:b/>
              </w:rPr>
            </w:pPr>
            <w:r w:rsidRPr="00E8000C">
              <w:rPr>
                <w:b/>
              </w:rPr>
              <w:t xml:space="preserve">Other Mitigation Measures that were </w:t>
            </w:r>
            <w:r>
              <w:rPr>
                <w:b/>
              </w:rPr>
              <w:t>D</w:t>
            </w:r>
            <w:r w:rsidRPr="00E8000C">
              <w:rPr>
                <w:b/>
              </w:rPr>
              <w:t>ispelled</w:t>
            </w:r>
          </w:p>
          <w:p w:rsidR="00883252" w:rsidRDefault="00883252" w:rsidP="00AC7339">
            <w:pPr>
              <w:ind w:left="720"/>
            </w:pPr>
          </w:p>
          <w:p w:rsidR="00883252" w:rsidRDefault="00883252" w:rsidP="00AC7339">
            <w:pPr>
              <w:ind w:left="720"/>
            </w:pPr>
            <w:r>
              <w:t xml:space="preserve">There were also other measures considered to mitigate the impacts of these </w:t>
            </w:r>
            <w:r w:rsidR="00514A38">
              <w:t xml:space="preserve">invalid Contracted Quantity </w:t>
            </w:r>
            <w:r>
              <w:t xml:space="preserve">scenarios. However, these have not been included as they are seen as inappropriate due to one or more of the following: they result in additional and considerable upfront and continuing costs for Exchange Members to cover a risk that has extremely low probability, the solution may cause major issues with the ongoing viability of the Ex-Ante </w:t>
            </w:r>
            <w:r w:rsidR="00555D41">
              <w:t>M</w:t>
            </w:r>
            <w:r>
              <w:t xml:space="preserve">arkets, or they are not feasible for implementation in the timeframes before I-SEM go-live. </w:t>
            </w:r>
          </w:p>
          <w:p w:rsidR="00883252" w:rsidRDefault="00883252" w:rsidP="00AC7339">
            <w:pPr>
              <w:ind w:left="720"/>
            </w:pPr>
          </w:p>
          <w:p w:rsidR="00883252" w:rsidRDefault="00883252" w:rsidP="00AC7339">
            <w:pPr>
              <w:ind w:left="720"/>
            </w:pPr>
            <w:r>
              <w:t>The measures that were considered</w:t>
            </w:r>
            <w:r w:rsidR="00514A38">
              <w:t>,</w:t>
            </w:r>
            <w:r>
              <w:t xml:space="preserve"> but dispelled were:</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Imposing significant additional collateral requirements on all Exchange Members to cover this risk scenario</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Taking out insurance against these scenarios</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 xml:space="preserve">Increasing </w:t>
            </w:r>
            <w:r w:rsidR="00F55452">
              <w:rPr>
                <w:rFonts w:ascii="Times New Roman" w:hAnsi="Times New Roman"/>
                <w:sz w:val="20"/>
                <w:szCs w:val="20"/>
              </w:rPr>
              <w:t xml:space="preserve">Exchange </w:t>
            </w:r>
            <w:r w:rsidRPr="00883252">
              <w:rPr>
                <w:rFonts w:ascii="Times New Roman" w:hAnsi="Times New Roman"/>
                <w:sz w:val="20"/>
                <w:szCs w:val="20"/>
              </w:rPr>
              <w:t>fees upfront to cover this potential risk</w:t>
            </w:r>
          </w:p>
          <w:p w:rsidR="00883252" w:rsidRPr="00883252" w:rsidRDefault="00883252" w:rsidP="00AC7339">
            <w:pPr>
              <w:pStyle w:val="ListParagraph"/>
              <w:numPr>
                <w:ilvl w:val="0"/>
                <w:numId w:val="16"/>
              </w:numPr>
              <w:spacing w:after="200" w:line="276" w:lineRule="auto"/>
              <w:ind w:left="1440"/>
              <w:contextualSpacing/>
              <w:rPr>
                <w:rFonts w:ascii="Times New Roman" w:hAnsi="Times New Roman"/>
                <w:sz w:val="20"/>
                <w:szCs w:val="20"/>
              </w:rPr>
            </w:pPr>
            <w:r w:rsidRPr="00883252">
              <w:rPr>
                <w:rFonts w:ascii="Times New Roman" w:hAnsi="Times New Roman"/>
                <w:sz w:val="20"/>
                <w:szCs w:val="20"/>
              </w:rPr>
              <w:t xml:space="preserve">Increasing </w:t>
            </w:r>
            <w:r w:rsidR="00F55452">
              <w:rPr>
                <w:rFonts w:ascii="Times New Roman" w:hAnsi="Times New Roman"/>
                <w:sz w:val="20"/>
                <w:szCs w:val="20"/>
              </w:rPr>
              <w:t>Exchange</w:t>
            </w:r>
            <w:r w:rsidRPr="00883252">
              <w:rPr>
                <w:rFonts w:ascii="Times New Roman" w:hAnsi="Times New Roman"/>
                <w:sz w:val="20"/>
                <w:szCs w:val="20"/>
              </w:rPr>
              <w:t xml:space="preserve"> fees after the event occurs to cover the </w:t>
            </w:r>
            <w:proofErr w:type="spellStart"/>
            <w:r w:rsidR="007E1423">
              <w:rPr>
                <w:rFonts w:ascii="Times New Roman" w:hAnsi="Times New Roman"/>
                <w:sz w:val="20"/>
                <w:szCs w:val="20"/>
              </w:rPr>
              <w:t>realis</w:t>
            </w:r>
            <w:r w:rsidR="007E1423" w:rsidRPr="00883252">
              <w:rPr>
                <w:rFonts w:ascii="Times New Roman" w:hAnsi="Times New Roman"/>
                <w:sz w:val="20"/>
                <w:szCs w:val="20"/>
              </w:rPr>
              <w:t>ed</w:t>
            </w:r>
            <w:proofErr w:type="spellEnd"/>
            <w:r w:rsidRPr="00883252">
              <w:rPr>
                <w:rFonts w:ascii="Times New Roman" w:hAnsi="Times New Roman"/>
                <w:sz w:val="20"/>
                <w:szCs w:val="20"/>
              </w:rPr>
              <w:t xml:space="preserve"> residual costs.</w:t>
            </w:r>
          </w:p>
          <w:p w:rsidR="00883252" w:rsidRPr="00C35FF7" w:rsidRDefault="00883252" w:rsidP="00AC7339">
            <w:pPr>
              <w:ind w:left="720"/>
              <w:rPr>
                <w:b/>
              </w:rPr>
            </w:pPr>
            <w:r w:rsidRPr="00C35FF7">
              <w:rPr>
                <w:b/>
              </w:rPr>
              <w:t>Proposed Approach</w:t>
            </w:r>
            <w:r>
              <w:rPr>
                <w:b/>
              </w:rPr>
              <w:t xml:space="preserve"> for Residual Costs</w:t>
            </w:r>
          </w:p>
          <w:p w:rsidR="007E1423" w:rsidRDefault="007E1423" w:rsidP="00AC7339">
            <w:pPr>
              <w:ind w:left="720"/>
            </w:pPr>
          </w:p>
          <w:p w:rsidR="00883252" w:rsidRDefault="00883252" w:rsidP="00AC7339">
            <w:pPr>
              <w:ind w:left="720"/>
            </w:pPr>
            <w:r>
              <w:t xml:space="preserve">Based on the financial and operating model proposed for </w:t>
            </w:r>
            <w:proofErr w:type="spellStart"/>
            <w:r>
              <w:t>SEMOpx</w:t>
            </w:r>
            <w:proofErr w:type="spellEnd"/>
            <w:r>
              <w:t xml:space="preserve"> under regulatory requirements, </w:t>
            </w:r>
            <w:proofErr w:type="spellStart"/>
            <w:r>
              <w:t>SEMOpx</w:t>
            </w:r>
            <w:proofErr w:type="spellEnd"/>
            <w:r>
              <w:t xml:space="preserve"> is not in a position to ultimately backstop the </w:t>
            </w:r>
            <w:r w:rsidR="00514A38">
              <w:t>invalid Contracted Quantity</w:t>
            </w:r>
            <w:r>
              <w:t xml:space="preserve"> costs should they not be recovered by other </w:t>
            </w:r>
            <w:r w:rsidR="00555D41">
              <w:t>mitigation measures</w:t>
            </w:r>
            <w:r>
              <w:t>.</w:t>
            </w:r>
          </w:p>
          <w:p w:rsidR="007E1423" w:rsidRDefault="007E1423" w:rsidP="00AC7339">
            <w:pPr>
              <w:ind w:left="720"/>
            </w:pPr>
          </w:p>
          <w:p w:rsidR="00883252" w:rsidRDefault="00883252" w:rsidP="00AC7339">
            <w:pPr>
              <w:ind w:left="720"/>
            </w:pPr>
            <w:r>
              <w:t xml:space="preserve">Therefore the only plausible solution </w:t>
            </w:r>
            <w:r w:rsidR="00555D41">
              <w:t xml:space="preserve">is </w:t>
            </w:r>
            <w:r>
              <w:t>that</w:t>
            </w:r>
            <w:r w:rsidR="006C6844">
              <w:t xml:space="preserve"> a</w:t>
            </w:r>
            <w:r w:rsidR="00555D41">
              <w:t xml:space="preserve"> </w:t>
            </w:r>
            <w:r w:rsidR="006C6844">
              <w:t>SEM NEMO</w:t>
            </w:r>
            <w:r>
              <w:t xml:space="preserve"> could notify the </w:t>
            </w:r>
            <w:del w:id="256" w:author="Author">
              <w:r w:rsidDel="000979EA">
                <w:delText xml:space="preserve">Balancing Market </w:delText>
              </w:r>
            </w:del>
            <w:ins w:id="257" w:author="Author">
              <w:del w:id="258" w:author="Author">
                <w:r w:rsidR="008F6F3B" w:rsidDel="000979EA">
                  <w:delText xml:space="preserve">Market </w:delText>
                </w:r>
              </w:del>
            </w:ins>
            <w:del w:id="259" w:author="Author">
              <w:r w:rsidDel="000979EA">
                <w:delText>Operator</w:delText>
              </w:r>
            </w:del>
            <w:ins w:id="260" w:author="Author">
              <w:r w:rsidR="000979EA">
                <w:t>SEMO</w:t>
              </w:r>
            </w:ins>
            <w:r>
              <w:t xml:space="preserve"> that the costs of </w:t>
            </w:r>
            <w:r w:rsidR="00514A38">
              <w:t>invalid Contracted Quantity</w:t>
            </w:r>
            <w:r>
              <w:t xml:space="preserve"> cannot be fully recovered and any </w:t>
            </w:r>
            <w:r>
              <w:lastRenderedPageBreak/>
              <w:t>unrecovered costs must be maintained as a bad debt by SEMO Participants.</w:t>
            </w:r>
          </w:p>
          <w:p w:rsidR="004C53E7" w:rsidRPr="00883252" w:rsidRDefault="004C53E7" w:rsidP="00883252">
            <w:pPr>
              <w:rPr>
                <w:rFonts w:cs="Arial"/>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lastRenderedPageBreak/>
              <w:t>Code Objectives Furthered</w:t>
            </w:r>
          </w:p>
          <w:p w:rsidR="004C53E7" w:rsidRPr="004C53E7" w:rsidRDefault="004C53E7" w:rsidP="0015046C">
            <w:pPr>
              <w:jc w:val="center"/>
              <w:rPr>
                <w:rFonts w:ascii="Calibri" w:hAnsi="Calibri" w:cs="Arial"/>
              </w:rPr>
            </w:pPr>
            <w:r w:rsidRPr="004C53E7">
              <w:rPr>
                <w:rFonts w:ascii="Calibri" w:hAnsi="Calibri"/>
                <w:i/>
                <w:spacing w:val="-3"/>
              </w:rPr>
              <w:t>(State</w:t>
            </w:r>
            <w:r w:rsidRPr="004C53E7">
              <w:rPr>
                <w:rFonts w:ascii="Calibri" w:hAnsi="Calibri" w:cs="Arial"/>
                <w:i/>
                <w:iCs/>
              </w:rPr>
              <w:t xml:space="preserve"> the Code Objectives the Proposal furthers, see Section </w:t>
            </w:r>
            <w:r w:rsidR="0015046C">
              <w:rPr>
                <w:rFonts w:ascii="Calibri" w:hAnsi="Calibri" w:cs="Arial"/>
                <w:i/>
                <w:iCs/>
              </w:rPr>
              <w:t>A</w:t>
            </w:r>
            <w:r w:rsidRPr="004C53E7">
              <w:rPr>
                <w:rFonts w:ascii="Calibri" w:hAnsi="Calibri" w:cs="Arial"/>
                <w:i/>
                <w:iCs/>
              </w:rPr>
              <w:t xml:space="preserve"> of T&amp;SC for Code Objectives)</w:t>
            </w:r>
          </w:p>
        </w:tc>
      </w:tr>
      <w:tr w:rsidR="004C53E7" w:rsidRPr="004C53E7" w:rsidTr="00693AA7">
        <w:tc>
          <w:tcPr>
            <w:tcW w:w="9243" w:type="dxa"/>
            <w:gridSpan w:val="6"/>
            <w:vAlign w:val="center"/>
          </w:tcPr>
          <w:p w:rsidR="009D5748" w:rsidRDefault="009D5748" w:rsidP="000F413D"/>
          <w:p w:rsidR="00B67D4B" w:rsidRPr="007E1423" w:rsidRDefault="000F413D" w:rsidP="000F413D">
            <w:r w:rsidRPr="00496263">
              <w:t xml:space="preserve">This Modification proposal aims to further the Code Objectives under TSC Section A.2.1.4, specifically the </w:t>
            </w:r>
            <w:r w:rsidRPr="007E1423">
              <w:t>elements shown in bold below.</w:t>
            </w:r>
          </w:p>
          <w:p w:rsidR="007E1423" w:rsidRPr="007E1423" w:rsidRDefault="007E1423" w:rsidP="000F413D"/>
          <w:p w:rsidR="00B67D4B" w:rsidRPr="007E1423" w:rsidRDefault="00B67D4B" w:rsidP="000F413D">
            <w:r w:rsidRPr="007E1423">
              <w:t xml:space="preserve">(b) to </w:t>
            </w:r>
            <w:r w:rsidRPr="007E1423">
              <w:rPr>
                <w:b/>
              </w:rPr>
              <w:t>facilitate the efficient, economic and coordinated operation</w:t>
            </w:r>
            <w:r w:rsidRPr="007E1423">
              <w:t>, administration</w:t>
            </w:r>
          </w:p>
          <w:p w:rsidR="00B67D4B" w:rsidRPr="007E1423" w:rsidRDefault="00B67D4B" w:rsidP="000F413D">
            <w:pPr>
              <w:rPr>
                <w:b/>
              </w:rPr>
            </w:pPr>
            <w:r w:rsidRPr="007E1423">
              <w:t xml:space="preserve">and development of the Single Electricity Market </w:t>
            </w:r>
            <w:r w:rsidRPr="007E1423">
              <w:rPr>
                <w:b/>
              </w:rPr>
              <w:t>in a financially secure</w:t>
            </w:r>
          </w:p>
          <w:p w:rsidR="00B67D4B" w:rsidRPr="007E1423" w:rsidRDefault="00B67D4B" w:rsidP="000F413D">
            <w:pPr>
              <w:rPr>
                <w:b/>
              </w:rPr>
            </w:pPr>
            <w:r w:rsidRPr="007E1423">
              <w:rPr>
                <w:b/>
              </w:rPr>
              <w:t>manner;</w:t>
            </w:r>
          </w:p>
          <w:p w:rsidR="00496263" w:rsidRPr="007E1423" w:rsidRDefault="00496263" w:rsidP="000F413D">
            <w:r w:rsidRPr="007E1423">
              <w:rPr>
                <w:b/>
              </w:rPr>
              <w:t xml:space="preserve">(c) </w:t>
            </w:r>
            <w:r w:rsidRPr="007E1423">
              <w:t xml:space="preserve">to </w:t>
            </w:r>
            <w:r w:rsidRPr="007E1423">
              <w:rPr>
                <w:b/>
              </w:rPr>
              <w:t>facilitate the participation of electricity undertakings engaged in the generation, supply or sale of electricity</w:t>
            </w:r>
            <w:r w:rsidRPr="007E1423">
              <w:t xml:space="preserve"> in the trading arrangements under the Single Electricity Market;</w:t>
            </w:r>
          </w:p>
          <w:p w:rsidR="00B67D4B" w:rsidRPr="007E1423" w:rsidRDefault="00B67D4B" w:rsidP="000F413D">
            <w:r w:rsidRPr="007E1423">
              <w:t xml:space="preserve">(e) to </w:t>
            </w:r>
            <w:r w:rsidRPr="007E1423">
              <w:rPr>
                <w:b/>
              </w:rPr>
              <w:t>provide transparency in the operation</w:t>
            </w:r>
            <w:r w:rsidRPr="007E1423">
              <w:t xml:space="preserve"> of the Single Electricity Market;</w:t>
            </w:r>
          </w:p>
          <w:p w:rsidR="00496263" w:rsidRPr="007E1423" w:rsidRDefault="00496263" w:rsidP="00496263">
            <w:pPr>
              <w:pStyle w:val="Default"/>
              <w:rPr>
                <w:rFonts w:ascii="Times New Roman" w:hAnsi="Times New Roman" w:cs="Times New Roman"/>
                <w:sz w:val="20"/>
                <w:szCs w:val="20"/>
              </w:rPr>
            </w:pPr>
            <w:r w:rsidRPr="007E1423">
              <w:rPr>
                <w:rFonts w:ascii="Times New Roman" w:hAnsi="Times New Roman" w:cs="Times New Roman"/>
                <w:sz w:val="20"/>
                <w:szCs w:val="20"/>
              </w:rPr>
              <w:t xml:space="preserve">(g) to </w:t>
            </w:r>
            <w:r w:rsidRPr="007E1423">
              <w:rPr>
                <w:rFonts w:ascii="Times New Roman" w:hAnsi="Times New Roman" w:cs="Times New Roman"/>
                <w:b/>
                <w:sz w:val="20"/>
                <w:szCs w:val="20"/>
              </w:rPr>
              <w:t>promote the short-term and long-term interests of consumers of electricity on the island of Ireland with respect to price</w:t>
            </w:r>
            <w:r w:rsidRPr="007E1423">
              <w:rPr>
                <w:rFonts w:ascii="Times New Roman" w:hAnsi="Times New Roman" w:cs="Times New Roman"/>
                <w:sz w:val="20"/>
                <w:szCs w:val="20"/>
              </w:rPr>
              <w:t xml:space="preserve">, quality, reliability, and security of supply of electricity. </w:t>
            </w:r>
          </w:p>
          <w:p w:rsidR="004C53E7" w:rsidRPr="004C53E7" w:rsidRDefault="004C53E7" w:rsidP="000F413D">
            <w:pPr>
              <w:rPr>
                <w:rFonts w:ascii="Calibri" w:hAnsi="Calibri" w:cs="Arial"/>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rPr>
            </w:pPr>
            <w:r w:rsidRPr="004C53E7">
              <w:rPr>
                <w:rFonts w:ascii="Calibri" w:hAnsi="Calibri" w:cs="Arial"/>
                <w:b/>
                <w:bCs/>
              </w:rPr>
              <w:t>Implication of not implementing the Modification Proposal</w:t>
            </w:r>
          </w:p>
          <w:p w:rsidR="004C53E7" w:rsidRPr="004C53E7" w:rsidRDefault="004C53E7" w:rsidP="00D74B02">
            <w:pPr>
              <w:jc w:val="center"/>
              <w:rPr>
                <w:rFonts w:ascii="Calibri" w:hAnsi="Calibri" w:cs="Arial"/>
                <w:b/>
                <w:bCs/>
              </w:rPr>
            </w:pPr>
            <w:r w:rsidRPr="004C53E7">
              <w:rPr>
                <w:rFonts w:ascii="Calibri" w:hAnsi="Calibri" w:cs="Arial"/>
                <w:i/>
                <w:iCs/>
              </w:rPr>
              <w:t>(State the possible outcomes should the Modification Proposal not be implemented</w:t>
            </w:r>
            <w:r w:rsidRPr="004C53E7">
              <w:rPr>
                <w:rFonts w:ascii="Calibri" w:hAnsi="Calibri" w:cs="Arial"/>
                <w:i/>
                <w:lang w:eastAsia="en-US"/>
              </w:rPr>
              <w:t>)</w:t>
            </w:r>
          </w:p>
        </w:tc>
      </w:tr>
      <w:tr w:rsidR="004C53E7" w:rsidRPr="004C53E7" w:rsidTr="00693AA7">
        <w:tc>
          <w:tcPr>
            <w:tcW w:w="9243" w:type="dxa"/>
            <w:gridSpan w:val="6"/>
            <w:vAlign w:val="center"/>
          </w:tcPr>
          <w:p w:rsidR="009D5748" w:rsidRDefault="009D5748" w:rsidP="009D5748">
            <w:pPr>
              <w:rPr>
                <w:lang w:val="en-US" w:eastAsia="en-US"/>
              </w:rPr>
            </w:pPr>
          </w:p>
          <w:p w:rsidR="004C53E7" w:rsidRDefault="00001773" w:rsidP="009D5748">
            <w:pPr>
              <w:rPr>
                <w:lang w:val="en-US" w:eastAsia="en-US"/>
              </w:rPr>
            </w:pPr>
            <w:r w:rsidRPr="00496263">
              <w:rPr>
                <w:lang w:val="en-US" w:eastAsia="en-US"/>
              </w:rPr>
              <w:t xml:space="preserve">The implications of not implementing </w:t>
            </w:r>
            <w:r w:rsidR="00883252" w:rsidRPr="00496263">
              <w:rPr>
                <w:lang w:val="en-US" w:eastAsia="en-US"/>
              </w:rPr>
              <w:t>this modification proposal is that liability</w:t>
            </w:r>
            <w:r w:rsidR="007E1423">
              <w:rPr>
                <w:lang w:val="en-US" w:eastAsia="en-US"/>
              </w:rPr>
              <w:t xml:space="preserve"> clauses related to the </w:t>
            </w:r>
            <w:proofErr w:type="spellStart"/>
            <w:r w:rsidR="007E1423">
              <w:rPr>
                <w:lang w:val="en-US" w:eastAsia="en-US"/>
              </w:rPr>
              <w:t>SEMOpx</w:t>
            </w:r>
            <w:proofErr w:type="spellEnd"/>
            <w:r w:rsidR="007E1423">
              <w:rPr>
                <w:lang w:val="en-US" w:eastAsia="en-US"/>
              </w:rPr>
              <w:t xml:space="preserve"> R</w:t>
            </w:r>
            <w:r w:rsidR="00883252" w:rsidRPr="00496263">
              <w:rPr>
                <w:lang w:val="en-US" w:eastAsia="en-US"/>
              </w:rPr>
              <w:t>ules</w:t>
            </w:r>
            <w:r w:rsidR="009D5748">
              <w:rPr>
                <w:lang w:val="en-US" w:eastAsia="en-US"/>
              </w:rPr>
              <w:t xml:space="preserve"> will not be able to </w:t>
            </w:r>
            <w:ins w:id="261" w:author="Author">
              <w:r w:rsidR="008F6F3B">
                <w:rPr>
                  <w:lang w:val="en-US" w:eastAsia="en-US"/>
                </w:rPr>
                <w:t xml:space="preserve">be </w:t>
              </w:r>
            </w:ins>
            <w:r w:rsidR="009D5748">
              <w:rPr>
                <w:lang w:val="en-US" w:eastAsia="en-US"/>
              </w:rPr>
              <w:t>agreed and Exchange Members will not be willing</w:t>
            </w:r>
            <w:r w:rsidR="00AF57DC">
              <w:rPr>
                <w:lang w:val="en-US" w:eastAsia="en-US"/>
              </w:rPr>
              <w:t>, without these clauses known,</w:t>
            </w:r>
            <w:r w:rsidR="009D5748">
              <w:rPr>
                <w:lang w:val="en-US" w:eastAsia="en-US"/>
              </w:rPr>
              <w:t xml:space="preserve"> to sign the Exchange Member Agreement to facilitate trading in the I-SEM Ex-Ante Markets.</w:t>
            </w:r>
          </w:p>
          <w:p w:rsidR="009D5748" w:rsidRPr="009D5748" w:rsidRDefault="009D5748" w:rsidP="009D5748">
            <w:pPr>
              <w:rPr>
                <w:lang w:val="en-US" w:eastAsia="en-US"/>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t>Working Group</w:t>
            </w:r>
          </w:p>
          <w:p w:rsidR="004C53E7" w:rsidRPr="004C53E7" w:rsidRDefault="004C53E7" w:rsidP="00D74B02">
            <w:pPr>
              <w:jc w:val="center"/>
              <w:rPr>
                <w:rFonts w:ascii="Calibri" w:hAnsi="Calibri" w:cs="Arial"/>
                <w:i/>
                <w:iCs/>
              </w:rPr>
            </w:pPr>
            <w:r w:rsidRPr="004C53E7">
              <w:rPr>
                <w:rFonts w:ascii="Calibri" w:hAnsi="Calibri" w:cs="Arial"/>
                <w:i/>
                <w:iCs/>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rPr>
            </w:pPr>
            <w:r w:rsidRPr="004C53E7">
              <w:rPr>
                <w:rFonts w:ascii="Calibri" w:hAnsi="Calibri" w:cs="Arial"/>
                <w:b/>
                <w:bCs/>
                <w:iCs/>
              </w:rPr>
              <w:t>Impacts</w:t>
            </w:r>
          </w:p>
          <w:p w:rsidR="004C53E7" w:rsidRPr="004C53E7" w:rsidRDefault="004C53E7" w:rsidP="00D74B02">
            <w:pPr>
              <w:jc w:val="center"/>
              <w:rPr>
                <w:rFonts w:ascii="Calibri" w:hAnsi="Calibri" w:cs="Arial"/>
                <w:b/>
                <w:bCs/>
                <w:iCs/>
              </w:rPr>
            </w:pPr>
            <w:r w:rsidRPr="004C53E7">
              <w:rPr>
                <w:rFonts w:ascii="Calibri" w:hAnsi="Calibri" w:cs="Arial"/>
                <w:i/>
              </w:rPr>
              <w:t>(Indicate the impacts on systems, resources, processes and/or procedures</w:t>
            </w:r>
            <w:r w:rsidR="00AB3AF3">
              <w:rPr>
                <w:rFonts w:ascii="Calibri" w:hAnsi="Calibri" w:cs="Arial"/>
                <w:i/>
              </w:rPr>
              <w:t>; also indicate impa</w:t>
            </w:r>
            <w:r w:rsidR="00E04976">
              <w:rPr>
                <w:rFonts w:ascii="Calibri" w:hAnsi="Calibri" w:cs="Arial"/>
                <w:i/>
              </w:rPr>
              <w:t>c</w:t>
            </w:r>
            <w:r w:rsidR="00AB3AF3">
              <w:rPr>
                <w:rFonts w:ascii="Calibri" w:hAnsi="Calibri" w:cs="Arial"/>
                <w:i/>
              </w:rPr>
              <w:t xml:space="preserve">ts on any other Market Code such as Capacity Marker Code, </w:t>
            </w:r>
            <w:r w:rsidR="005B7695">
              <w:rPr>
                <w:rFonts w:ascii="Calibri" w:hAnsi="Calibri" w:cs="Arial"/>
                <w:i/>
              </w:rPr>
              <w:t xml:space="preserve">Grid Code, </w:t>
            </w:r>
            <w:r w:rsidR="00D74B02">
              <w:rPr>
                <w:rFonts w:ascii="Calibri" w:hAnsi="Calibri" w:cs="Arial"/>
                <w:i/>
              </w:rPr>
              <w:t>Exchange</w:t>
            </w:r>
            <w:r w:rsidR="00AB3AF3">
              <w:rPr>
                <w:rFonts w:ascii="Calibri" w:hAnsi="Calibri" w:cs="Arial"/>
                <w:i/>
              </w:rPr>
              <w:t xml:space="preserve"> </w:t>
            </w:r>
            <w:r w:rsidR="005B7695">
              <w:rPr>
                <w:rFonts w:ascii="Calibri" w:hAnsi="Calibri" w:cs="Arial"/>
                <w:i/>
              </w:rPr>
              <w:t>Rules</w:t>
            </w:r>
            <w:r w:rsidR="00D74B02">
              <w:rPr>
                <w:rFonts w:ascii="Calibri" w:hAnsi="Calibri" w:cs="Arial"/>
                <w:i/>
              </w:rPr>
              <w:t xml:space="preserve"> etc</w:t>
            </w:r>
            <w:r w:rsidR="00AB3AF3">
              <w:rPr>
                <w:rFonts w:ascii="Calibri" w:hAnsi="Calibri" w:cs="Arial"/>
                <w:i/>
              </w:rPr>
              <w:t>.</w:t>
            </w:r>
            <w:r w:rsidRPr="004C53E7">
              <w:rPr>
                <w:rFonts w:ascii="Calibri" w:hAnsi="Calibri" w:cs="Arial"/>
                <w:i/>
              </w:rPr>
              <w:t>)</w:t>
            </w:r>
          </w:p>
          <w:p w:rsidR="004C53E7" w:rsidRPr="004C53E7" w:rsidRDefault="004C53E7" w:rsidP="00D74B02">
            <w:pPr>
              <w:jc w:val="center"/>
              <w:rPr>
                <w:rFonts w:ascii="Calibri" w:hAnsi="Calibri" w:cs="Arial"/>
                <w:b/>
                <w:bCs/>
                <w:iCs/>
              </w:rPr>
            </w:pPr>
          </w:p>
        </w:tc>
      </w:tr>
      <w:tr w:rsidR="004C53E7" w:rsidRPr="004C53E7" w:rsidDel="00404964" w:rsidTr="00883252">
        <w:trPr>
          <w:trHeight w:val="507"/>
        </w:trPr>
        <w:tc>
          <w:tcPr>
            <w:tcW w:w="4621" w:type="dxa"/>
            <w:gridSpan w:val="3"/>
          </w:tcPr>
          <w:p w:rsidR="009D5748" w:rsidRPr="009D5748" w:rsidDel="00404964" w:rsidRDefault="00001773" w:rsidP="00514A38">
            <w:pPr>
              <w:rPr>
                <w:lang w:val="en-US" w:eastAsia="en-US"/>
              </w:rPr>
            </w:pPr>
            <w:r w:rsidRPr="00883252">
              <w:rPr>
                <w:lang w:val="en-US" w:eastAsia="en-US"/>
              </w:rPr>
              <w:t>Given</w:t>
            </w:r>
            <w:r w:rsidR="00BD4492" w:rsidRPr="00883252">
              <w:rPr>
                <w:lang w:val="en-US" w:eastAsia="en-US"/>
              </w:rPr>
              <w:t>:</w:t>
            </w:r>
            <w:r w:rsidRPr="00883252">
              <w:rPr>
                <w:lang w:val="en-US" w:eastAsia="en-US"/>
              </w:rPr>
              <w:t xml:space="preserve"> the limited </w:t>
            </w:r>
            <w:r w:rsidR="00BD4492" w:rsidRPr="00883252">
              <w:rPr>
                <w:lang w:val="en-US" w:eastAsia="en-US"/>
              </w:rPr>
              <w:t xml:space="preserve">time </w:t>
            </w:r>
            <w:r w:rsidRPr="00883252">
              <w:rPr>
                <w:lang w:val="en-US" w:eastAsia="en-US"/>
              </w:rPr>
              <w:t>available</w:t>
            </w:r>
            <w:r w:rsidR="00BD4492" w:rsidRPr="00883252">
              <w:rPr>
                <w:lang w:val="en-US" w:eastAsia="en-US"/>
              </w:rPr>
              <w:t xml:space="preserve">, in order to provide clarity and certainty to </w:t>
            </w:r>
            <w:r w:rsidR="00883252" w:rsidRPr="00883252">
              <w:rPr>
                <w:lang w:val="en-US" w:eastAsia="en-US"/>
              </w:rPr>
              <w:t xml:space="preserve">Exchange Members and </w:t>
            </w:r>
            <w:r w:rsidR="00BD4492" w:rsidRPr="00883252">
              <w:rPr>
                <w:lang w:val="en-US" w:eastAsia="en-US"/>
              </w:rPr>
              <w:t xml:space="preserve">Participants about the </w:t>
            </w:r>
            <w:r w:rsidR="00883252" w:rsidRPr="00883252">
              <w:rPr>
                <w:lang w:val="en-US" w:eastAsia="en-US"/>
              </w:rPr>
              <w:t xml:space="preserve">recovery of costs related to </w:t>
            </w:r>
            <w:r w:rsidR="00514A38">
              <w:rPr>
                <w:lang w:val="en-US" w:eastAsia="en-US"/>
              </w:rPr>
              <w:t xml:space="preserve">invalid Contracted Quantities, </w:t>
            </w:r>
            <w:r w:rsidRPr="00883252">
              <w:rPr>
                <w:lang w:val="en-US" w:eastAsia="en-US"/>
              </w:rPr>
              <w:t xml:space="preserve">it is proposed that the focus be on using this proposal as a basis for the </w:t>
            </w:r>
            <w:r w:rsidR="00BD4492" w:rsidRPr="00883252">
              <w:rPr>
                <w:lang w:val="en-US" w:eastAsia="en-US"/>
              </w:rPr>
              <w:t xml:space="preserve">final </w:t>
            </w:r>
            <w:r w:rsidRPr="00883252">
              <w:rPr>
                <w:lang w:val="en-US" w:eastAsia="en-US"/>
              </w:rPr>
              <w:t xml:space="preserve">modification with any amendments </w:t>
            </w:r>
            <w:r w:rsidR="00BD4492" w:rsidRPr="00883252">
              <w:rPr>
                <w:lang w:val="en-US" w:eastAsia="en-US"/>
              </w:rPr>
              <w:t>being made to</w:t>
            </w:r>
            <w:r w:rsidRPr="00883252">
              <w:rPr>
                <w:lang w:val="en-US" w:eastAsia="en-US"/>
              </w:rPr>
              <w:t xml:space="preserve"> the proposal rather </w:t>
            </w:r>
            <w:r w:rsidR="00BD4492" w:rsidRPr="00883252">
              <w:rPr>
                <w:lang w:val="en-US" w:eastAsia="en-US"/>
              </w:rPr>
              <w:t xml:space="preserve">considering a number of alternatives from scratch which may take considerably more time, effort and may </w:t>
            </w:r>
            <w:r w:rsidR="007E1423" w:rsidRPr="00883252">
              <w:rPr>
                <w:lang w:val="en-US" w:eastAsia="en-US"/>
              </w:rPr>
              <w:t>jeopardize</w:t>
            </w:r>
            <w:r w:rsidR="00BD4492" w:rsidRPr="00883252">
              <w:rPr>
                <w:lang w:val="en-US" w:eastAsia="en-US"/>
              </w:rPr>
              <w:t xml:space="preserve"> the readiness of the market for I-SEM go-live</w:t>
            </w:r>
            <w:r w:rsidR="00883252" w:rsidRPr="00883252">
              <w:rPr>
                <w:lang w:val="en-US" w:eastAsia="en-US"/>
              </w:rPr>
              <w:t>.</w:t>
            </w:r>
          </w:p>
        </w:tc>
        <w:tc>
          <w:tcPr>
            <w:tcW w:w="4622" w:type="dxa"/>
            <w:gridSpan w:val="3"/>
          </w:tcPr>
          <w:p w:rsidR="00001773" w:rsidRPr="00883252" w:rsidDel="00404964" w:rsidRDefault="00883252" w:rsidP="00F55452">
            <w:pPr>
              <w:rPr>
                <w:rFonts w:cs="Arial"/>
              </w:rPr>
            </w:pPr>
            <w:r>
              <w:rPr>
                <w:rFonts w:cs="Arial"/>
              </w:rPr>
              <w:t xml:space="preserve">The outcome of this modification proposal will have implications </w:t>
            </w:r>
            <w:r w:rsidR="002706D5">
              <w:rPr>
                <w:rFonts w:cs="Arial"/>
              </w:rPr>
              <w:t>on</w:t>
            </w:r>
            <w:r>
              <w:rPr>
                <w:rFonts w:cs="Arial"/>
              </w:rPr>
              <w:t xml:space="preserve"> </w:t>
            </w:r>
            <w:r w:rsidR="00F55452">
              <w:rPr>
                <w:rFonts w:cs="Arial"/>
              </w:rPr>
              <w:t>SEM NEMO</w:t>
            </w:r>
            <w:r>
              <w:rPr>
                <w:rFonts w:cs="Arial"/>
              </w:rPr>
              <w:t xml:space="preserve"> Rules.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rPr>
            </w:pPr>
            <w:r w:rsidRPr="004C53E7">
              <w:rPr>
                <w:rFonts w:ascii="Calibri" w:hAnsi="Calibri" w:cs="Arial"/>
                <w:b/>
                <w:bCs/>
                <w:i/>
                <w:iCs/>
              </w:rPr>
              <w:t xml:space="preserve">Please return this form to Secretariat by email to </w:t>
            </w:r>
            <w:hyperlink r:id="rId22" w:history="1">
              <w:r w:rsidRPr="004C53E7">
                <w:rPr>
                  <w:rStyle w:val="Hyperlink"/>
                  <w:rFonts w:ascii="Calibri" w:hAnsi="Calibri" w:cs="Arial"/>
                  <w:b/>
                  <w:bCs/>
                  <w:i/>
                  <w:iCs/>
                </w:rPr>
                <w:t>modifications@sem-o.com</w:t>
              </w:r>
            </w:hyperlink>
          </w:p>
        </w:tc>
      </w:tr>
    </w:tbl>
    <w:p w:rsidR="004C53E7" w:rsidRDefault="004C53E7"/>
    <w:p w:rsidR="004C53E7" w:rsidRPr="00730E18" w:rsidRDefault="004C53E7" w:rsidP="00730E18">
      <w:pPr>
        <w:pStyle w:val="Subtitle"/>
        <w:rPr>
          <w:rFonts w:ascii="Arial" w:hAnsi="Arial" w:cs="Arial"/>
          <w:b/>
          <w:color w:val="auto"/>
          <w:sz w:val="16"/>
          <w:szCs w:val="16"/>
        </w:rPr>
      </w:pPr>
      <w:r>
        <w:rPr>
          <w:rFonts w:ascii="Arial" w:hAnsi="Arial" w:cs="Arial"/>
          <w:b/>
          <w:sz w:val="16"/>
          <w:szCs w:val="16"/>
        </w:rPr>
        <w:br w:type="page"/>
      </w:r>
      <w:r w:rsidR="00730E18" w:rsidRPr="00730E18">
        <w:rPr>
          <w:rFonts w:ascii="Arial" w:hAnsi="Arial" w:cs="Arial"/>
          <w:b/>
          <w:color w:val="auto"/>
          <w:sz w:val="16"/>
          <w:szCs w:val="16"/>
        </w:rPr>
        <w:lastRenderedPageBreak/>
        <w:t xml:space="preserve"> </w:t>
      </w: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4C53E7" w:rsidRPr="004C53E7" w:rsidRDefault="004C53E7" w:rsidP="004C53E7">
      <w:pPr>
        <w:jc w:val="both"/>
        <w:rPr>
          <w:rFonts w:ascii="Arial" w:hAnsi="Arial" w:cs="Arial"/>
          <w:b/>
          <w:sz w:val="16"/>
          <w:szCs w:val="16"/>
        </w:rPr>
      </w:pPr>
    </w:p>
    <w:p w:rsidR="004C53E7" w:rsidRPr="004C53E7" w:rsidRDefault="004C53E7" w:rsidP="004C53E7">
      <w:pPr>
        <w:ind w:left="2880" w:hanging="2160"/>
        <w:jc w:val="both"/>
        <w:rPr>
          <w:rFonts w:ascii="Arial" w:hAnsi="Arial" w:cs="Arial"/>
          <w:b/>
          <w:sz w:val="16"/>
          <w:szCs w:val="16"/>
        </w:rPr>
      </w:pPr>
      <w:r w:rsidRPr="004C53E7">
        <w:rPr>
          <w:rFonts w:ascii="Arial" w:hAnsi="Arial" w:cs="Arial"/>
          <w:b/>
          <w:sz w:val="16"/>
          <w:szCs w:val="16"/>
        </w:rPr>
        <w:t>Agreed Procedure(s):</w:t>
      </w:r>
      <w:r w:rsidRPr="004C53E7">
        <w:rPr>
          <w:rFonts w:ascii="Arial" w:hAnsi="Arial" w:cs="Arial"/>
          <w:b/>
          <w:sz w:val="16"/>
          <w:szCs w:val="16"/>
        </w:rPr>
        <w:tab/>
        <w:t xml:space="preserve">means the detailed procedures to be followed by Parties in performing their obligations and functions under the Code as listed in </w:t>
      </w:r>
      <w:r w:rsidR="00E04976">
        <w:rPr>
          <w:rFonts w:ascii="Arial" w:hAnsi="Arial" w:cs="Arial"/>
          <w:b/>
          <w:sz w:val="16"/>
          <w:szCs w:val="16"/>
        </w:rPr>
        <w:t xml:space="preserve">either Part A or Part B </w:t>
      </w:r>
      <w:r w:rsidRPr="004C53E7">
        <w:rPr>
          <w:rFonts w:ascii="Arial" w:hAnsi="Arial" w:cs="Arial"/>
          <w:b/>
          <w:sz w:val="16"/>
          <w:szCs w:val="16"/>
        </w:rPr>
        <w:t>Appendix D “List of Agreed Procedures”.</w:t>
      </w:r>
      <w:r w:rsidR="00AB3AF3">
        <w:rPr>
          <w:rFonts w:ascii="Arial" w:hAnsi="Arial" w:cs="Arial"/>
          <w:b/>
          <w:sz w:val="16"/>
          <w:szCs w:val="16"/>
        </w:rPr>
        <w:t xml:space="preserve"> The Proposer will need to specify whether the Agre</w:t>
      </w:r>
      <w:r w:rsidR="00E04976">
        <w:rPr>
          <w:rFonts w:ascii="Arial" w:hAnsi="Arial" w:cs="Arial"/>
          <w:b/>
          <w:sz w:val="16"/>
          <w:szCs w:val="16"/>
        </w:rPr>
        <w:t>ed Procedure to  modify refers to Part A,</w:t>
      </w:r>
      <w:r w:rsidR="00AB3AF3">
        <w:rPr>
          <w:rFonts w:ascii="Arial" w:hAnsi="Arial" w:cs="Arial"/>
          <w:b/>
          <w:sz w:val="16"/>
          <w:szCs w:val="16"/>
        </w:rPr>
        <w:t xml:space="preserve"> Part B</w:t>
      </w:r>
      <w:r w:rsidR="00E04976">
        <w:rPr>
          <w:rFonts w:ascii="Arial" w:hAnsi="Arial" w:cs="Arial"/>
          <w:b/>
          <w:sz w:val="16"/>
          <w:szCs w:val="16"/>
        </w:rPr>
        <w:t xml:space="preserve"> or both</w:t>
      </w:r>
      <w:r w:rsidR="00AB3AF3">
        <w:rPr>
          <w:rFonts w:ascii="Arial" w:hAnsi="Arial" w:cs="Arial"/>
          <w:b/>
          <w:sz w:val="16"/>
          <w:szCs w:val="16"/>
        </w:rPr>
        <w:t>.</w:t>
      </w:r>
    </w:p>
    <w:p w:rsidR="004C53E7" w:rsidRPr="004C53E7" w:rsidRDefault="004C53E7" w:rsidP="004C53E7">
      <w:pPr>
        <w:ind w:left="2880" w:hanging="2160"/>
        <w:jc w:val="both"/>
        <w:rPr>
          <w:rFonts w:ascii="Arial" w:hAnsi="Arial" w:cs="Arial"/>
          <w:b/>
          <w:sz w:val="16"/>
          <w:szCs w:val="16"/>
        </w:rPr>
      </w:pPr>
      <w:r w:rsidRPr="004C53E7">
        <w:rPr>
          <w:rFonts w:ascii="Arial" w:hAnsi="Arial" w:cs="Arial"/>
          <w:b/>
          <w:sz w:val="16"/>
          <w:szCs w:val="16"/>
        </w:rPr>
        <w:t>T&amp;SC / Code:</w:t>
      </w:r>
      <w:r w:rsidRPr="004C53E7">
        <w:rPr>
          <w:rFonts w:ascii="Arial" w:hAnsi="Arial" w:cs="Arial"/>
          <w:b/>
          <w:sz w:val="16"/>
          <w:szCs w:val="16"/>
        </w:rPr>
        <w:tab/>
        <w:t>means the Trading and Settlement Code for the Single Electricity Market</w:t>
      </w:r>
      <w:r w:rsidR="00AB3AF3">
        <w:rPr>
          <w:rFonts w:ascii="Arial" w:hAnsi="Arial" w:cs="Arial"/>
          <w:b/>
          <w:sz w:val="16"/>
          <w:szCs w:val="16"/>
        </w:rPr>
        <w:t>. The Proposer will a</w:t>
      </w:r>
      <w:r w:rsidR="00E04976">
        <w:rPr>
          <w:rFonts w:ascii="Arial" w:hAnsi="Arial" w:cs="Arial"/>
          <w:b/>
          <w:sz w:val="16"/>
          <w:szCs w:val="16"/>
        </w:rPr>
        <w:t>lso need to specify whether all Part A, Part B,</w:t>
      </w:r>
      <w:r w:rsidR="00AB3AF3">
        <w:rPr>
          <w:rFonts w:ascii="Arial" w:hAnsi="Arial" w:cs="Arial"/>
          <w:b/>
          <w:sz w:val="16"/>
          <w:szCs w:val="16"/>
        </w:rPr>
        <w:t xml:space="preserve"> Part C </w:t>
      </w:r>
      <w:r w:rsidR="00E04976">
        <w:rPr>
          <w:rFonts w:ascii="Arial" w:hAnsi="Arial" w:cs="Arial"/>
          <w:b/>
          <w:sz w:val="16"/>
          <w:szCs w:val="16"/>
        </w:rPr>
        <w:t xml:space="preserve">of the Code or a subset of these, are </w:t>
      </w:r>
      <w:r w:rsidR="00AB3AF3">
        <w:rPr>
          <w:rFonts w:ascii="Arial" w:hAnsi="Arial" w:cs="Arial"/>
          <w:b/>
          <w:sz w:val="16"/>
          <w:szCs w:val="16"/>
        </w:rPr>
        <w:t xml:space="preserve">affected by the </w:t>
      </w:r>
      <w:r w:rsidR="00E04976">
        <w:rPr>
          <w:rFonts w:ascii="Arial" w:hAnsi="Arial" w:cs="Arial"/>
          <w:b/>
          <w:sz w:val="16"/>
          <w:szCs w:val="16"/>
        </w:rPr>
        <w:t xml:space="preserve">proposed </w:t>
      </w:r>
      <w:r w:rsidR="00AB3AF3">
        <w:rPr>
          <w:rFonts w:ascii="Arial" w:hAnsi="Arial" w:cs="Arial"/>
          <w:b/>
          <w:sz w:val="16"/>
          <w:szCs w:val="16"/>
        </w:rPr>
        <w:t>Modification;</w:t>
      </w:r>
    </w:p>
    <w:p w:rsidR="004C53E7" w:rsidRPr="004C53E7" w:rsidRDefault="004C53E7" w:rsidP="004C53E7">
      <w:pPr>
        <w:ind w:left="2880" w:hanging="2166"/>
        <w:jc w:val="both"/>
        <w:rPr>
          <w:rFonts w:ascii="Arial" w:hAnsi="Arial" w:cs="Arial"/>
          <w:b/>
          <w:sz w:val="16"/>
          <w:szCs w:val="16"/>
        </w:rPr>
      </w:pPr>
      <w:r w:rsidRPr="004C53E7">
        <w:rPr>
          <w:rFonts w:ascii="Arial" w:hAnsi="Arial" w:cs="Arial"/>
          <w:b/>
          <w:sz w:val="16"/>
          <w:szCs w:val="16"/>
        </w:rPr>
        <w:t>Modification Proposal:</w:t>
      </w:r>
      <w:r w:rsidRPr="004C53E7">
        <w:rPr>
          <w:rFonts w:ascii="Arial" w:hAnsi="Arial" w:cs="Arial"/>
          <w:b/>
          <w:sz w:val="16"/>
          <w:szCs w:val="16"/>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rPr>
      </w:pPr>
      <w:r w:rsidRPr="004C53E7">
        <w:rPr>
          <w:rFonts w:ascii="Arial" w:hAnsi="Arial" w:cs="Arial"/>
          <w:b/>
          <w:sz w:val="16"/>
          <w:szCs w:val="16"/>
        </w:rPr>
        <w:t>Derivative Work:</w:t>
      </w:r>
      <w:r w:rsidRPr="004C53E7">
        <w:rPr>
          <w:rFonts w:ascii="Arial" w:hAnsi="Arial" w:cs="Arial"/>
          <w:b/>
          <w:sz w:val="16"/>
          <w:szCs w:val="16"/>
        </w:rPr>
        <w:tab/>
        <w:t>means any text or work which incorporates or contains all or part of the Modification Proposal or any adaptation, abridgement, expansion or other modification of the Modification Proposal</w:t>
      </w:r>
    </w:p>
    <w:p w:rsidR="004C53E7" w:rsidRPr="004C53E7" w:rsidRDefault="004C53E7" w:rsidP="004C53E7">
      <w:pPr>
        <w:jc w:val="both"/>
        <w:rPr>
          <w:rFonts w:ascii="Arial" w:hAnsi="Arial" w:cs="Arial"/>
          <w:b/>
          <w:sz w:val="16"/>
          <w:szCs w:val="16"/>
        </w:rPr>
      </w:pPr>
    </w:p>
    <w:p w:rsidR="004C53E7" w:rsidRPr="004C53E7" w:rsidRDefault="004C53E7" w:rsidP="004C53E7">
      <w:pPr>
        <w:tabs>
          <w:tab w:val="left" w:pos="360"/>
        </w:tabs>
        <w:ind w:left="720"/>
        <w:jc w:val="both"/>
        <w:rPr>
          <w:rFonts w:ascii="Arial" w:hAnsi="Arial" w:cs="Arial"/>
          <w:b/>
          <w:sz w:val="16"/>
          <w:szCs w:val="16"/>
        </w:rPr>
      </w:pPr>
      <w:r w:rsidRPr="004C53E7">
        <w:rPr>
          <w:rFonts w:ascii="Arial" w:hAnsi="Arial" w:cs="Arial"/>
          <w:b/>
          <w:sz w:val="16"/>
          <w:szCs w:val="16"/>
        </w:rPr>
        <w:t>The terms “Market Operator”,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rPr>
      </w:pPr>
    </w:p>
    <w:p w:rsidR="004C53E7" w:rsidRPr="004C53E7" w:rsidRDefault="004C53E7" w:rsidP="004C53E7">
      <w:pPr>
        <w:tabs>
          <w:tab w:val="left" w:pos="360"/>
        </w:tabs>
        <w:ind w:left="720"/>
        <w:jc w:val="both"/>
        <w:rPr>
          <w:rFonts w:ascii="Arial" w:hAnsi="Arial" w:cs="Arial"/>
          <w:b/>
          <w:sz w:val="16"/>
          <w:szCs w:val="16"/>
        </w:rPr>
      </w:pPr>
      <w:r w:rsidRPr="004C53E7">
        <w:rPr>
          <w:rFonts w:ascii="Arial" w:hAnsi="Arial" w:cs="Arial"/>
          <w:b/>
          <w:sz w:val="16"/>
          <w:szCs w:val="16"/>
        </w:rPr>
        <w:t xml:space="preserve">In </w:t>
      </w:r>
      <w:r w:rsidRPr="00DC4D50">
        <w:rPr>
          <w:rFonts w:ascii="Arial" w:hAnsi="Arial" w:cs="Arial"/>
          <w:b/>
          <w:sz w:val="16"/>
          <w:szCs w:val="16"/>
        </w:rPr>
        <w:t xml:space="preserve">consideration for the right to submit, and have the Modification Proposal assessed in accordance with the terms of Section 2 of </w:t>
      </w:r>
      <w:r w:rsidR="00AB3AF3" w:rsidRPr="00DC4D50">
        <w:rPr>
          <w:rFonts w:ascii="Arial" w:hAnsi="Arial" w:cs="Arial"/>
          <w:b/>
          <w:sz w:val="16"/>
          <w:szCs w:val="16"/>
        </w:rPr>
        <w:t xml:space="preserve">Part A </w:t>
      </w:r>
      <w:r w:rsidR="00DC4D50" w:rsidRPr="00DC4D50">
        <w:rPr>
          <w:rFonts w:ascii="Arial" w:hAnsi="Arial" w:cs="Arial"/>
          <w:b/>
          <w:sz w:val="16"/>
          <w:szCs w:val="16"/>
        </w:rPr>
        <w:t xml:space="preserve">or Chapter B of Part B </w:t>
      </w:r>
      <w:r w:rsidR="00AB3AF3" w:rsidRPr="00DC4D50">
        <w:rPr>
          <w:rFonts w:ascii="Arial" w:hAnsi="Arial" w:cs="Arial"/>
          <w:b/>
          <w:sz w:val="16"/>
          <w:szCs w:val="16"/>
        </w:rPr>
        <w:t xml:space="preserve">of </w:t>
      </w:r>
      <w:r w:rsidR="00DC4D50" w:rsidRPr="00DC4D50">
        <w:rPr>
          <w:rFonts w:ascii="Arial" w:hAnsi="Arial" w:cs="Arial"/>
          <w:b/>
          <w:sz w:val="16"/>
          <w:szCs w:val="16"/>
        </w:rPr>
        <w:t>the Code (and</w:t>
      </w:r>
      <w:r w:rsidRPr="00DC4D50">
        <w:rPr>
          <w:rFonts w:ascii="Arial" w:hAnsi="Arial" w:cs="Arial"/>
          <w:b/>
          <w:sz w:val="16"/>
          <w:szCs w:val="16"/>
        </w:rPr>
        <w:t xml:space="preserve"> </w:t>
      </w:r>
      <w:r w:rsidR="00AB3AF3" w:rsidRPr="00DC4D50">
        <w:rPr>
          <w:rFonts w:ascii="Arial" w:hAnsi="Arial" w:cs="Arial"/>
          <w:b/>
          <w:sz w:val="16"/>
          <w:szCs w:val="16"/>
        </w:rPr>
        <w:t xml:space="preserve">Part A </w:t>
      </w:r>
      <w:r w:rsidRPr="00DC4D50">
        <w:rPr>
          <w:rFonts w:ascii="Arial" w:hAnsi="Arial" w:cs="Arial"/>
          <w:b/>
          <w:sz w:val="16"/>
          <w:szCs w:val="16"/>
        </w:rPr>
        <w:t>Agreed Procedure 12</w:t>
      </w:r>
      <w:r w:rsidR="00DC4D50" w:rsidRPr="00DC4D50">
        <w:rPr>
          <w:rFonts w:ascii="Arial" w:hAnsi="Arial" w:cs="Arial"/>
          <w:b/>
          <w:sz w:val="16"/>
          <w:szCs w:val="16"/>
        </w:rPr>
        <w:t xml:space="preserve"> or Part B Agreed Procedure 12</w:t>
      </w:r>
      <w:r w:rsidRPr="00DC4D50">
        <w:rPr>
          <w:rFonts w:ascii="Arial" w:hAnsi="Arial" w:cs="Arial"/>
          <w:b/>
          <w:sz w:val="16"/>
          <w:szCs w:val="16"/>
        </w:rPr>
        <w:t>)</w:t>
      </w:r>
      <w:r w:rsidR="00AB3AF3" w:rsidRPr="00DC4D50">
        <w:rPr>
          <w:rFonts w:ascii="Arial" w:hAnsi="Arial" w:cs="Arial"/>
          <w:b/>
          <w:sz w:val="16"/>
          <w:szCs w:val="16"/>
        </w:rPr>
        <w:t xml:space="preserve"> </w:t>
      </w:r>
      <w:r w:rsidRPr="00DC4D50">
        <w:rPr>
          <w:rFonts w:ascii="Arial" w:hAnsi="Arial" w:cs="Arial"/>
          <w:b/>
          <w:sz w:val="16"/>
          <w:szCs w:val="16"/>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1.</w:t>
      </w:r>
      <w:r w:rsidRPr="004C53E7">
        <w:rPr>
          <w:rFonts w:ascii="Arial" w:hAnsi="Arial" w:cs="Arial"/>
          <w:b/>
          <w:sz w:val="16"/>
          <w:szCs w:val="16"/>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 xml:space="preserve">to the Regulatory Authorities,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 each member of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rPr>
      </w:pPr>
      <w:r w:rsidRPr="004C53E7">
        <w:rPr>
          <w:rFonts w:ascii="Arial" w:hAnsi="Arial" w:cs="Arial"/>
          <w:b/>
          <w:sz w:val="16"/>
          <w:szCs w:val="16"/>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tabs>
          <w:tab w:val="left" w:pos="360"/>
        </w:tabs>
        <w:ind w:left="1440" w:hanging="360"/>
        <w:jc w:val="both"/>
        <w:rPr>
          <w:rFonts w:ascii="Arial" w:hAnsi="Arial" w:cs="Arial"/>
          <w:b/>
          <w:sz w:val="16"/>
          <w:szCs w:val="16"/>
        </w:rPr>
      </w:pPr>
      <w:r w:rsidRPr="004C53E7">
        <w:rPr>
          <w:rFonts w:ascii="Arial" w:hAnsi="Arial" w:cs="Arial"/>
          <w:b/>
          <w:sz w:val="16"/>
          <w:szCs w:val="16"/>
        </w:rPr>
        <w:t>1.4</w:t>
      </w:r>
      <w:r w:rsidRPr="004C53E7">
        <w:rPr>
          <w:rFonts w:ascii="Arial" w:hAnsi="Arial" w:cs="Arial"/>
          <w:b/>
          <w:sz w:val="16"/>
          <w:szCs w:val="16"/>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2.</w:t>
      </w:r>
      <w:r w:rsidRPr="004C53E7">
        <w:rPr>
          <w:rFonts w:ascii="Arial" w:hAnsi="Arial" w:cs="Arial"/>
          <w:b/>
          <w:sz w:val="16"/>
          <w:szCs w:val="16"/>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3.</w:t>
      </w:r>
      <w:r w:rsidRPr="004C53E7">
        <w:rPr>
          <w:rFonts w:ascii="Arial" w:hAnsi="Arial" w:cs="Arial"/>
          <w:b/>
          <w:sz w:val="16"/>
          <w:szCs w:val="16"/>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rPr>
      </w:pPr>
    </w:p>
    <w:p w:rsidR="004C53E7" w:rsidRPr="004C53E7"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4.</w:t>
      </w:r>
      <w:r w:rsidRPr="004C53E7">
        <w:rPr>
          <w:rFonts w:ascii="Arial" w:hAnsi="Arial" w:cs="Arial"/>
          <w:b/>
          <w:sz w:val="16"/>
          <w:szCs w:val="16"/>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rPr>
      </w:pPr>
    </w:p>
    <w:p w:rsidR="004C53E7" w:rsidRPr="003F225F" w:rsidRDefault="004C53E7" w:rsidP="004C53E7">
      <w:pPr>
        <w:tabs>
          <w:tab w:val="left" w:pos="360"/>
        </w:tabs>
        <w:ind w:left="1080" w:hanging="360"/>
        <w:jc w:val="both"/>
        <w:rPr>
          <w:rFonts w:ascii="Arial" w:hAnsi="Arial" w:cs="Arial"/>
          <w:b/>
          <w:sz w:val="16"/>
          <w:szCs w:val="16"/>
        </w:rPr>
      </w:pPr>
      <w:r w:rsidRPr="004C53E7">
        <w:rPr>
          <w:rFonts w:ascii="Arial" w:hAnsi="Arial" w:cs="Arial"/>
          <w:b/>
          <w:sz w:val="16"/>
          <w:szCs w:val="16"/>
        </w:rPr>
        <w:t>5.</w:t>
      </w:r>
      <w:r w:rsidRPr="004C53E7">
        <w:rPr>
          <w:rFonts w:ascii="Arial" w:hAnsi="Arial" w:cs="Arial"/>
          <w:b/>
          <w:sz w:val="16"/>
          <w:szCs w:val="16"/>
        </w:rPr>
        <w:tab/>
        <w:t xml:space="preserve">I hereby acknowledge that the Modification Proposal may be rejected by the </w:t>
      </w:r>
      <w:smartTag w:uri="urn:schemas-microsoft-com:office:smarttags" w:element="PersonName">
        <w:r w:rsidRPr="004C53E7">
          <w:rPr>
            <w:rFonts w:ascii="Arial" w:hAnsi="Arial" w:cs="Arial"/>
            <w:b/>
            <w:sz w:val="16"/>
            <w:szCs w:val="16"/>
          </w:rPr>
          <w:t>Modifications</w:t>
        </w:r>
      </w:smartTag>
      <w:r w:rsidRPr="004C53E7">
        <w:rPr>
          <w:rFonts w:ascii="Arial" w:hAnsi="Arial" w:cs="Arial"/>
          <w:b/>
          <w:sz w:val="16"/>
          <w:szCs w:val="16"/>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5F" w:rsidRDefault="006D395F" w:rsidP="002A4E1A">
      <w:r>
        <w:separator/>
      </w:r>
    </w:p>
  </w:endnote>
  <w:endnote w:type="continuationSeparator" w:id="0">
    <w:p w:rsidR="006D395F" w:rsidRDefault="006D395F" w:rsidP="002A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5F" w:rsidRDefault="006D395F" w:rsidP="002A4E1A">
      <w:r>
        <w:separator/>
      </w:r>
    </w:p>
  </w:footnote>
  <w:footnote w:type="continuationSeparator" w:id="0">
    <w:p w:rsidR="006D395F" w:rsidRDefault="006D395F" w:rsidP="002A4E1A">
      <w:r>
        <w:continuationSeparator/>
      </w:r>
    </w:p>
  </w:footnote>
  <w:footnote w:id="1">
    <w:p w:rsidR="00A367C1" w:rsidRPr="007C263D" w:rsidRDefault="00A367C1">
      <w:pPr>
        <w:pStyle w:val="FootnoteText"/>
        <w:rPr>
          <w:lang w:val="en-IE"/>
        </w:rPr>
      </w:pPr>
      <w:ins w:id="6" w:author="Author">
        <w:r>
          <w:rPr>
            <w:rStyle w:val="FootnoteReference"/>
          </w:rPr>
          <w:footnoteRef/>
        </w:r>
        <w:r>
          <w:t xml:space="preserve"> </w:t>
        </w:r>
        <w:r>
          <w:rPr>
            <w:lang w:val="en-IE"/>
          </w:rPr>
          <w:t>Included based on suggestion in Participant feedback received</w:t>
        </w:r>
      </w:ins>
    </w:p>
  </w:footnote>
  <w:footnote w:id="2">
    <w:p w:rsidR="000979EA" w:rsidRPr="000979EA" w:rsidRDefault="000979EA">
      <w:pPr>
        <w:pStyle w:val="FootnoteText"/>
        <w:rPr>
          <w:lang w:val="en-IE"/>
        </w:rPr>
      </w:pPr>
      <w:ins w:id="12" w:author="Author">
        <w:r>
          <w:rPr>
            <w:rStyle w:val="FootnoteReference"/>
          </w:rPr>
          <w:footnoteRef/>
        </w:r>
        <w:r>
          <w:t xml:space="preserve"> </w:t>
        </w:r>
        <w:r>
          <w:rPr>
            <w:lang w:val="en-IE"/>
          </w:rPr>
          <w:t>Included based on suggestion in Participant feedback received</w:t>
        </w:r>
      </w:ins>
    </w:p>
  </w:footnote>
  <w:footnote w:id="3">
    <w:p w:rsidR="00883252" w:rsidDel="007C263D" w:rsidRDefault="00883252" w:rsidP="00883252">
      <w:pPr>
        <w:pStyle w:val="FootnoteText"/>
        <w:rPr>
          <w:del w:id="227" w:author="Author"/>
        </w:rPr>
      </w:pPr>
      <w:del w:id="228" w:author="Author">
        <w:r w:rsidDel="007C263D">
          <w:rPr>
            <w:rStyle w:val="FootnoteReference"/>
          </w:rPr>
          <w:footnoteRef/>
        </w:r>
        <w:r w:rsidDel="007C263D">
          <w:delText xml:space="preserve"> </w:delText>
        </w:r>
        <w:r w:rsidRPr="007E1423" w:rsidDel="007C263D">
          <w:rPr>
            <w:rFonts w:ascii="Times New Roman" w:hAnsi="Times New Roman"/>
            <w:sz w:val="18"/>
            <w:szCs w:val="18"/>
          </w:rPr>
          <w:delText xml:space="preserve">To be confirmed whether the </w:delText>
        </w:r>
        <w:r w:rsidR="006E3922" w:rsidDel="007C263D">
          <w:rPr>
            <w:rFonts w:ascii="Times New Roman" w:hAnsi="Times New Roman"/>
            <w:sz w:val="18"/>
            <w:szCs w:val="18"/>
          </w:rPr>
          <w:delText>withholding of Ex-Ante</w:delText>
        </w:r>
        <w:r w:rsidRPr="007E1423" w:rsidDel="007C263D">
          <w:rPr>
            <w:rFonts w:ascii="Times New Roman" w:hAnsi="Times New Roman"/>
            <w:sz w:val="18"/>
            <w:szCs w:val="18"/>
          </w:rPr>
          <w:delText xml:space="preserve"> payments is possible given payment cycles.</w:delText>
        </w:r>
      </w:del>
    </w:p>
  </w:footnote>
  <w:footnote w:id="4">
    <w:p w:rsidR="000979EA" w:rsidRPr="00D94D97" w:rsidRDefault="000979EA">
      <w:pPr>
        <w:pStyle w:val="FootnoteText"/>
        <w:rPr>
          <w:lang w:val="en-IE"/>
        </w:rPr>
      </w:pPr>
      <w:ins w:id="248" w:author="Author">
        <w:r>
          <w:rPr>
            <w:rStyle w:val="FootnoteReference"/>
          </w:rPr>
          <w:footnoteRef/>
        </w:r>
        <w:r>
          <w:t xml:space="preserve"> </w:t>
        </w:r>
        <w:r>
          <w:rPr>
            <w:lang w:val="en-IE"/>
          </w:rPr>
          <w:t>Removed based on Participant feedback received</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69"/>
    <w:multiLevelType w:val="hybridMultilevel"/>
    <w:tmpl w:val="02E8CD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4667D8"/>
    <w:multiLevelType w:val="hybridMultilevel"/>
    <w:tmpl w:val="41CC9EC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B842F9"/>
    <w:multiLevelType w:val="hybridMultilevel"/>
    <w:tmpl w:val="E72C107E"/>
    <w:lvl w:ilvl="0" w:tplc="E64216F0">
      <w:start w:val="1"/>
      <w:numFmt w:val="lowerLetter"/>
      <w:lvlText w:val="(%1)"/>
      <w:lvlJc w:val="left"/>
      <w:pPr>
        <w:ind w:left="1352" w:hanging="360"/>
      </w:pPr>
      <w:rPr>
        <w:rFonts w:cs="Times New Roman" w:hint="default"/>
      </w:rPr>
    </w:lvl>
    <w:lvl w:ilvl="1" w:tplc="0C090019" w:tentative="1">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4">
    <w:nsid w:val="0F39412D"/>
    <w:multiLevelType w:val="hybridMultilevel"/>
    <w:tmpl w:val="E888332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F53070C"/>
    <w:multiLevelType w:val="hybridMultilevel"/>
    <w:tmpl w:val="EF9A829E"/>
    <w:lvl w:ilvl="0" w:tplc="8FD670CA">
      <w:start w:val="1"/>
      <w:numFmt w:val="lowerLetter"/>
      <w:lvlText w:val="(%1)"/>
      <w:lvlJc w:val="left"/>
      <w:pPr>
        <w:ind w:left="1442" w:hanging="450"/>
      </w:pPr>
      <w:rPr>
        <w:rFonts w:cs="Times New Roman" w:hint="default"/>
      </w:rPr>
    </w:lvl>
    <w:lvl w:ilvl="1" w:tplc="0C090019">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6">
    <w:nsid w:val="107A5AE0"/>
    <w:multiLevelType w:val="hybridMultilevel"/>
    <w:tmpl w:val="1AA0E552"/>
    <w:lvl w:ilvl="0" w:tplc="26E6A5AE">
      <w:start w:val="9"/>
      <w:numFmt w:val="lowerLetter"/>
      <w:lvlText w:val="(%1)"/>
      <w:lvlJc w:val="left"/>
      <w:pPr>
        <w:ind w:left="1802" w:hanging="360"/>
      </w:pPr>
      <w:rPr>
        <w:rFonts w:eastAsia="Times New Roman" w:cs="Times New Roman" w:hint="default"/>
        <w:color w:val="auto"/>
      </w:rPr>
    </w:lvl>
    <w:lvl w:ilvl="1" w:tplc="3F04CAF0">
      <w:start w:val="1"/>
      <w:numFmt w:val="upperLetter"/>
      <w:lvlText w:val="(%2)"/>
      <w:lvlJc w:val="left"/>
      <w:pPr>
        <w:ind w:left="2522" w:hanging="360"/>
      </w:pPr>
      <w:rPr>
        <w:rFonts w:ascii="Calibri" w:eastAsia="Times New Roman" w:hAnsi="Calibri" w:cs="Times New Roman"/>
      </w:rPr>
    </w:lvl>
    <w:lvl w:ilvl="2" w:tplc="0C09001B" w:tentative="1">
      <w:start w:val="1"/>
      <w:numFmt w:val="lowerRoman"/>
      <w:lvlText w:val="%3."/>
      <w:lvlJc w:val="right"/>
      <w:pPr>
        <w:ind w:left="3242" w:hanging="180"/>
      </w:pPr>
      <w:rPr>
        <w:rFonts w:cs="Times New Roman"/>
      </w:rPr>
    </w:lvl>
    <w:lvl w:ilvl="3" w:tplc="0C09000F" w:tentative="1">
      <w:start w:val="1"/>
      <w:numFmt w:val="decimal"/>
      <w:lvlText w:val="%4."/>
      <w:lvlJc w:val="left"/>
      <w:pPr>
        <w:ind w:left="3962" w:hanging="360"/>
      </w:pPr>
      <w:rPr>
        <w:rFonts w:cs="Times New Roman"/>
      </w:rPr>
    </w:lvl>
    <w:lvl w:ilvl="4" w:tplc="0C090019" w:tentative="1">
      <w:start w:val="1"/>
      <w:numFmt w:val="lowerLetter"/>
      <w:lvlText w:val="%5."/>
      <w:lvlJc w:val="left"/>
      <w:pPr>
        <w:ind w:left="4682" w:hanging="360"/>
      </w:pPr>
      <w:rPr>
        <w:rFonts w:cs="Times New Roman"/>
      </w:rPr>
    </w:lvl>
    <w:lvl w:ilvl="5" w:tplc="0C09001B" w:tentative="1">
      <w:start w:val="1"/>
      <w:numFmt w:val="lowerRoman"/>
      <w:lvlText w:val="%6."/>
      <w:lvlJc w:val="right"/>
      <w:pPr>
        <w:ind w:left="5402" w:hanging="180"/>
      </w:pPr>
      <w:rPr>
        <w:rFonts w:cs="Times New Roman"/>
      </w:rPr>
    </w:lvl>
    <w:lvl w:ilvl="6" w:tplc="0C09000F" w:tentative="1">
      <w:start w:val="1"/>
      <w:numFmt w:val="decimal"/>
      <w:lvlText w:val="%7."/>
      <w:lvlJc w:val="left"/>
      <w:pPr>
        <w:ind w:left="6122" w:hanging="360"/>
      </w:pPr>
      <w:rPr>
        <w:rFonts w:cs="Times New Roman"/>
      </w:rPr>
    </w:lvl>
    <w:lvl w:ilvl="7" w:tplc="0C090019" w:tentative="1">
      <w:start w:val="1"/>
      <w:numFmt w:val="lowerLetter"/>
      <w:lvlText w:val="%8."/>
      <w:lvlJc w:val="left"/>
      <w:pPr>
        <w:ind w:left="6842" w:hanging="360"/>
      </w:pPr>
      <w:rPr>
        <w:rFonts w:cs="Times New Roman"/>
      </w:rPr>
    </w:lvl>
    <w:lvl w:ilvl="8" w:tplc="0C09001B" w:tentative="1">
      <w:start w:val="1"/>
      <w:numFmt w:val="lowerRoman"/>
      <w:lvlText w:val="%9."/>
      <w:lvlJc w:val="right"/>
      <w:pPr>
        <w:ind w:left="7562" w:hanging="180"/>
      </w:pPr>
      <w:rPr>
        <w:rFonts w:cs="Times New Roman"/>
      </w:rPr>
    </w:lvl>
  </w:abstractNum>
  <w:abstractNum w:abstractNumId="7">
    <w:nsid w:val="12172712"/>
    <w:multiLevelType w:val="hybridMultilevel"/>
    <w:tmpl w:val="ECE6C7D8"/>
    <w:lvl w:ilvl="0" w:tplc="13A2775E">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4F418BE"/>
    <w:multiLevelType w:val="hybridMultilevel"/>
    <w:tmpl w:val="F23A38DE"/>
    <w:lvl w:ilvl="0" w:tplc="DC04484E">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5AF1761"/>
    <w:multiLevelType w:val="hybridMultilevel"/>
    <w:tmpl w:val="83C484E2"/>
    <w:lvl w:ilvl="0" w:tplc="45D43638">
      <w:start w:val="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7F961BF"/>
    <w:multiLevelType w:val="hybridMultilevel"/>
    <w:tmpl w:val="1FA08EA8"/>
    <w:lvl w:ilvl="0" w:tplc="04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94A6EBF"/>
    <w:multiLevelType w:val="hybridMultilevel"/>
    <w:tmpl w:val="C2A4A8E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1B8F6C12"/>
    <w:multiLevelType w:val="hybridMultilevel"/>
    <w:tmpl w:val="3D042BE4"/>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F677348"/>
    <w:multiLevelType w:val="hybridMultilevel"/>
    <w:tmpl w:val="60E6B5E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9B24BF9"/>
    <w:multiLevelType w:val="hybridMultilevel"/>
    <w:tmpl w:val="7EDC49F6"/>
    <w:lvl w:ilvl="0" w:tplc="881C39FA">
      <w:start w:val="1"/>
      <w:numFmt w:val="lowerLetter"/>
      <w:lvlText w:val="(%1)"/>
      <w:lvlJc w:val="left"/>
      <w:pPr>
        <w:ind w:left="360" w:hanging="360"/>
      </w:pPr>
      <w:rPr>
        <w:rFonts w:cs="Times New Roman" w:hint="default"/>
        <w:color w:val="00000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nsid w:val="2EEA08AF"/>
    <w:multiLevelType w:val="hybridMultilevel"/>
    <w:tmpl w:val="AD38B0F8"/>
    <w:lvl w:ilvl="0" w:tplc="04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F5F70A2"/>
    <w:multiLevelType w:val="hybridMultilevel"/>
    <w:tmpl w:val="4DAE8FF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4737574C"/>
    <w:multiLevelType w:val="hybridMultilevel"/>
    <w:tmpl w:val="F92CB4C6"/>
    <w:lvl w:ilvl="0" w:tplc="8196C618">
      <w:start w:val="1"/>
      <w:numFmt w:val="lowerRoman"/>
      <w:lvlText w:val="(%1)"/>
      <w:lvlJc w:val="left"/>
      <w:pPr>
        <w:ind w:left="2162" w:hanging="720"/>
      </w:pPr>
      <w:rPr>
        <w:rFonts w:cs="Times New Roman" w:hint="default"/>
      </w:rPr>
    </w:lvl>
    <w:lvl w:ilvl="1" w:tplc="0C090019" w:tentative="1">
      <w:start w:val="1"/>
      <w:numFmt w:val="lowerLetter"/>
      <w:lvlText w:val="%2."/>
      <w:lvlJc w:val="left"/>
      <w:pPr>
        <w:ind w:left="2522" w:hanging="360"/>
      </w:pPr>
      <w:rPr>
        <w:rFonts w:cs="Times New Roman"/>
      </w:rPr>
    </w:lvl>
    <w:lvl w:ilvl="2" w:tplc="0C09001B" w:tentative="1">
      <w:start w:val="1"/>
      <w:numFmt w:val="lowerRoman"/>
      <w:lvlText w:val="%3."/>
      <w:lvlJc w:val="right"/>
      <w:pPr>
        <w:ind w:left="3242" w:hanging="180"/>
      </w:pPr>
      <w:rPr>
        <w:rFonts w:cs="Times New Roman"/>
      </w:rPr>
    </w:lvl>
    <w:lvl w:ilvl="3" w:tplc="0C09000F" w:tentative="1">
      <w:start w:val="1"/>
      <w:numFmt w:val="decimal"/>
      <w:lvlText w:val="%4."/>
      <w:lvlJc w:val="left"/>
      <w:pPr>
        <w:ind w:left="3962" w:hanging="360"/>
      </w:pPr>
      <w:rPr>
        <w:rFonts w:cs="Times New Roman"/>
      </w:rPr>
    </w:lvl>
    <w:lvl w:ilvl="4" w:tplc="0C090019" w:tentative="1">
      <w:start w:val="1"/>
      <w:numFmt w:val="lowerLetter"/>
      <w:lvlText w:val="%5."/>
      <w:lvlJc w:val="left"/>
      <w:pPr>
        <w:ind w:left="4682" w:hanging="360"/>
      </w:pPr>
      <w:rPr>
        <w:rFonts w:cs="Times New Roman"/>
      </w:rPr>
    </w:lvl>
    <w:lvl w:ilvl="5" w:tplc="0C09001B" w:tentative="1">
      <w:start w:val="1"/>
      <w:numFmt w:val="lowerRoman"/>
      <w:lvlText w:val="%6."/>
      <w:lvlJc w:val="right"/>
      <w:pPr>
        <w:ind w:left="5402" w:hanging="180"/>
      </w:pPr>
      <w:rPr>
        <w:rFonts w:cs="Times New Roman"/>
      </w:rPr>
    </w:lvl>
    <w:lvl w:ilvl="6" w:tplc="0C09000F" w:tentative="1">
      <w:start w:val="1"/>
      <w:numFmt w:val="decimal"/>
      <w:lvlText w:val="%7."/>
      <w:lvlJc w:val="left"/>
      <w:pPr>
        <w:ind w:left="6122" w:hanging="360"/>
      </w:pPr>
      <w:rPr>
        <w:rFonts w:cs="Times New Roman"/>
      </w:rPr>
    </w:lvl>
    <w:lvl w:ilvl="7" w:tplc="0C090019" w:tentative="1">
      <w:start w:val="1"/>
      <w:numFmt w:val="lowerLetter"/>
      <w:lvlText w:val="%8."/>
      <w:lvlJc w:val="left"/>
      <w:pPr>
        <w:ind w:left="6842" w:hanging="360"/>
      </w:pPr>
      <w:rPr>
        <w:rFonts w:cs="Times New Roman"/>
      </w:rPr>
    </w:lvl>
    <w:lvl w:ilvl="8" w:tplc="0C09001B" w:tentative="1">
      <w:start w:val="1"/>
      <w:numFmt w:val="lowerRoman"/>
      <w:lvlText w:val="%9."/>
      <w:lvlJc w:val="right"/>
      <w:pPr>
        <w:ind w:left="7562" w:hanging="180"/>
      </w:pPr>
      <w:rPr>
        <w:rFonts w:cs="Times New Roman"/>
      </w:rPr>
    </w:lvl>
  </w:abstractNum>
  <w:abstractNum w:abstractNumId="18">
    <w:nsid w:val="4AC22D6F"/>
    <w:multiLevelType w:val="hybridMultilevel"/>
    <w:tmpl w:val="499C5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2321268"/>
    <w:multiLevelType w:val="hybridMultilevel"/>
    <w:tmpl w:val="E97E45C6"/>
    <w:lvl w:ilvl="0" w:tplc="B0E4AEA4">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25F3B14"/>
    <w:multiLevelType w:val="hybridMultilevel"/>
    <w:tmpl w:val="60447F58"/>
    <w:lvl w:ilvl="0" w:tplc="B452666A">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1">
    <w:nsid w:val="56B234D6"/>
    <w:multiLevelType w:val="hybridMultilevel"/>
    <w:tmpl w:val="8DDCAEA2"/>
    <w:lvl w:ilvl="0" w:tplc="E64216F0">
      <w:start w:val="1"/>
      <w:numFmt w:val="lowerLetter"/>
      <w:lvlText w:val="(%1)"/>
      <w:lvlJc w:val="left"/>
      <w:pPr>
        <w:ind w:left="1352" w:hanging="360"/>
      </w:pPr>
      <w:rPr>
        <w:rFonts w:cs="Times New Roman" w:hint="default"/>
      </w:rPr>
    </w:lvl>
    <w:lvl w:ilvl="1" w:tplc="0C090019" w:tentative="1">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F566B0"/>
    <w:multiLevelType w:val="hybridMultilevel"/>
    <w:tmpl w:val="56241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0A707DE"/>
    <w:multiLevelType w:val="hybridMultilevel"/>
    <w:tmpl w:val="41DE5E8E"/>
    <w:lvl w:ilvl="0" w:tplc="24B0E9DE">
      <w:start w:val="1"/>
      <w:numFmt w:val="lowerLetter"/>
      <w:lvlText w:val="(%1)"/>
      <w:lvlJc w:val="left"/>
      <w:pPr>
        <w:ind w:left="1442" w:hanging="450"/>
      </w:pPr>
      <w:rPr>
        <w:rFonts w:cs="Times New Roman" w:hint="default"/>
      </w:rPr>
    </w:lvl>
    <w:lvl w:ilvl="1" w:tplc="0C090019">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25">
    <w:nsid w:val="711B7816"/>
    <w:multiLevelType w:val="hybridMultilevel"/>
    <w:tmpl w:val="5A5AC8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1D26418"/>
    <w:multiLevelType w:val="hybridMultilevel"/>
    <w:tmpl w:val="40CEA330"/>
    <w:lvl w:ilvl="0" w:tplc="AF003ACE">
      <w:start w:val="1"/>
      <w:numFmt w:val="lowerLetter"/>
      <w:lvlText w:val="(%1)"/>
      <w:lvlJc w:val="left"/>
      <w:pPr>
        <w:ind w:left="1442" w:hanging="450"/>
      </w:pPr>
      <w:rPr>
        <w:rFonts w:cs="Times New Roman" w:hint="default"/>
      </w:rPr>
    </w:lvl>
    <w:lvl w:ilvl="1" w:tplc="0C090019">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27">
    <w:nsid w:val="73CF111B"/>
    <w:multiLevelType w:val="hybridMultilevel"/>
    <w:tmpl w:val="DA0A5672"/>
    <w:lvl w:ilvl="0" w:tplc="07E4267C">
      <w:start w:val="1"/>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nsid w:val="785E71D1"/>
    <w:multiLevelType w:val="hybridMultilevel"/>
    <w:tmpl w:val="4AE239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4"/>
  </w:num>
  <w:num w:numId="7">
    <w:abstractNumId w:val="18"/>
  </w:num>
  <w:num w:numId="8">
    <w:abstractNumId w:val="7"/>
  </w:num>
  <w:num w:numId="9">
    <w:abstractNumId w:val="12"/>
  </w:num>
  <w:num w:numId="10">
    <w:abstractNumId w:val="19"/>
  </w:num>
  <w:num w:numId="11">
    <w:abstractNumId w:val="28"/>
  </w:num>
  <w:num w:numId="12">
    <w:abstractNumId w:val="0"/>
  </w:num>
  <w:num w:numId="13">
    <w:abstractNumId w:val="23"/>
  </w:num>
  <w:num w:numId="14">
    <w:abstractNumId w:val="13"/>
  </w:num>
  <w:num w:numId="15">
    <w:abstractNumId w:val="16"/>
  </w:num>
  <w:num w:numId="16">
    <w:abstractNumId w:val="11"/>
  </w:num>
  <w:num w:numId="17">
    <w:abstractNumId w:val="27"/>
  </w:num>
  <w:num w:numId="18">
    <w:abstractNumId w:val="20"/>
  </w:num>
  <w:num w:numId="19">
    <w:abstractNumId w:val="25"/>
  </w:num>
  <w:num w:numId="20">
    <w:abstractNumId w:val="15"/>
  </w:num>
  <w:num w:numId="21">
    <w:abstractNumId w:val="10"/>
  </w:num>
  <w:num w:numId="22">
    <w:abstractNumId w:val="21"/>
  </w:num>
  <w:num w:numId="23">
    <w:abstractNumId w:val="24"/>
  </w:num>
  <w:num w:numId="24">
    <w:abstractNumId w:val="26"/>
  </w:num>
  <w:num w:numId="25">
    <w:abstractNumId w:val="6"/>
  </w:num>
  <w:num w:numId="26">
    <w:abstractNumId w:val="5"/>
  </w:num>
  <w:num w:numId="27">
    <w:abstractNumId w:val="14"/>
  </w:num>
  <w:num w:numId="28">
    <w:abstractNumId w:val="17"/>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4C53E7"/>
    <w:rsid w:val="00001773"/>
    <w:rsid w:val="00025FCD"/>
    <w:rsid w:val="00041086"/>
    <w:rsid w:val="0006155B"/>
    <w:rsid w:val="000743A9"/>
    <w:rsid w:val="00076047"/>
    <w:rsid w:val="000979EA"/>
    <w:rsid w:val="000A0A2E"/>
    <w:rsid w:val="000A3C1C"/>
    <w:rsid w:val="000B6F1E"/>
    <w:rsid w:val="000C5BEF"/>
    <w:rsid w:val="000C6BC9"/>
    <w:rsid w:val="000F235F"/>
    <w:rsid w:val="000F413D"/>
    <w:rsid w:val="0012259A"/>
    <w:rsid w:val="0015046C"/>
    <w:rsid w:val="00183EAD"/>
    <w:rsid w:val="001F1679"/>
    <w:rsid w:val="002012B7"/>
    <w:rsid w:val="00243912"/>
    <w:rsid w:val="002510BB"/>
    <w:rsid w:val="00254309"/>
    <w:rsid w:val="002706D5"/>
    <w:rsid w:val="002918B6"/>
    <w:rsid w:val="002A4E1A"/>
    <w:rsid w:val="002A7FF0"/>
    <w:rsid w:val="002D241C"/>
    <w:rsid w:val="002F528C"/>
    <w:rsid w:val="00310F6B"/>
    <w:rsid w:val="0031316C"/>
    <w:rsid w:val="003333E2"/>
    <w:rsid w:val="00352E1B"/>
    <w:rsid w:val="00375AA8"/>
    <w:rsid w:val="00404652"/>
    <w:rsid w:val="004673F6"/>
    <w:rsid w:val="004901E1"/>
    <w:rsid w:val="00496263"/>
    <w:rsid w:val="004A38DC"/>
    <w:rsid w:val="004B4DA9"/>
    <w:rsid w:val="004B657A"/>
    <w:rsid w:val="004C53E7"/>
    <w:rsid w:val="005063BA"/>
    <w:rsid w:val="00512AFB"/>
    <w:rsid w:val="00514A38"/>
    <w:rsid w:val="00555D41"/>
    <w:rsid w:val="00563C4A"/>
    <w:rsid w:val="00570D17"/>
    <w:rsid w:val="005A0853"/>
    <w:rsid w:val="005B6806"/>
    <w:rsid w:val="005B7695"/>
    <w:rsid w:val="005D345C"/>
    <w:rsid w:val="005E300F"/>
    <w:rsid w:val="005F002A"/>
    <w:rsid w:val="006212EE"/>
    <w:rsid w:val="006239C7"/>
    <w:rsid w:val="0062574E"/>
    <w:rsid w:val="0063249B"/>
    <w:rsid w:val="00670B07"/>
    <w:rsid w:val="00681F03"/>
    <w:rsid w:val="00687A3E"/>
    <w:rsid w:val="00690E9A"/>
    <w:rsid w:val="00693AA7"/>
    <w:rsid w:val="006C6844"/>
    <w:rsid w:val="006D395F"/>
    <w:rsid w:val="006E02C1"/>
    <w:rsid w:val="006E3922"/>
    <w:rsid w:val="006F00F3"/>
    <w:rsid w:val="00730E18"/>
    <w:rsid w:val="0073498F"/>
    <w:rsid w:val="007374BB"/>
    <w:rsid w:val="00741E24"/>
    <w:rsid w:val="00771BA7"/>
    <w:rsid w:val="00784583"/>
    <w:rsid w:val="007C263D"/>
    <w:rsid w:val="007E1423"/>
    <w:rsid w:val="007F5289"/>
    <w:rsid w:val="0081044D"/>
    <w:rsid w:val="0084401B"/>
    <w:rsid w:val="00883252"/>
    <w:rsid w:val="008D149F"/>
    <w:rsid w:val="008E0FE1"/>
    <w:rsid w:val="008F4445"/>
    <w:rsid w:val="008F6F3B"/>
    <w:rsid w:val="00903759"/>
    <w:rsid w:val="00916F18"/>
    <w:rsid w:val="009216E4"/>
    <w:rsid w:val="009C4403"/>
    <w:rsid w:val="009D5748"/>
    <w:rsid w:val="009D5A0C"/>
    <w:rsid w:val="00A05CA7"/>
    <w:rsid w:val="00A168FD"/>
    <w:rsid w:val="00A26DF6"/>
    <w:rsid w:val="00A367C1"/>
    <w:rsid w:val="00A40736"/>
    <w:rsid w:val="00A5517B"/>
    <w:rsid w:val="00A735F7"/>
    <w:rsid w:val="00A73762"/>
    <w:rsid w:val="00AA60B5"/>
    <w:rsid w:val="00AB3AF3"/>
    <w:rsid w:val="00AB6479"/>
    <w:rsid w:val="00AC7339"/>
    <w:rsid w:val="00AF57DC"/>
    <w:rsid w:val="00B23F9D"/>
    <w:rsid w:val="00B24969"/>
    <w:rsid w:val="00B454FE"/>
    <w:rsid w:val="00B54297"/>
    <w:rsid w:val="00B556A2"/>
    <w:rsid w:val="00B67D4B"/>
    <w:rsid w:val="00B928DD"/>
    <w:rsid w:val="00BA393C"/>
    <w:rsid w:val="00BC2EE0"/>
    <w:rsid w:val="00BD4492"/>
    <w:rsid w:val="00BD46F8"/>
    <w:rsid w:val="00C2114D"/>
    <w:rsid w:val="00C33BDA"/>
    <w:rsid w:val="00C346DC"/>
    <w:rsid w:val="00C6689F"/>
    <w:rsid w:val="00C83223"/>
    <w:rsid w:val="00CA4082"/>
    <w:rsid w:val="00CC4C3F"/>
    <w:rsid w:val="00CE34D7"/>
    <w:rsid w:val="00CF1D0B"/>
    <w:rsid w:val="00D1310C"/>
    <w:rsid w:val="00D2092F"/>
    <w:rsid w:val="00D42B72"/>
    <w:rsid w:val="00D519EB"/>
    <w:rsid w:val="00D60621"/>
    <w:rsid w:val="00D609AC"/>
    <w:rsid w:val="00D74B02"/>
    <w:rsid w:val="00D94D97"/>
    <w:rsid w:val="00DB1016"/>
    <w:rsid w:val="00DC4D50"/>
    <w:rsid w:val="00E04976"/>
    <w:rsid w:val="00E150D9"/>
    <w:rsid w:val="00E17473"/>
    <w:rsid w:val="00E328DA"/>
    <w:rsid w:val="00E41763"/>
    <w:rsid w:val="00E44983"/>
    <w:rsid w:val="00E501C9"/>
    <w:rsid w:val="00E94C59"/>
    <w:rsid w:val="00EC45AF"/>
    <w:rsid w:val="00EF5EE8"/>
    <w:rsid w:val="00F27AD9"/>
    <w:rsid w:val="00F45047"/>
    <w:rsid w:val="00F46C39"/>
    <w:rsid w:val="00F55452"/>
    <w:rsid w:val="00F84DEC"/>
    <w:rsid w:val="00F87C60"/>
    <w:rsid w:val="00FA05DB"/>
    <w:rsid w:val="00FA2997"/>
    <w:rsid w:val="00FC23F2"/>
    <w:rsid w:val="00FC5FCD"/>
    <w:rsid w:val="00FC633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001773"/>
    <w:rPr>
      <w:sz w:val="16"/>
      <w:szCs w:val="16"/>
    </w:rPr>
  </w:style>
  <w:style w:type="paragraph" w:styleId="CommentText">
    <w:name w:val="annotation text"/>
    <w:basedOn w:val="Normal"/>
    <w:link w:val="CommentTextChar"/>
    <w:uiPriority w:val="99"/>
    <w:semiHidden/>
    <w:unhideWhenUsed/>
    <w:rsid w:val="00001773"/>
  </w:style>
  <w:style w:type="character" w:customStyle="1" w:styleId="CommentTextChar">
    <w:name w:val="Comment Text Char"/>
    <w:basedOn w:val="DefaultParagraphFont"/>
    <w:link w:val="CommentText"/>
    <w:uiPriority w:val="99"/>
    <w:semiHidden/>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8325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49626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3759"/>
    <w:pPr>
      <w:tabs>
        <w:tab w:val="center" w:pos="4680"/>
        <w:tab w:val="right" w:pos="9360"/>
      </w:tabs>
    </w:pPr>
  </w:style>
  <w:style w:type="character" w:customStyle="1" w:styleId="HeaderChar">
    <w:name w:val="Header Char"/>
    <w:basedOn w:val="DefaultParagraphFont"/>
    <w:link w:val="Header"/>
    <w:uiPriority w:val="99"/>
    <w:rsid w:val="0090375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03759"/>
    <w:pPr>
      <w:tabs>
        <w:tab w:val="center" w:pos="4680"/>
        <w:tab w:val="right" w:pos="9360"/>
      </w:tabs>
    </w:pPr>
  </w:style>
  <w:style w:type="character" w:customStyle="1" w:styleId="FooterChar">
    <w:name w:val="Footer Char"/>
    <w:basedOn w:val="DefaultParagraphFont"/>
    <w:link w:val="Footer"/>
    <w:uiPriority w:val="99"/>
    <w:rsid w:val="00903759"/>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E17473"/>
    <w:pPr>
      <w:overflowPunct/>
      <w:autoSpaceDE/>
      <w:autoSpaceDN/>
      <w:adjustRightInd/>
      <w:spacing w:before="100" w:beforeAutospacing="1" w:after="100" w:afterAutospacing="1"/>
      <w:textAlignment w:val="auto"/>
    </w:pPr>
    <w:rPr>
      <w:sz w:val="24"/>
      <w:szCs w:val="24"/>
      <w:lang w:val="en-AU" w:eastAsia="en-AU"/>
    </w:rPr>
  </w:style>
  <w:style w:type="paragraph" w:styleId="NoSpacing">
    <w:name w:val="No Spacing"/>
    <w:uiPriority w:val="1"/>
    <w:qFormat/>
    <w:rsid w:val="00E17473"/>
    <w:pPr>
      <w:spacing w:after="0" w:line="240" w:lineRule="auto"/>
    </w:pPr>
    <w:rPr>
      <w:rFonts w:ascii="Calibri" w:eastAsia="Times New Roman" w:hAnsi="Calibri" w:cs="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E501C9"/>
    <w:pPr>
      <w:overflowPunct/>
      <w:autoSpaceDE/>
      <w:autoSpaceDN/>
      <w:adjustRightInd/>
      <w:ind w:left="720"/>
      <w:textAlignment w:val="auto"/>
    </w:pPr>
    <w:rPr>
      <w:rFonts w:ascii="Calibri" w:hAnsi="Calibri"/>
      <w:sz w:val="22"/>
      <w:szCs w:val="22"/>
      <w:lang w:val="en-US" w:eastAsia="en-US"/>
    </w:rPr>
  </w:style>
  <w:style w:type="paragraph" w:styleId="Subtitle">
    <w:name w:val="Subtitle"/>
    <w:basedOn w:val="Normal"/>
    <w:next w:val="Normal"/>
    <w:link w:val="SubtitleChar"/>
    <w:uiPriority w:val="11"/>
    <w:qFormat/>
    <w:rsid w:val="00E501C9"/>
    <w:pPr>
      <w:numPr>
        <w:ilvl w:val="1"/>
      </w:numPr>
      <w:overflowPunct/>
      <w:autoSpaceDE/>
      <w:autoSpaceDN/>
      <w:adjustRightInd/>
      <w:textAlignment w:val="auto"/>
    </w:pPr>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E501C9"/>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001773"/>
    <w:rPr>
      <w:sz w:val="16"/>
      <w:szCs w:val="16"/>
    </w:rPr>
  </w:style>
  <w:style w:type="paragraph" w:styleId="CommentText">
    <w:name w:val="annotation text"/>
    <w:basedOn w:val="Normal"/>
    <w:link w:val="CommentTextChar"/>
    <w:uiPriority w:val="99"/>
    <w:semiHidden/>
    <w:unhideWhenUsed/>
    <w:rsid w:val="00001773"/>
  </w:style>
  <w:style w:type="character" w:customStyle="1" w:styleId="CommentTextChar">
    <w:name w:val="Comment Text Char"/>
    <w:basedOn w:val="DefaultParagraphFont"/>
    <w:link w:val="CommentText"/>
    <w:uiPriority w:val="99"/>
    <w:semiHidden/>
    <w:rsid w:val="00001773"/>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01773"/>
    <w:rPr>
      <w:b/>
      <w:bCs/>
    </w:rPr>
  </w:style>
  <w:style w:type="character" w:customStyle="1" w:styleId="CommentSubjectChar">
    <w:name w:val="Comment Subject Char"/>
    <w:basedOn w:val="CommentTextChar"/>
    <w:link w:val="CommentSubject"/>
    <w:uiPriority w:val="99"/>
    <w:semiHidden/>
    <w:rsid w:val="00001773"/>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001773"/>
    <w:rPr>
      <w:rFonts w:ascii="Tahoma" w:hAnsi="Tahoma" w:cs="Tahoma"/>
      <w:sz w:val="16"/>
      <w:szCs w:val="16"/>
    </w:rPr>
  </w:style>
  <w:style w:type="character" w:customStyle="1" w:styleId="BalloonTextChar">
    <w:name w:val="Balloon Text Char"/>
    <w:basedOn w:val="DefaultParagraphFont"/>
    <w:link w:val="BalloonText"/>
    <w:uiPriority w:val="99"/>
    <w:semiHidden/>
    <w:rsid w:val="00001773"/>
    <w:rPr>
      <w:rFonts w:ascii="Tahoma" w:eastAsia="Times New Roman" w:hAnsi="Tahoma" w:cs="Tahoma"/>
      <w:sz w:val="16"/>
      <w:szCs w:val="16"/>
      <w:lang w:val="en-AU" w:eastAsia="en-GB"/>
    </w:rPr>
  </w:style>
  <w:style w:type="paragraph" w:styleId="FootnoteText">
    <w:name w:val="footnote text"/>
    <w:basedOn w:val="Normal"/>
    <w:link w:val="FootnoteTextChar"/>
    <w:uiPriority w:val="99"/>
    <w:semiHidden/>
    <w:unhideWhenUsed/>
    <w:rsid w:val="000C5BEF"/>
    <w:pPr>
      <w:overflowPunct/>
      <w:autoSpaceDE/>
      <w:autoSpaceDN/>
      <w:adjustRightInd/>
      <w:textAlignment w:val="auto"/>
    </w:pPr>
    <w:rPr>
      <w:rFonts w:ascii="Calibri" w:hAnsi="Calibri"/>
      <w:lang w:val="en-US" w:eastAsia="en-US"/>
    </w:rPr>
  </w:style>
  <w:style w:type="character" w:customStyle="1" w:styleId="FootnoteTextChar">
    <w:name w:val="Footnote Text Char"/>
    <w:basedOn w:val="DefaultParagraphFont"/>
    <w:link w:val="FootnoteText"/>
    <w:uiPriority w:val="99"/>
    <w:semiHidden/>
    <w:rsid w:val="000C5BEF"/>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0C5BEF"/>
    <w:rPr>
      <w:vertAlign w:val="superscript"/>
    </w:rPr>
  </w:style>
  <w:style w:type="table" w:styleId="TableGrid">
    <w:name w:val="Table Grid"/>
    <w:basedOn w:val="TableNormal"/>
    <w:uiPriority w:val="59"/>
    <w:rsid w:val="000C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832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49626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3759"/>
    <w:pPr>
      <w:tabs>
        <w:tab w:val="center" w:pos="4680"/>
        <w:tab w:val="right" w:pos="9360"/>
      </w:tabs>
    </w:pPr>
  </w:style>
  <w:style w:type="character" w:customStyle="1" w:styleId="HeaderChar">
    <w:name w:val="Header Char"/>
    <w:basedOn w:val="DefaultParagraphFont"/>
    <w:link w:val="Header"/>
    <w:uiPriority w:val="99"/>
    <w:rsid w:val="0090375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03759"/>
    <w:pPr>
      <w:tabs>
        <w:tab w:val="center" w:pos="4680"/>
        <w:tab w:val="right" w:pos="9360"/>
      </w:tabs>
    </w:pPr>
  </w:style>
  <w:style w:type="character" w:customStyle="1" w:styleId="FooterChar">
    <w:name w:val="Footer Char"/>
    <w:basedOn w:val="DefaultParagraphFont"/>
    <w:link w:val="Footer"/>
    <w:uiPriority w:val="99"/>
    <w:rsid w:val="00903759"/>
    <w:rPr>
      <w:rFonts w:ascii="Times New Roman" w:eastAsia="Times New Roman" w:hAnsi="Times New Roman" w:cs="Times New Roman"/>
      <w:sz w:val="20"/>
      <w:szCs w:val="20"/>
      <w:lang w:eastAsia="en-GB"/>
    </w:rPr>
  </w:style>
  <w:style w:type="paragraph" w:styleId="NormalWeb">
    <w:name w:val="Normal (Web)"/>
    <w:basedOn w:val="Normal"/>
    <w:uiPriority w:val="99"/>
    <w:semiHidden/>
    <w:unhideWhenUsed/>
    <w:rsid w:val="00E17473"/>
    <w:pPr>
      <w:overflowPunct/>
      <w:autoSpaceDE/>
      <w:autoSpaceDN/>
      <w:adjustRightInd/>
      <w:spacing w:before="100" w:beforeAutospacing="1" w:after="100" w:afterAutospacing="1"/>
      <w:textAlignment w:val="auto"/>
    </w:pPr>
    <w:rPr>
      <w:sz w:val="24"/>
      <w:szCs w:val="24"/>
      <w:lang w:val="en-AU" w:eastAsia="en-AU"/>
    </w:rPr>
  </w:style>
  <w:style w:type="paragraph" w:styleId="NoSpacing">
    <w:name w:val="No Spacing"/>
    <w:uiPriority w:val="1"/>
    <w:qFormat/>
    <w:rsid w:val="00E17473"/>
    <w:pPr>
      <w:spacing w:after="0" w:line="240" w:lineRule="auto"/>
    </w:pPr>
    <w:rPr>
      <w:rFonts w:ascii="Calibri" w:eastAsia="Times New Roman"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mailto:modifications@sem-o.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10FFB7-5AAA-4174-9535-79FB29F3043E}"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IE"/>
        </a:p>
      </dgm:t>
    </dgm:pt>
    <dgm:pt modelId="{AF701511-684E-447A-812A-854F6F8B6997}">
      <dgm:prSet phldrT="[Text]"/>
      <dgm:spPr/>
      <dgm:t>
        <a:bodyPr/>
        <a:lstStyle/>
        <a:p>
          <a:r>
            <a:rPr lang="en-IE" dirty="0" smtClean="0"/>
            <a:t>Change in Validity of Unit for Trading</a:t>
          </a:r>
          <a:endParaRPr lang="en-IE" dirty="0"/>
        </a:p>
      </dgm:t>
    </dgm:pt>
    <dgm:pt modelId="{F25D9DFE-1D1F-45DF-99C6-448B0ECD707F}" type="parTrans" cxnId="{891366F3-E2FC-4BAF-8F45-B55C5AC80C92}">
      <dgm:prSet/>
      <dgm:spPr/>
      <dgm:t>
        <a:bodyPr/>
        <a:lstStyle/>
        <a:p>
          <a:endParaRPr lang="en-IE"/>
        </a:p>
      </dgm:t>
    </dgm:pt>
    <dgm:pt modelId="{8579E82E-385A-40A1-B2A7-092DE7B4291B}" type="sibTrans" cxnId="{891366F3-E2FC-4BAF-8F45-B55C5AC80C92}">
      <dgm:prSet/>
      <dgm:spPr/>
      <dgm:t>
        <a:bodyPr/>
        <a:lstStyle/>
        <a:p>
          <a:endParaRPr lang="en-IE"/>
        </a:p>
      </dgm:t>
    </dgm:pt>
    <dgm:pt modelId="{891D9111-6C55-4692-A014-9332FD0845EC}">
      <dgm:prSet phldrT="[Text]"/>
      <dgm:spPr/>
      <dgm:t>
        <a:bodyPr/>
        <a:lstStyle/>
        <a:p>
          <a:r>
            <a:rPr lang="en-IE" dirty="0" smtClean="0"/>
            <a:t>Unit starting, unit suspended, or unit with trading halt applied</a:t>
          </a:r>
          <a:endParaRPr lang="en-IE" dirty="0"/>
        </a:p>
      </dgm:t>
    </dgm:pt>
    <dgm:pt modelId="{BEC61701-058F-4F48-9DD4-2035FEAAD6D6}" type="parTrans" cxnId="{74A6DAAA-999E-4AD2-A234-956B9CB81778}">
      <dgm:prSet/>
      <dgm:spPr/>
      <dgm:t>
        <a:bodyPr/>
        <a:lstStyle/>
        <a:p>
          <a:endParaRPr lang="en-IE"/>
        </a:p>
      </dgm:t>
    </dgm:pt>
    <dgm:pt modelId="{391B5409-2272-43D6-AD89-6A858024180E}" type="sibTrans" cxnId="{74A6DAAA-999E-4AD2-A234-956B9CB81778}">
      <dgm:prSet/>
      <dgm:spPr/>
      <dgm:t>
        <a:bodyPr/>
        <a:lstStyle/>
        <a:p>
          <a:endParaRPr lang="en-IE"/>
        </a:p>
      </dgm:t>
    </dgm:pt>
    <dgm:pt modelId="{85AFEF7F-AF76-4C1F-99B3-94618C25B4D8}">
      <dgm:prSet phldrT="[Text]"/>
      <dgm:spPr/>
      <dgm:t>
        <a:bodyPr/>
        <a:lstStyle/>
        <a:p>
          <a:r>
            <a:rPr lang="en-IE" b="1" dirty="0" smtClean="0"/>
            <a:t>Rare Event</a:t>
          </a:r>
          <a:endParaRPr lang="en-IE" b="1" dirty="0"/>
        </a:p>
      </dgm:t>
    </dgm:pt>
    <dgm:pt modelId="{37FEA281-367B-4F39-99CC-D0F6A036400F}" type="parTrans" cxnId="{44B9EF48-1EE1-4D5E-8C71-E6686FC22015}">
      <dgm:prSet/>
      <dgm:spPr/>
      <dgm:t>
        <a:bodyPr/>
        <a:lstStyle/>
        <a:p>
          <a:endParaRPr lang="en-IE"/>
        </a:p>
      </dgm:t>
    </dgm:pt>
    <dgm:pt modelId="{733165C7-D9AE-4ABF-B0B3-75E0002A0E91}" type="sibTrans" cxnId="{44B9EF48-1EE1-4D5E-8C71-E6686FC22015}">
      <dgm:prSet/>
      <dgm:spPr/>
      <dgm:t>
        <a:bodyPr/>
        <a:lstStyle/>
        <a:p>
          <a:endParaRPr lang="en-IE"/>
        </a:p>
      </dgm:t>
    </dgm:pt>
    <dgm:pt modelId="{49277F16-4507-4719-9409-6A438160FE6D}">
      <dgm:prSet phldrT="[Text]"/>
      <dgm:spPr/>
      <dgm:t>
        <a:bodyPr/>
        <a:lstStyle/>
        <a:p>
          <a:r>
            <a:rPr lang="en-IE" b="1" dirty="0" smtClean="0"/>
            <a:t>Very unlikely Event</a:t>
          </a:r>
          <a:endParaRPr lang="en-IE" b="1" dirty="0"/>
        </a:p>
      </dgm:t>
    </dgm:pt>
    <dgm:pt modelId="{295D5ABC-52CC-492B-95D2-29727733F23F}">
      <dgm:prSet phldrT="[Text]"/>
      <dgm:spPr/>
      <dgm:t>
        <a:bodyPr/>
        <a:lstStyle/>
        <a:p>
          <a:r>
            <a:rPr lang="en-IE" dirty="0" smtClean="0"/>
            <a:t>Error in communication or application of effective dates of unit in Ex-Ante trading system</a:t>
          </a:r>
          <a:endParaRPr lang="en-IE" dirty="0"/>
        </a:p>
      </dgm:t>
    </dgm:pt>
    <dgm:pt modelId="{48341B30-FA28-4CA2-A465-4B6462015405}">
      <dgm:prSet phldrT="[Text]"/>
      <dgm:spPr/>
      <dgm:t>
        <a:bodyPr/>
        <a:lstStyle/>
        <a:p>
          <a:r>
            <a:rPr lang="en-IE" dirty="0" smtClean="0"/>
            <a:t>Member Trades Anyway</a:t>
          </a:r>
          <a:endParaRPr lang="en-IE" b="1" dirty="0"/>
        </a:p>
      </dgm:t>
    </dgm:pt>
    <dgm:pt modelId="{F53C5EDD-F9FD-430D-BA37-9F1EE69A8513}" type="sibTrans" cxnId="{003DAEC2-B610-4338-9BE7-678D3B7845B4}">
      <dgm:prSet/>
      <dgm:spPr/>
      <dgm:t>
        <a:bodyPr/>
        <a:lstStyle/>
        <a:p>
          <a:endParaRPr lang="en-IE"/>
        </a:p>
      </dgm:t>
    </dgm:pt>
    <dgm:pt modelId="{A7B22913-C8A4-4DCA-8A02-9637E5D75A51}" type="parTrans" cxnId="{003DAEC2-B610-4338-9BE7-678D3B7845B4}">
      <dgm:prSet/>
      <dgm:spPr/>
    </dgm:pt>
    <dgm:pt modelId="{C9800F41-2AD5-4D3B-89D0-FB4B4C9A7598}" type="sibTrans" cxnId="{7FECAB76-2BFC-4A59-8A8A-CF54FA09C3CC}">
      <dgm:prSet/>
      <dgm:spPr/>
      <dgm:t>
        <a:bodyPr/>
        <a:lstStyle/>
        <a:p>
          <a:endParaRPr lang="en-IE"/>
        </a:p>
      </dgm:t>
    </dgm:pt>
    <dgm:pt modelId="{977775F5-BB0F-48A4-AC62-3B45C5AFA517}" type="parTrans" cxnId="{7FECAB76-2BFC-4A59-8A8A-CF54FA09C3CC}">
      <dgm:prSet/>
      <dgm:spPr/>
      <dgm:t>
        <a:bodyPr/>
        <a:lstStyle/>
        <a:p>
          <a:endParaRPr lang="en-IE"/>
        </a:p>
      </dgm:t>
    </dgm:pt>
    <dgm:pt modelId="{F1C78EBB-92ED-424D-A8F0-2236E0C6EDEC}" type="sibTrans" cxnId="{FB2AB204-C569-46A8-96C1-D161987906F9}">
      <dgm:prSet/>
      <dgm:spPr/>
      <dgm:t>
        <a:bodyPr/>
        <a:lstStyle/>
        <a:p>
          <a:endParaRPr lang="en-IE"/>
        </a:p>
      </dgm:t>
    </dgm:pt>
    <dgm:pt modelId="{B73B6200-CF33-4A87-9596-E108F78E1750}" type="parTrans" cxnId="{FB2AB204-C569-46A8-96C1-D161987906F9}">
      <dgm:prSet/>
      <dgm:spPr/>
      <dgm:t>
        <a:bodyPr/>
        <a:lstStyle/>
        <a:p>
          <a:endParaRPr lang="en-IE"/>
        </a:p>
      </dgm:t>
    </dgm:pt>
    <dgm:pt modelId="{0457C112-828A-41C8-B791-1DA28BB26AB3}">
      <dgm:prSet phldrT="[Text]"/>
      <dgm:spPr/>
      <dgm:t>
        <a:bodyPr/>
        <a:lstStyle/>
        <a:p>
          <a:r>
            <a:rPr lang="en-IE" dirty="0" smtClean="0"/>
            <a:t> Obligations under rules not to trade when not valid to do so</a:t>
          </a:r>
          <a:endParaRPr lang="en-IE" dirty="0"/>
        </a:p>
      </dgm:t>
    </dgm:pt>
    <dgm:pt modelId="{6607443E-10B9-4917-A92A-3FD32AD3655B}" type="parTrans" cxnId="{B307DFF5-3016-4959-88CF-3FF72D9DA170}">
      <dgm:prSet/>
      <dgm:spPr/>
      <dgm:t>
        <a:bodyPr/>
        <a:lstStyle/>
        <a:p>
          <a:endParaRPr lang="en-IE"/>
        </a:p>
      </dgm:t>
    </dgm:pt>
    <dgm:pt modelId="{E2EEF649-44EE-41E6-84DC-6D7396355B81}" type="sibTrans" cxnId="{B307DFF5-3016-4959-88CF-3FF72D9DA170}">
      <dgm:prSet/>
      <dgm:spPr/>
      <dgm:t>
        <a:bodyPr/>
        <a:lstStyle/>
        <a:p>
          <a:endParaRPr lang="en-IE"/>
        </a:p>
      </dgm:t>
    </dgm:pt>
    <dgm:pt modelId="{055334B0-4425-4181-AE7E-24FA0D97EEE1}">
      <dgm:prSet phldrT="[Text]"/>
      <dgm:spPr/>
      <dgm:t>
        <a:bodyPr/>
        <a:lstStyle/>
        <a:p>
          <a:r>
            <a:rPr lang="en-IE" b="1" dirty="0" smtClean="0"/>
            <a:t>Unlikely Event</a:t>
          </a:r>
          <a:endParaRPr lang="en-IE"/>
        </a:p>
      </dgm:t>
    </dgm:pt>
    <dgm:pt modelId="{96F29330-35D8-4323-ABC7-3681118C12F1}" type="parTrans" cxnId="{2A6AD3F0-0689-4F99-B65E-2E40B4111A1D}">
      <dgm:prSet/>
      <dgm:spPr/>
      <dgm:t>
        <a:bodyPr/>
        <a:lstStyle/>
        <a:p>
          <a:endParaRPr lang="en-IE"/>
        </a:p>
      </dgm:t>
    </dgm:pt>
    <dgm:pt modelId="{081F1703-12EE-4E73-8F91-BCD5725BED7B}" type="sibTrans" cxnId="{2A6AD3F0-0689-4F99-B65E-2E40B4111A1D}">
      <dgm:prSet/>
      <dgm:spPr/>
      <dgm:t>
        <a:bodyPr/>
        <a:lstStyle/>
        <a:p>
          <a:endParaRPr lang="en-IE"/>
        </a:p>
      </dgm:t>
    </dgm:pt>
    <dgm:pt modelId="{77B0478D-2467-40ED-875E-60787C008F5A}">
      <dgm:prSet phldrT="[Text]"/>
      <dgm:spPr/>
      <dgm:t>
        <a:bodyPr/>
        <a:lstStyle/>
        <a:p>
          <a:r>
            <a:rPr lang="en-IE" dirty="0" smtClean="0"/>
            <a:t>Technical Restriction Not Made</a:t>
          </a:r>
          <a:endParaRPr lang="en-IE"/>
        </a:p>
      </dgm:t>
    </dgm:pt>
    <dgm:pt modelId="{C46F2C93-25DA-4681-B729-81109657AEAF}" type="parTrans" cxnId="{24116140-5BCC-4FFE-91CB-7DDB7B11BF6C}">
      <dgm:prSet/>
      <dgm:spPr/>
    </dgm:pt>
    <dgm:pt modelId="{CE830F92-D974-4643-8F70-6BB37612EBAD}" type="sibTrans" cxnId="{24116140-5BCC-4FFE-91CB-7DDB7B11BF6C}">
      <dgm:prSet/>
      <dgm:spPr/>
      <dgm:t>
        <a:bodyPr/>
        <a:lstStyle/>
        <a:p>
          <a:endParaRPr lang="en-IE"/>
        </a:p>
      </dgm:t>
    </dgm:pt>
    <dgm:pt modelId="{251C51C9-FF06-4E3E-9D0C-E4CC0E72AE9B}">
      <dgm:prSet phldrT="[Text]" custT="1"/>
      <dgm:spPr>
        <a:solidFill>
          <a:schemeClr val="accent2"/>
        </a:solidFill>
      </dgm:spPr>
      <dgm:t>
        <a:bodyPr/>
        <a:lstStyle/>
        <a:p>
          <a:pPr algn="ctr"/>
          <a:r>
            <a:rPr lang="en-IE" sz="1200" dirty="0" smtClean="0"/>
            <a:t>Risk Eventuates</a:t>
          </a:r>
          <a:endParaRPr lang="en-IE" sz="1200" dirty="0"/>
        </a:p>
      </dgm:t>
    </dgm:pt>
    <dgm:pt modelId="{D0827340-FE8A-4735-AC89-BFE76EB7BF01}" type="sibTrans" cxnId="{5A1C27D3-C444-4299-A72A-E64267783E96}">
      <dgm:prSet/>
      <dgm:spPr/>
      <dgm:t>
        <a:bodyPr/>
        <a:lstStyle/>
        <a:p>
          <a:endParaRPr lang="en-IE"/>
        </a:p>
      </dgm:t>
    </dgm:pt>
    <dgm:pt modelId="{857F97C1-394E-473B-B031-5245127EBD79}" type="parTrans" cxnId="{5A1C27D3-C444-4299-A72A-E64267783E96}">
      <dgm:prSet/>
      <dgm:spPr/>
      <dgm:t>
        <a:bodyPr/>
        <a:lstStyle/>
        <a:p>
          <a:endParaRPr lang="en-IE"/>
        </a:p>
      </dgm:t>
    </dgm:pt>
    <dgm:pt modelId="{8054640E-9CCA-47A0-90C9-534C992E129F}" type="pres">
      <dgm:prSet presAssocID="{F010FFB7-5AAA-4174-9535-79FB29F3043E}" presName="linearFlow" presStyleCnt="0">
        <dgm:presLayoutVars>
          <dgm:dir/>
          <dgm:animLvl val="lvl"/>
          <dgm:resizeHandles val="exact"/>
        </dgm:presLayoutVars>
      </dgm:prSet>
      <dgm:spPr/>
      <dgm:t>
        <a:bodyPr/>
        <a:lstStyle/>
        <a:p>
          <a:endParaRPr lang="en-IE"/>
        </a:p>
      </dgm:t>
    </dgm:pt>
    <dgm:pt modelId="{76E62DD1-2782-408D-9294-4E54AF33E606}" type="pres">
      <dgm:prSet presAssocID="{AF701511-684E-447A-812A-854F6F8B6997}" presName="composite" presStyleCnt="0"/>
      <dgm:spPr/>
    </dgm:pt>
    <dgm:pt modelId="{3217C9BD-FAE6-4E47-BAB8-F6A6AA350AF0}" type="pres">
      <dgm:prSet presAssocID="{AF701511-684E-447A-812A-854F6F8B6997}" presName="parTx" presStyleLbl="node1" presStyleIdx="0" presStyleCnt="4">
        <dgm:presLayoutVars>
          <dgm:chMax val="0"/>
          <dgm:chPref val="0"/>
          <dgm:bulletEnabled val="1"/>
        </dgm:presLayoutVars>
      </dgm:prSet>
      <dgm:spPr/>
      <dgm:t>
        <a:bodyPr/>
        <a:lstStyle/>
        <a:p>
          <a:endParaRPr lang="en-IE"/>
        </a:p>
      </dgm:t>
    </dgm:pt>
    <dgm:pt modelId="{B6F4D404-B4D7-40E0-A2BC-055667AA25AF}" type="pres">
      <dgm:prSet presAssocID="{AF701511-684E-447A-812A-854F6F8B6997}" presName="parSh" presStyleLbl="node1" presStyleIdx="0" presStyleCnt="4"/>
      <dgm:spPr/>
      <dgm:t>
        <a:bodyPr/>
        <a:lstStyle/>
        <a:p>
          <a:endParaRPr lang="en-IE"/>
        </a:p>
      </dgm:t>
    </dgm:pt>
    <dgm:pt modelId="{7720A147-D73A-4867-86FB-15D106DC3CCE}" type="pres">
      <dgm:prSet presAssocID="{AF701511-684E-447A-812A-854F6F8B6997}" presName="desTx" presStyleLbl="fgAcc1" presStyleIdx="0" presStyleCnt="4">
        <dgm:presLayoutVars>
          <dgm:bulletEnabled val="1"/>
        </dgm:presLayoutVars>
      </dgm:prSet>
      <dgm:spPr/>
      <dgm:t>
        <a:bodyPr/>
        <a:lstStyle/>
        <a:p>
          <a:endParaRPr lang="en-IE"/>
        </a:p>
      </dgm:t>
    </dgm:pt>
    <dgm:pt modelId="{60A9FF28-EB90-4BE4-916F-418E0EBAE336}" type="pres">
      <dgm:prSet presAssocID="{8579E82E-385A-40A1-B2A7-092DE7B4291B}" presName="sibTrans" presStyleLbl="sibTrans2D1" presStyleIdx="0" presStyleCnt="3"/>
      <dgm:spPr/>
      <dgm:t>
        <a:bodyPr/>
        <a:lstStyle/>
        <a:p>
          <a:endParaRPr lang="en-IE"/>
        </a:p>
      </dgm:t>
    </dgm:pt>
    <dgm:pt modelId="{09CE43A5-DA0E-4B65-81FC-5BBEEC6A8BFE}" type="pres">
      <dgm:prSet presAssocID="{8579E82E-385A-40A1-B2A7-092DE7B4291B}" presName="connTx" presStyleLbl="sibTrans2D1" presStyleIdx="0" presStyleCnt="3"/>
      <dgm:spPr/>
      <dgm:t>
        <a:bodyPr/>
        <a:lstStyle/>
        <a:p>
          <a:endParaRPr lang="en-IE"/>
        </a:p>
      </dgm:t>
    </dgm:pt>
    <dgm:pt modelId="{232CBC8F-1F80-41C8-8026-9C2B32AF4716}" type="pres">
      <dgm:prSet presAssocID="{48341B30-FA28-4CA2-A465-4B6462015405}" presName="composite" presStyleCnt="0"/>
      <dgm:spPr/>
    </dgm:pt>
    <dgm:pt modelId="{8E19A3C5-52FE-4781-8EB8-82A597070CF4}" type="pres">
      <dgm:prSet presAssocID="{48341B30-FA28-4CA2-A465-4B6462015405}" presName="parTx" presStyleLbl="node1" presStyleIdx="0" presStyleCnt="4">
        <dgm:presLayoutVars>
          <dgm:chMax val="0"/>
          <dgm:chPref val="0"/>
          <dgm:bulletEnabled val="1"/>
        </dgm:presLayoutVars>
      </dgm:prSet>
      <dgm:spPr/>
      <dgm:t>
        <a:bodyPr/>
        <a:lstStyle/>
        <a:p>
          <a:endParaRPr lang="en-IE"/>
        </a:p>
      </dgm:t>
    </dgm:pt>
    <dgm:pt modelId="{171FBF0F-E9D1-4474-917B-8B699F4DCCB2}" type="pres">
      <dgm:prSet presAssocID="{48341B30-FA28-4CA2-A465-4B6462015405}" presName="parSh" presStyleLbl="node1" presStyleIdx="1" presStyleCnt="4"/>
      <dgm:spPr/>
      <dgm:t>
        <a:bodyPr/>
        <a:lstStyle/>
        <a:p>
          <a:endParaRPr lang="en-IE"/>
        </a:p>
      </dgm:t>
    </dgm:pt>
    <dgm:pt modelId="{8385A31F-884F-424C-8E06-A0476F36BF7A}" type="pres">
      <dgm:prSet presAssocID="{48341B30-FA28-4CA2-A465-4B6462015405}" presName="desTx" presStyleLbl="fgAcc1" presStyleIdx="1" presStyleCnt="4">
        <dgm:presLayoutVars>
          <dgm:bulletEnabled val="1"/>
        </dgm:presLayoutVars>
      </dgm:prSet>
      <dgm:spPr/>
      <dgm:t>
        <a:bodyPr/>
        <a:lstStyle/>
        <a:p>
          <a:endParaRPr lang="en-IE"/>
        </a:p>
      </dgm:t>
    </dgm:pt>
    <dgm:pt modelId="{18DB9BE6-6F09-4D5F-94AE-43C3884FEC7B}" type="pres">
      <dgm:prSet presAssocID="{F53C5EDD-F9FD-430D-BA37-9F1EE69A8513}" presName="sibTrans" presStyleLbl="sibTrans2D1" presStyleIdx="1" presStyleCnt="3"/>
      <dgm:spPr/>
      <dgm:t>
        <a:bodyPr/>
        <a:lstStyle/>
        <a:p>
          <a:endParaRPr lang="en-IE"/>
        </a:p>
      </dgm:t>
    </dgm:pt>
    <dgm:pt modelId="{D8EA8262-5194-42A5-BE30-9BA664A1031E}" type="pres">
      <dgm:prSet presAssocID="{F53C5EDD-F9FD-430D-BA37-9F1EE69A8513}" presName="connTx" presStyleLbl="sibTrans2D1" presStyleIdx="1" presStyleCnt="3"/>
      <dgm:spPr/>
      <dgm:t>
        <a:bodyPr/>
        <a:lstStyle/>
        <a:p>
          <a:endParaRPr lang="en-IE"/>
        </a:p>
      </dgm:t>
    </dgm:pt>
    <dgm:pt modelId="{66D93951-4A15-4122-A7F9-4802EE04A54D}" type="pres">
      <dgm:prSet presAssocID="{77B0478D-2467-40ED-875E-60787C008F5A}" presName="composite" presStyleCnt="0"/>
      <dgm:spPr/>
    </dgm:pt>
    <dgm:pt modelId="{E5AC1817-D5C4-475B-A62E-1D49CF05B147}" type="pres">
      <dgm:prSet presAssocID="{77B0478D-2467-40ED-875E-60787C008F5A}" presName="parTx" presStyleLbl="node1" presStyleIdx="1" presStyleCnt="4">
        <dgm:presLayoutVars>
          <dgm:chMax val="0"/>
          <dgm:chPref val="0"/>
          <dgm:bulletEnabled val="1"/>
        </dgm:presLayoutVars>
      </dgm:prSet>
      <dgm:spPr/>
      <dgm:t>
        <a:bodyPr/>
        <a:lstStyle/>
        <a:p>
          <a:endParaRPr lang="en-IE"/>
        </a:p>
      </dgm:t>
    </dgm:pt>
    <dgm:pt modelId="{016F8C30-3C24-4B89-801C-8482B74BEC66}" type="pres">
      <dgm:prSet presAssocID="{77B0478D-2467-40ED-875E-60787C008F5A}" presName="parSh" presStyleLbl="node1" presStyleIdx="2" presStyleCnt="4"/>
      <dgm:spPr/>
      <dgm:t>
        <a:bodyPr/>
        <a:lstStyle/>
        <a:p>
          <a:endParaRPr lang="en-IE"/>
        </a:p>
      </dgm:t>
    </dgm:pt>
    <dgm:pt modelId="{0E713F0D-5FE6-46A6-BE5D-AB45DAB7D4D2}" type="pres">
      <dgm:prSet presAssocID="{77B0478D-2467-40ED-875E-60787C008F5A}" presName="desTx" presStyleLbl="fgAcc1" presStyleIdx="2" presStyleCnt="4">
        <dgm:presLayoutVars>
          <dgm:bulletEnabled val="1"/>
        </dgm:presLayoutVars>
      </dgm:prSet>
      <dgm:spPr/>
      <dgm:t>
        <a:bodyPr/>
        <a:lstStyle/>
        <a:p>
          <a:endParaRPr lang="en-IE"/>
        </a:p>
      </dgm:t>
    </dgm:pt>
    <dgm:pt modelId="{1D005261-04EE-474D-A548-6A773CCB68E7}" type="pres">
      <dgm:prSet presAssocID="{CE830F92-D974-4643-8F70-6BB37612EBAD}" presName="sibTrans" presStyleLbl="sibTrans2D1" presStyleIdx="2" presStyleCnt="3"/>
      <dgm:spPr/>
      <dgm:t>
        <a:bodyPr/>
        <a:lstStyle/>
        <a:p>
          <a:endParaRPr lang="en-IE"/>
        </a:p>
      </dgm:t>
    </dgm:pt>
    <dgm:pt modelId="{DC93C792-DAFF-4040-B521-C7824122FD9D}" type="pres">
      <dgm:prSet presAssocID="{CE830F92-D974-4643-8F70-6BB37612EBAD}" presName="connTx" presStyleLbl="sibTrans2D1" presStyleIdx="2" presStyleCnt="3"/>
      <dgm:spPr/>
      <dgm:t>
        <a:bodyPr/>
        <a:lstStyle/>
        <a:p>
          <a:endParaRPr lang="en-IE"/>
        </a:p>
      </dgm:t>
    </dgm:pt>
    <dgm:pt modelId="{543C073C-3DB4-4AE9-A9D4-25005B3BD0B4}" type="pres">
      <dgm:prSet presAssocID="{251C51C9-FF06-4E3E-9D0C-E4CC0E72AE9B}" presName="composite" presStyleCnt="0"/>
      <dgm:spPr/>
    </dgm:pt>
    <dgm:pt modelId="{D9C21213-861E-40A6-A1B0-88787F213130}" type="pres">
      <dgm:prSet presAssocID="{251C51C9-FF06-4E3E-9D0C-E4CC0E72AE9B}" presName="parTx" presStyleLbl="node1" presStyleIdx="2" presStyleCnt="4">
        <dgm:presLayoutVars>
          <dgm:chMax val="0"/>
          <dgm:chPref val="0"/>
          <dgm:bulletEnabled val="1"/>
        </dgm:presLayoutVars>
      </dgm:prSet>
      <dgm:spPr/>
      <dgm:t>
        <a:bodyPr/>
        <a:lstStyle/>
        <a:p>
          <a:endParaRPr lang="en-IE"/>
        </a:p>
      </dgm:t>
    </dgm:pt>
    <dgm:pt modelId="{6BAD6101-648A-4066-9364-38E126362254}" type="pres">
      <dgm:prSet presAssocID="{251C51C9-FF06-4E3E-9D0C-E4CC0E72AE9B}" presName="parSh" presStyleLbl="node1" presStyleIdx="3" presStyleCnt="4" custScaleX="108843" custScaleY="135380" custLinFactNeighborY="-18376"/>
      <dgm:spPr/>
      <dgm:t>
        <a:bodyPr/>
        <a:lstStyle/>
        <a:p>
          <a:endParaRPr lang="en-IE"/>
        </a:p>
      </dgm:t>
    </dgm:pt>
    <dgm:pt modelId="{A4E440B0-FA62-483F-9060-894BBD9983FA}" type="pres">
      <dgm:prSet presAssocID="{251C51C9-FF06-4E3E-9D0C-E4CC0E72AE9B}" presName="desTx" presStyleLbl="fgAcc1" presStyleIdx="3" presStyleCnt="4">
        <dgm:presLayoutVars>
          <dgm:bulletEnabled val="1"/>
        </dgm:presLayoutVars>
      </dgm:prSet>
      <dgm:spPr>
        <a:noFill/>
        <a:ln>
          <a:noFill/>
        </a:ln>
      </dgm:spPr>
    </dgm:pt>
  </dgm:ptLst>
  <dgm:cxnLst>
    <dgm:cxn modelId="{5A1C27D3-C444-4299-A72A-E64267783E96}" srcId="{F010FFB7-5AAA-4174-9535-79FB29F3043E}" destId="{251C51C9-FF06-4E3E-9D0C-E4CC0E72AE9B}" srcOrd="3" destOrd="0" parTransId="{857F97C1-394E-473B-B031-5245127EBD79}" sibTransId="{D0827340-FE8A-4735-AC89-BFE76EB7BF01}"/>
    <dgm:cxn modelId="{74A6DAAA-999E-4AD2-A234-956B9CB81778}" srcId="{AF701511-684E-447A-812A-854F6F8B6997}" destId="{891D9111-6C55-4692-A014-9332FD0845EC}" srcOrd="0" destOrd="0" parTransId="{BEC61701-058F-4F48-9DD4-2035FEAAD6D6}" sibTransId="{391B5409-2272-43D6-AD89-6A858024180E}"/>
    <dgm:cxn modelId="{FB2AB204-C569-46A8-96C1-D161987906F9}" srcId="{77B0478D-2467-40ED-875E-60787C008F5A}" destId="{295D5ABC-52CC-492B-95D2-29727733F23F}" srcOrd="0" destOrd="0" parTransId="{B73B6200-CF33-4A87-9596-E108F78E1750}" sibTransId="{F1C78EBB-92ED-424D-A8F0-2236E0C6EDEC}"/>
    <dgm:cxn modelId="{077FB947-D148-44DC-A4DE-1D306E15FDF0}" type="presOf" srcId="{891D9111-6C55-4692-A014-9332FD0845EC}" destId="{7720A147-D73A-4867-86FB-15D106DC3CCE}" srcOrd="0" destOrd="0" presId="urn:microsoft.com/office/officeart/2005/8/layout/process3"/>
    <dgm:cxn modelId="{0CD7DC30-CF0D-49FC-8B34-C2D15BFBECC4}" type="presOf" srcId="{77B0478D-2467-40ED-875E-60787C008F5A}" destId="{E5AC1817-D5C4-475B-A62E-1D49CF05B147}" srcOrd="0" destOrd="0" presId="urn:microsoft.com/office/officeart/2005/8/layout/process3"/>
    <dgm:cxn modelId="{ECEB7F6F-C257-405B-A712-285F87E3D4CE}" type="presOf" srcId="{251C51C9-FF06-4E3E-9D0C-E4CC0E72AE9B}" destId="{6BAD6101-648A-4066-9364-38E126362254}" srcOrd="1" destOrd="0" presId="urn:microsoft.com/office/officeart/2005/8/layout/process3"/>
    <dgm:cxn modelId="{2A6AD3F0-0689-4F99-B65E-2E40B4111A1D}" srcId="{48341B30-FA28-4CA2-A465-4B6462015405}" destId="{055334B0-4425-4181-AE7E-24FA0D97EEE1}" srcOrd="1" destOrd="0" parTransId="{96F29330-35D8-4323-ABC7-3681118C12F1}" sibTransId="{081F1703-12EE-4E73-8F91-BCD5725BED7B}"/>
    <dgm:cxn modelId="{0C6A0105-9BCA-406D-A3B2-903D90051F57}" type="presOf" srcId="{77B0478D-2467-40ED-875E-60787C008F5A}" destId="{016F8C30-3C24-4B89-801C-8482B74BEC66}" srcOrd="1" destOrd="0" presId="urn:microsoft.com/office/officeart/2005/8/layout/process3"/>
    <dgm:cxn modelId="{A3B572A2-85FF-4F87-AEC3-E621E48A1D52}" type="presOf" srcId="{49277F16-4507-4719-9409-6A438160FE6D}" destId="{0E713F0D-5FE6-46A6-BE5D-AB45DAB7D4D2}" srcOrd="0" destOrd="1" presId="urn:microsoft.com/office/officeart/2005/8/layout/process3"/>
    <dgm:cxn modelId="{7FECAB76-2BFC-4A59-8A8A-CF54FA09C3CC}" srcId="{77B0478D-2467-40ED-875E-60787C008F5A}" destId="{49277F16-4507-4719-9409-6A438160FE6D}" srcOrd="1" destOrd="0" parTransId="{977775F5-BB0F-48A4-AC62-3B45C5AFA517}" sibTransId="{C9800F41-2AD5-4D3B-89D0-FB4B4C9A7598}"/>
    <dgm:cxn modelId="{A181FB80-F4A6-49B0-9E47-AA9D490F105F}" type="presOf" srcId="{AF701511-684E-447A-812A-854F6F8B6997}" destId="{3217C9BD-FAE6-4E47-BAB8-F6A6AA350AF0}" srcOrd="0" destOrd="0" presId="urn:microsoft.com/office/officeart/2005/8/layout/process3"/>
    <dgm:cxn modelId="{5911A9B3-1BDA-444F-A3CA-BBDBB44A353D}" type="presOf" srcId="{CE830F92-D974-4643-8F70-6BB37612EBAD}" destId="{DC93C792-DAFF-4040-B521-C7824122FD9D}" srcOrd="1" destOrd="0" presId="urn:microsoft.com/office/officeart/2005/8/layout/process3"/>
    <dgm:cxn modelId="{B307DFF5-3016-4959-88CF-3FF72D9DA170}" srcId="{48341B30-FA28-4CA2-A465-4B6462015405}" destId="{0457C112-828A-41C8-B791-1DA28BB26AB3}" srcOrd="0" destOrd="0" parTransId="{6607443E-10B9-4917-A92A-3FD32AD3655B}" sibTransId="{E2EEF649-44EE-41E6-84DC-6D7396355B81}"/>
    <dgm:cxn modelId="{006FE9E6-29B0-4C6B-9D5E-F7ABE1954B34}" type="presOf" srcId="{295D5ABC-52CC-492B-95D2-29727733F23F}" destId="{0E713F0D-5FE6-46A6-BE5D-AB45DAB7D4D2}" srcOrd="0" destOrd="0" presId="urn:microsoft.com/office/officeart/2005/8/layout/process3"/>
    <dgm:cxn modelId="{A2029971-32CA-4206-9D1A-C0ADD78B537D}" type="presOf" srcId="{251C51C9-FF06-4E3E-9D0C-E4CC0E72AE9B}" destId="{D9C21213-861E-40A6-A1B0-88787F213130}" srcOrd="0" destOrd="0" presId="urn:microsoft.com/office/officeart/2005/8/layout/process3"/>
    <dgm:cxn modelId="{31F3D82D-0DB3-436B-88CF-3A0E9EED20C9}" type="presOf" srcId="{055334B0-4425-4181-AE7E-24FA0D97EEE1}" destId="{8385A31F-884F-424C-8E06-A0476F36BF7A}" srcOrd="0" destOrd="1" presId="urn:microsoft.com/office/officeart/2005/8/layout/process3"/>
    <dgm:cxn modelId="{24116140-5BCC-4FFE-91CB-7DDB7B11BF6C}" srcId="{F010FFB7-5AAA-4174-9535-79FB29F3043E}" destId="{77B0478D-2467-40ED-875E-60787C008F5A}" srcOrd="2" destOrd="0" parTransId="{C46F2C93-25DA-4681-B729-81109657AEAF}" sibTransId="{CE830F92-D974-4643-8F70-6BB37612EBAD}"/>
    <dgm:cxn modelId="{1A50F058-E60F-4EE4-9531-F4824ACC20CB}" type="presOf" srcId="{0457C112-828A-41C8-B791-1DA28BB26AB3}" destId="{8385A31F-884F-424C-8E06-A0476F36BF7A}" srcOrd="0" destOrd="0" presId="urn:microsoft.com/office/officeart/2005/8/layout/process3"/>
    <dgm:cxn modelId="{87FFA5E5-199B-4379-B7C3-B8D3269DD598}" type="presOf" srcId="{CE830F92-D974-4643-8F70-6BB37612EBAD}" destId="{1D005261-04EE-474D-A548-6A773CCB68E7}" srcOrd="0" destOrd="0" presId="urn:microsoft.com/office/officeart/2005/8/layout/process3"/>
    <dgm:cxn modelId="{CE4E4760-CAA4-4F4A-88DC-8DBE30B0F72E}" type="presOf" srcId="{48341B30-FA28-4CA2-A465-4B6462015405}" destId="{171FBF0F-E9D1-4474-917B-8B699F4DCCB2}" srcOrd="1" destOrd="0" presId="urn:microsoft.com/office/officeart/2005/8/layout/process3"/>
    <dgm:cxn modelId="{B9263466-D345-4C0D-B6A1-D1E8AE832067}" type="presOf" srcId="{48341B30-FA28-4CA2-A465-4B6462015405}" destId="{8E19A3C5-52FE-4781-8EB8-82A597070CF4}" srcOrd="0" destOrd="0" presId="urn:microsoft.com/office/officeart/2005/8/layout/process3"/>
    <dgm:cxn modelId="{5ED52FAF-09E1-4B34-BF21-FD86FD2C36CF}" type="presOf" srcId="{8579E82E-385A-40A1-B2A7-092DE7B4291B}" destId="{09CE43A5-DA0E-4B65-81FC-5BBEEC6A8BFE}" srcOrd="1" destOrd="0" presId="urn:microsoft.com/office/officeart/2005/8/layout/process3"/>
    <dgm:cxn modelId="{D36AE810-7738-48E6-B6E2-9310EF43AD9B}" type="presOf" srcId="{AF701511-684E-447A-812A-854F6F8B6997}" destId="{B6F4D404-B4D7-40E0-A2BC-055667AA25AF}" srcOrd="1" destOrd="0" presId="urn:microsoft.com/office/officeart/2005/8/layout/process3"/>
    <dgm:cxn modelId="{A54CCC57-DFED-4C44-AC96-7AF949D31DD8}" type="presOf" srcId="{F53C5EDD-F9FD-430D-BA37-9F1EE69A8513}" destId="{D8EA8262-5194-42A5-BE30-9BA664A1031E}" srcOrd="1" destOrd="0" presId="urn:microsoft.com/office/officeart/2005/8/layout/process3"/>
    <dgm:cxn modelId="{891366F3-E2FC-4BAF-8F45-B55C5AC80C92}" srcId="{F010FFB7-5AAA-4174-9535-79FB29F3043E}" destId="{AF701511-684E-447A-812A-854F6F8B6997}" srcOrd="0" destOrd="0" parTransId="{F25D9DFE-1D1F-45DF-99C6-448B0ECD707F}" sibTransId="{8579E82E-385A-40A1-B2A7-092DE7B4291B}"/>
    <dgm:cxn modelId="{44B9EF48-1EE1-4D5E-8C71-E6686FC22015}" srcId="{AF701511-684E-447A-812A-854F6F8B6997}" destId="{85AFEF7F-AF76-4C1F-99B3-94618C25B4D8}" srcOrd="1" destOrd="0" parTransId="{37FEA281-367B-4F39-99CC-D0F6A036400F}" sibTransId="{733165C7-D9AE-4ABF-B0B3-75E0002A0E91}"/>
    <dgm:cxn modelId="{003DAEC2-B610-4338-9BE7-678D3B7845B4}" srcId="{F010FFB7-5AAA-4174-9535-79FB29F3043E}" destId="{48341B30-FA28-4CA2-A465-4B6462015405}" srcOrd="1" destOrd="0" parTransId="{A7B22913-C8A4-4DCA-8A02-9637E5D75A51}" sibTransId="{F53C5EDD-F9FD-430D-BA37-9F1EE69A8513}"/>
    <dgm:cxn modelId="{B8A57D2A-FF7A-4269-A7EC-F803CCF750C0}" type="presOf" srcId="{F010FFB7-5AAA-4174-9535-79FB29F3043E}" destId="{8054640E-9CCA-47A0-90C9-534C992E129F}" srcOrd="0" destOrd="0" presId="urn:microsoft.com/office/officeart/2005/8/layout/process3"/>
    <dgm:cxn modelId="{C9FD11D8-7F79-422C-AB94-969C7CEA8E55}" type="presOf" srcId="{F53C5EDD-F9FD-430D-BA37-9F1EE69A8513}" destId="{18DB9BE6-6F09-4D5F-94AE-43C3884FEC7B}" srcOrd="0" destOrd="0" presId="urn:microsoft.com/office/officeart/2005/8/layout/process3"/>
    <dgm:cxn modelId="{9196BC4A-681E-41AA-810A-CCD80B65B966}" type="presOf" srcId="{85AFEF7F-AF76-4C1F-99B3-94618C25B4D8}" destId="{7720A147-D73A-4867-86FB-15D106DC3CCE}" srcOrd="0" destOrd="1" presId="urn:microsoft.com/office/officeart/2005/8/layout/process3"/>
    <dgm:cxn modelId="{E8449094-5321-4C78-B624-E42F757B517B}" type="presOf" srcId="{8579E82E-385A-40A1-B2A7-092DE7B4291B}" destId="{60A9FF28-EB90-4BE4-916F-418E0EBAE336}" srcOrd="0" destOrd="0" presId="urn:microsoft.com/office/officeart/2005/8/layout/process3"/>
    <dgm:cxn modelId="{DED3DED6-5C3B-4595-9048-B63A2080DC05}" type="presParOf" srcId="{8054640E-9CCA-47A0-90C9-534C992E129F}" destId="{76E62DD1-2782-408D-9294-4E54AF33E606}" srcOrd="0" destOrd="0" presId="urn:microsoft.com/office/officeart/2005/8/layout/process3"/>
    <dgm:cxn modelId="{01BF6531-2FC7-4039-87B4-DE9752D45102}" type="presParOf" srcId="{76E62DD1-2782-408D-9294-4E54AF33E606}" destId="{3217C9BD-FAE6-4E47-BAB8-F6A6AA350AF0}" srcOrd="0" destOrd="0" presId="urn:microsoft.com/office/officeart/2005/8/layout/process3"/>
    <dgm:cxn modelId="{510EED7F-E910-4CC1-9E99-7293575F2631}" type="presParOf" srcId="{76E62DD1-2782-408D-9294-4E54AF33E606}" destId="{B6F4D404-B4D7-40E0-A2BC-055667AA25AF}" srcOrd="1" destOrd="0" presId="urn:microsoft.com/office/officeart/2005/8/layout/process3"/>
    <dgm:cxn modelId="{A2516122-3379-4774-83FE-5708278DE816}" type="presParOf" srcId="{76E62DD1-2782-408D-9294-4E54AF33E606}" destId="{7720A147-D73A-4867-86FB-15D106DC3CCE}" srcOrd="2" destOrd="0" presId="urn:microsoft.com/office/officeart/2005/8/layout/process3"/>
    <dgm:cxn modelId="{F8FE207F-D9D1-4DAA-BDC4-3962CA68B5D5}" type="presParOf" srcId="{8054640E-9CCA-47A0-90C9-534C992E129F}" destId="{60A9FF28-EB90-4BE4-916F-418E0EBAE336}" srcOrd="1" destOrd="0" presId="urn:microsoft.com/office/officeart/2005/8/layout/process3"/>
    <dgm:cxn modelId="{61899F93-3229-4A9C-9B15-24E8F28765D4}" type="presParOf" srcId="{60A9FF28-EB90-4BE4-916F-418E0EBAE336}" destId="{09CE43A5-DA0E-4B65-81FC-5BBEEC6A8BFE}" srcOrd="0" destOrd="0" presId="urn:microsoft.com/office/officeart/2005/8/layout/process3"/>
    <dgm:cxn modelId="{2ED0190E-07E6-47EF-A5EB-D2970F491D26}" type="presParOf" srcId="{8054640E-9CCA-47A0-90C9-534C992E129F}" destId="{232CBC8F-1F80-41C8-8026-9C2B32AF4716}" srcOrd="2" destOrd="0" presId="urn:microsoft.com/office/officeart/2005/8/layout/process3"/>
    <dgm:cxn modelId="{E1EDF975-75DD-422C-9302-DDA715F53E6A}" type="presParOf" srcId="{232CBC8F-1F80-41C8-8026-9C2B32AF4716}" destId="{8E19A3C5-52FE-4781-8EB8-82A597070CF4}" srcOrd="0" destOrd="0" presId="urn:microsoft.com/office/officeart/2005/8/layout/process3"/>
    <dgm:cxn modelId="{8BE03365-89A7-4CA7-BB01-5BD2B2ECE582}" type="presParOf" srcId="{232CBC8F-1F80-41C8-8026-9C2B32AF4716}" destId="{171FBF0F-E9D1-4474-917B-8B699F4DCCB2}" srcOrd="1" destOrd="0" presId="urn:microsoft.com/office/officeart/2005/8/layout/process3"/>
    <dgm:cxn modelId="{3C19E044-9C1A-4C84-BF96-89225E9A9EA8}" type="presParOf" srcId="{232CBC8F-1F80-41C8-8026-9C2B32AF4716}" destId="{8385A31F-884F-424C-8E06-A0476F36BF7A}" srcOrd="2" destOrd="0" presId="urn:microsoft.com/office/officeart/2005/8/layout/process3"/>
    <dgm:cxn modelId="{FD64A965-DACC-4A3B-8543-899FC74900BF}" type="presParOf" srcId="{8054640E-9CCA-47A0-90C9-534C992E129F}" destId="{18DB9BE6-6F09-4D5F-94AE-43C3884FEC7B}" srcOrd="3" destOrd="0" presId="urn:microsoft.com/office/officeart/2005/8/layout/process3"/>
    <dgm:cxn modelId="{9B0E1083-6235-4D12-95AD-74C172F9EDB4}" type="presParOf" srcId="{18DB9BE6-6F09-4D5F-94AE-43C3884FEC7B}" destId="{D8EA8262-5194-42A5-BE30-9BA664A1031E}" srcOrd="0" destOrd="0" presId="urn:microsoft.com/office/officeart/2005/8/layout/process3"/>
    <dgm:cxn modelId="{A8AF833B-0C08-4E6E-BCA5-D7C25817EA0C}" type="presParOf" srcId="{8054640E-9CCA-47A0-90C9-534C992E129F}" destId="{66D93951-4A15-4122-A7F9-4802EE04A54D}" srcOrd="4" destOrd="0" presId="urn:microsoft.com/office/officeart/2005/8/layout/process3"/>
    <dgm:cxn modelId="{FEE63374-61B9-405D-ACB4-A41BABB820A2}" type="presParOf" srcId="{66D93951-4A15-4122-A7F9-4802EE04A54D}" destId="{E5AC1817-D5C4-475B-A62E-1D49CF05B147}" srcOrd="0" destOrd="0" presId="urn:microsoft.com/office/officeart/2005/8/layout/process3"/>
    <dgm:cxn modelId="{6F036665-96D9-4441-87B5-F8C5C2212667}" type="presParOf" srcId="{66D93951-4A15-4122-A7F9-4802EE04A54D}" destId="{016F8C30-3C24-4B89-801C-8482B74BEC66}" srcOrd="1" destOrd="0" presId="urn:microsoft.com/office/officeart/2005/8/layout/process3"/>
    <dgm:cxn modelId="{D48A08FF-22F8-4985-AAF1-F4DE126C521A}" type="presParOf" srcId="{66D93951-4A15-4122-A7F9-4802EE04A54D}" destId="{0E713F0D-5FE6-46A6-BE5D-AB45DAB7D4D2}" srcOrd="2" destOrd="0" presId="urn:microsoft.com/office/officeart/2005/8/layout/process3"/>
    <dgm:cxn modelId="{53C7B561-FDE2-40F0-809F-85C4D4CA8784}" type="presParOf" srcId="{8054640E-9CCA-47A0-90C9-534C992E129F}" destId="{1D005261-04EE-474D-A548-6A773CCB68E7}" srcOrd="5" destOrd="0" presId="urn:microsoft.com/office/officeart/2005/8/layout/process3"/>
    <dgm:cxn modelId="{06BAA22F-862A-458C-B7C8-E86C6A3E3741}" type="presParOf" srcId="{1D005261-04EE-474D-A548-6A773CCB68E7}" destId="{DC93C792-DAFF-4040-B521-C7824122FD9D}" srcOrd="0" destOrd="0" presId="urn:microsoft.com/office/officeart/2005/8/layout/process3"/>
    <dgm:cxn modelId="{0CC115BF-D179-4F79-84AB-34098422FC1F}" type="presParOf" srcId="{8054640E-9CCA-47A0-90C9-534C992E129F}" destId="{543C073C-3DB4-4AE9-A9D4-25005B3BD0B4}" srcOrd="6" destOrd="0" presId="urn:microsoft.com/office/officeart/2005/8/layout/process3"/>
    <dgm:cxn modelId="{E8198111-41F1-4573-B09A-AF158C926264}" type="presParOf" srcId="{543C073C-3DB4-4AE9-A9D4-25005B3BD0B4}" destId="{D9C21213-861E-40A6-A1B0-88787F213130}" srcOrd="0" destOrd="0" presId="urn:microsoft.com/office/officeart/2005/8/layout/process3"/>
    <dgm:cxn modelId="{FAE74764-54BA-4C6A-8736-3E094961B645}" type="presParOf" srcId="{543C073C-3DB4-4AE9-A9D4-25005B3BD0B4}" destId="{6BAD6101-648A-4066-9364-38E126362254}" srcOrd="1" destOrd="0" presId="urn:microsoft.com/office/officeart/2005/8/layout/process3"/>
    <dgm:cxn modelId="{432F42DB-D4C1-4205-8F7F-FF4DF10A2DDF}" type="presParOf" srcId="{543C073C-3DB4-4AE9-A9D4-25005B3BD0B4}" destId="{A4E440B0-FA62-483F-9060-894BBD9983FA}" srcOrd="2" destOrd="0" presId="urn:microsoft.com/office/officeart/2005/8/layout/process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59D3B5-BB41-4F2E-82D6-69FA3D30C03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IE"/>
        </a:p>
      </dgm:t>
    </dgm:pt>
    <dgm:pt modelId="{8341B305-2D7F-4031-96F0-14FCC7DFFDC5}">
      <dgm:prSet phldrT="[Text]"/>
      <dgm:spPr/>
      <dgm:t>
        <a:bodyPr/>
        <a:lstStyle/>
        <a:p>
          <a:r>
            <a:rPr lang="en-IE"/>
            <a:t>1</a:t>
          </a:r>
        </a:p>
      </dgm:t>
    </dgm:pt>
    <dgm:pt modelId="{00C845BC-4B7E-4F4E-A335-D2DB903D2BDB}" type="parTrans" cxnId="{D01AEE0A-C928-49BA-85A3-87F960022A9B}">
      <dgm:prSet/>
      <dgm:spPr/>
      <dgm:t>
        <a:bodyPr/>
        <a:lstStyle/>
        <a:p>
          <a:endParaRPr lang="en-IE"/>
        </a:p>
      </dgm:t>
    </dgm:pt>
    <dgm:pt modelId="{968EFBAE-1911-4EAB-AF24-1A5B14C86236}" type="sibTrans" cxnId="{D01AEE0A-C928-49BA-85A3-87F960022A9B}">
      <dgm:prSet/>
      <dgm:spPr/>
      <dgm:t>
        <a:bodyPr/>
        <a:lstStyle/>
        <a:p>
          <a:endParaRPr lang="en-IE"/>
        </a:p>
      </dgm:t>
    </dgm:pt>
    <dgm:pt modelId="{7564C2B0-22B7-4773-9CDE-E690040FC678}">
      <dgm:prSet phldrT="[Text]"/>
      <dgm:spPr/>
      <dgm:t>
        <a:bodyPr/>
        <a:lstStyle/>
        <a:p>
          <a:r>
            <a:rPr lang="en-IE"/>
            <a:t>Exchange Member bids and obtains contracts for a period they are not authorised under the Exchange Rules</a:t>
          </a:r>
        </a:p>
      </dgm:t>
    </dgm:pt>
    <dgm:pt modelId="{C4CBFFDF-3C15-4CA1-8F49-49760D02F393}" type="parTrans" cxnId="{B10201C2-F4B3-4C6C-A163-F07A31DF32F3}">
      <dgm:prSet/>
      <dgm:spPr/>
      <dgm:t>
        <a:bodyPr/>
        <a:lstStyle/>
        <a:p>
          <a:endParaRPr lang="en-IE"/>
        </a:p>
      </dgm:t>
    </dgm:pt>
    <dgm:pt modelId="{B12F6C55-2E8A-4263-961A-45EDB6759E0A}" type="sibTrans" cxnId="{B10201C2-F4B3-4C6C-A163-F07A31DF32F3}">
      <dgm:prSet/>
      <dgm:spPr/>
      <dgm:t>
        <a:bodyPr/>
        <a:lstStyle/>
        <a:p>
          <a:endParaRPr lang="en-IE"/>
        </a:p>
      </dgm:t>
    </dgm:pt>
    <dgm:pt modelId="{008A9BAE-B699-4746-ADFC-2AA69700D5BB}">
      <dgm:prSet phldrT="[Text]"/>
      <dgm:spPr/>
      <dgm:t>
        <a:bodyPr/>
        <a:lstStyle/>
        <a:p>
          <a:r>
            <a:rPr lang="en-IE"/>
            <a:t>2</a:t>
          </a:r>
        </a:p>
      </dgm:t>
    </dgm:pt>
    <dgm:pt modelId="{68BC4587-ACF8-4C1B-A6DF-27A27E2ABF96}" type="parTrans" cxnId="{D218E2B7-C292-4503-A50A-6D5A1891ED46}">
      <dgm:prSet/>
      <dgm:spPr/>
      <dgm:t>
        <a:bodyPr/>
        <a:lstStyle/>
        <a:p>
          <a:endParaRPr lang="en-IE"/>
        </a:p>
      </dgm:t>
    </dgm:pt>
    <dgm:pt modelId="{829E3A46-758D-4E20-8FA0-72E2890DA70F}" type="sibTrans" cxnId="{D218E2B7-C292-4503-A50A-6D5A1891ED46}">
      <dgm:prSet/>
      <dgm:spPr/>
      <dgm:t>
        <a:bodyPr/>
        <a:lstStyle/>
        <a:p>
          <a:endParaRPr lang="en-IE"/>
        </a:p>
      </dgm:t>
    </dgm:pt>
    <dgm:pt modelId="{938500B0-F85C-4B74-81DB-F534DB48B094}">
      <dgm:prSet phldrT="[Text]"/>
      <dgm:spPr/>
      <dgm:t>
        <a:bodyPr/>
        <a:lstStyle/>
        <a:p>
          <a:r>
            <a:rPr lang="en-IE"/>
            <a:t>Technical restrictions in the Ex-Ante Markets are not implemented</a:t>
          </a:r>
        </a:p>
      </dgm:t>
    </dgm:pt>
    <dgm:pt modelId="{656C5271-4528-471C-B0BF-4CF766A8BF10}" type="parTrans" cxnId="{C14A6A36-CEED-4657-A2F8-8BD507193515}">
      <dgm:prSet/>
      <dgm:spPr/>
      <dgm:t>
        <a:bodyPr/>
        <a:lstStyle/>
        <a:p>
          <a:endParaRPr lang="en-IE"/>
        </a:p>
      </dgm:t>
    </dgm:pt>
    <dgm:pt modelId="{67CDE363-6EB1-4A69-ACB5-5043520D46B1}" type="sibTrans" cxnId="{C14A6A36-CEED-4657-A2F8-8BD507193515}">
      <dgm:prSet/>
      <dgm:spPr/>
      <dgm:t>
        <a:bodyPr/>
        <a:lstStyle/>
        <a:p>
          <a:endParaRPr lang="en-IE"/>
        </a:p>
      </dgm:t>
    </dgm:pt>
    <dgm:pt modelId="{B96355C1-DFD2-4ECA-9DBF-50A1BD707A38}">
      <dgm:prSet phldrT="[Text]"/>
      <dgm:spPr/>
      <dgm:t>
        <a:bodyPr/>
        <a:lstStyle/>
        <a:p>
          <a:r>
            <a:rPr lang="en-IE"/>
            <a:t>DAM/IDM contract payment is not able to be withheld by the Exchange</a:t>
          </a:r>
        </a:p>
      </dgm:t>
    </dgm:pt>
    <dgm:pt modelId="{749BB61F-11ED-4F2A-9059-56175533267A}" type="parTrans" cxnId="{347346AD-E805-42F9-90D9-2B6827DC8702}">
      <dgm:prSet/>
      <dgm:spPr/>
      <dgm:t>
        <a:bodyPr/>
        <a:lstStyle/>
        <a:p>
          <a:endParaRPr lang="en-IE"/>
        </a:p>
      </dgm:t>
    </dgm:pt>
    <dgm:pt modelId="{FB81BBA5-6415-4591-B22D-90342A678CC4}" type="sibTrans" cxnId="{347346AD-E805-42F9-90D9-2B6827DC8702}">
      <dgm:prSet/>
      <dgm:spPr/>
      <dgm:t>
        <a:bodyPr/>
        <a:lstStyle/>
        <a:p>
          <a:endParaRPr lang="en-IE"/>
        </a:p>
      </dgm:t>
    </dgm:pt>
    <dgm:pt modelId="{CC9F5566-A5B5-433C-B26A-288D756EF579}">
      <dgm:prSet phldrT="[Text]"/>
      <dgm:spPr/>
      <dgm:t>
        <a:bodyPr/>
        <a:lstStyle/>
        <a:p>
          <a:r>
            <a:rPr lang="en-IE"/>
            <a:t>3</a:t>
          </a:r>
        </a:p>
      </dgm:t>
    </dgm:pt>
    <dgm:pt modelId="{67F5D3D4-5A6D-402A-B8D9-8B223EF9E78D}" type="parTrans" cxnId="{66643B6A-5C84-4B94-9E87-087803D85BA1}">
      <dgm:prSet/>
      <dgm:spPr/>
      <dgm:t>
        <a:bodyPr/>
        <a:lstStyle/>
        <a:p>
          <a:endParaRPr lang="en-IE"/>
        </a:p>
      </dgm:t>
    </dgm:pt>
    <dgm:pt modelId="{873FC2E3-8318-4619-A36E-332D5DF59FCE}" type="sibTrans" cxnId="{66643B6A-5C84-4B94-9E87-087803D85BA1}">
      <dgm:prSet/>
      <dgm:spPr/>
      <dgm:t>
        <a:bodyPr/>
        <a:lstStyle/>
        <a:p>
          <a:endParaRPr lang="en-IE"/>
        </a:p>
      </dgm:t>
    </dgm:pt>
    <dgm:pt modelId="{9D82D2EB-02BC-4BED-8088-224A7C90DC99}">
      <dgm:prSet phldrT="[Text]"/>
      <dgm:spPr/>
      <dgm:t>
        <a:bodyPr/>
        <a:lstStyle/>
        <a:p>
          <a:r>
            <a:rPr lang="en-IE" u="dbl" baseline="0">
              <a:solidFill>
                <a:schemeClr val="accent3"/>
              </a:solidFill>
              <a:uFill>
                <a:solidFill>
                  <a:schemeClr val="accent3"/>
                </a:solidFill>
              </a:uFill>
            </a:rPr>
            <a:t>All other Exchange Members do not meet full invalid Contracted Quantity costs</a:t>
          </a:r>
        </a:p>
      </dgm:t>
    </dgm:pt>
    <dgm:pt modelId="{89054DAA-38B1-4DD8-B2AE-AF0DBAF45595}" type="parTrans" cxnId="{123476A7-9140-4FF0-B490-F644629387CC}">
      <dgm:prSet/>
      <dgm:spPr/>
      <dgm:t>
        <a:bodyPr/>
        <a:lstStyle/>
        <a:p>
          <a:endParaRPr lang="en-IE"/>
        </a:p>
      </dgm:t>
    </dgm:pt>
    <dgm:pt modelId="{96218EF4-DE1A-4F5E-B28F-1F48744A32DB}" type="sibTrans" cxnId="{123476A7-9140-4FF0-B490-F644629387CC}">
      <dgm:prSet/>
      <dgm:spPr/>
      <dgm:t>
        <a:bodyPr/>
        <a:lstStyle/>
        <a:p>
          <a:endParaRPr lang="en-IE"/>
        </a:p>
      </dgm:t>
    </dgm:pt>
    <dgm:pt modelId="{4F1F9651-2F66-4631-8993-AA47E9874D77}">
      <dgm:prSet phldrT="[Text]"/>
      <dgm:spPr/>
      <dgm:t>
        <a:bodyPr/>
        <a:lstStyle/>
        <a:p>
          <a:r>
            <a:rPr lang="en-IE"/>
            <a:t>Exchange Member does not meet full invalid Contracted Quantity costs</a:t>
          </a:r>
        </a:p>
      </dgm:t>
    </dgm:pt>
    <dgm:pt modelId="{B8B17D57-805B-453B-A0D6-2DEBFC12F8FC}" type="parTrans" cxnId="{0DC1258D-39FD-4534-9A36-0B16978EA9A7}">
      <dgm:prSet/>
      <dgm:spPr/>
      <dgm:t>
        <a:bodyPr/>
        <a:lstStyle/>
        <a:p>
          <a:endParaRPr lang="en-IE"/>
        </a:p>
      </dgm:t>
    </dgm:pt>
    <dgm:pt modelId="{B84B8BE2-DECD-4EAD-A566-1A1494D92BA8}" type="sibTrans" cxnId="{0DC1258D-39FD-4534-9A36-0B16978EA9A7}">
      <dgm:prSet/>
      <dgm:spPr/>
      <dgm:t>
        <a:bodyPr/>
        <a:lstStyle/>
        <a:p>
          <a:endParaRPr lang="en-IE"/>
        </a:p>
      </dgm:t>
    </dgm:pt>
    <dgm:pt modelId="{3F48580C-8C0A-4FF5-A3D7-7A4D8DAD4689}">
      <dgm:prSet phldrT="[Text]"/>
      <dgm:spPr/>
      <dgm:t>
        <a:bodyPr/>
        <a:lstStyle/>
        <a:p>
          <a:r>
            <a:rPr lang="en-IE"/>
            <a:t>7</a:t>
          </a:r>
        </a:p>
      </dgm:t>
    </dgm:pt>
    <dgm:pt modelId="{D93C9744-9B81-43E1-ACEF-121BF3361C63}" type="parTrans" cxnId="{D677354A-9D9E-4AE3-924B-80870FCFA4DE}">
      <dgm:prSet/>
      <dgm:spPr/>
      <dgm:t>
        <a:bodyPr/>
        <a:lstStyle/>
        <a:p>
          <a:endParaRPr lang="en-IE"/>
        </a:p>
      </dgm:t>
    </dgm:pt>
    <dgm:pt modelId="{C49C116F-3CA4-4097-8FD6-FA0AF63D6EA1}" type="sibTrans" cxnId="{D677354A-9D9E-4AE3-924B-80870FCFA4DE}">
      <dgm:prSet/>
      <dgm:spPr/>
      <dgm:t>
        <a:bodyPr/>
        <a:lstStyle/>
        <a:p>
          <a:endParaRPr lang="en-IE"/>
        </a:p>
      </dgm:t>
    </dgm:pt>
    <dgm:pt modelId="{F04A66AE-5BB2-40AD-8417-DB2125ADC93B}">
      <dgm:prSet phldrT="[Text]"/>
      <dgm:spPr/>
      <dgm:t>
        <a:bodyPr/>
        <a:lstStyle/>
        <a:p>
          <a:r>
            <a:rPr lang="en-IE" u="dbl" baseline="0">
              <a:solidFill>
                <a:schemeClr val="accent3"/>
              </a:solidFill>
              <a:uFill>
                <a:solidFill>
                  <a:schemeClr val="accent3"/>
                </a:solidFill>
              </a:uFill>
            </a:rPr>
            <a:t>Liability provisions from SEM NEMO and their service providers don't cover full cost</a:t>
          </a:r>
        </a:p>
      </dgm:t>
    </dgm:pt>
    <dgm:pt modelId="{39F1E8D7-4AD0-4C16-9B83-E3D6BA70488D}" type="parTrans" cxnId="{CECC7657-9F41-426C-A3C6-3033B33ACBD6}">
      <dgm:prSet/>
      <dgm:spPr/>
      <dgm:t>
        <a:bodyPr/>
        <a:lstStyle/>
        <a:p>
          <a:endParaRPr lang="en-IE"/>
        </a:p>
      </dgm:t>
    </dgm:pt>
    <dgm:pt modelId="{0EC1C1EB-4644-4C1B-9035-9F802912D95E}" type="sibTrans" cxnId="{CECC7657-9F41-426C-A3C6-3033B33ACBD6}">
      <dgm:prSet/>
      <dgm:spPr/>
      <dgm:t>
        <a:bodyPr/>
        <a:lstStyle/>
        <a:p>
          <a:endParaRPr lang="en-IE"/>
        </a:p>
      </dgm:t>
    </dgm:pt>
    <dgm:pt modelId="{FC3850F3-F140-4DE7-A557-BF0B63FA912A}">
      <dgm:prSet phldrT="[Text]"/>
      <dgm:spPr/>
      <dgm:t>
        <a:bodyPr/>
        <a:lstStyle/>
        <a:p>
          <a:r>
            <a:rPr lang="en-IE"/>
            <a:t>9</a:t>
          </a:r>
        </a:p>
      </dgm:t>
    </dgm:pt>
    <dgm:pt modelId="{56E9A298-2B53-4061-8E54-273A741C7DBE}" type="parTrans" cxnId="{C896968A-E97A-4B21-90FC-49A6F856D4D7}">
      <dgm:prSet/>
      <dgm:spPr/>
      <dgm:t>
        <a:bodyPr/>
        <a:lstStyle/>
        <a:p>
          <a:endParaRPr lang="en-IE"/>
        </a:p>
      </dgm:t>
    </dgm:pt>
    <dgm:pt modelId="{0DF95384-5A7D-4E56-9497-5B20A87F2D18}" type="sibTrans" cxnId="{C896968A-E97A-4B21-90FC-49A6F856D4D7}">
      <dgm:prSet/>
      <dgm:spPr/>
      <dgm:t>
        <a:bodyPr/>
        <a:lstStyle/>
        <a:p>
          <a:endParaRPr lang="en-IE"/>
        </a:p>
      </dgm:t>
    </dgm:pt>
    <dgm:pt modelId="{2138D6F8-7B6E-4E8B-938E-842BC681A950}">
      <dgm:prSet phldrT="[Text]"/>
      <dgm:spPr/>
      <dgm:t>
        <a:bodyPr/>
        <a:lstStyle/>
        <a:p>
          <a:r>
            <a:rPr lang="en-IE"/>
            <a:t>Imbalance payment for Exchange Member's Units is not able to be withheld</a:t>
          </a:r>
        </a:p>
      </dgm:t>
    </dgm:pt>
    <dgm:pt modelId="{F043BBE2-8DE6-4DBE-9B6A-B05E8CE8007A}" type="parTrans" cxnId="{4050BB49-7508-4CA9-A4F1-7249A50E846F}">
      <dgm:prSet/>
      <dgm:spPr/>
      <dgm:t>
        <a:bodyPr/>
        <a:lstStyle/>
        <a:p>
          <a:endParaRPr lang="en-IE"/>
        </a:p>
      </dgm:t>
    </dgm:pt>
    <dgm:pt modelId="{F3A51602-02D8-40A3-BE9B-DB9855E14D15}" type="sibTrans" cxnId="{4050BB49-7508-4CA9-A4F1-7249A50E846F}">
      <dgm:prSet/>
      <dgm:spPr/>
      <dgm:t>
        <a:bodyPr/>
        <a:lstStyle/>
        <a:p>
          <a:endParaRPr lang="en-IE"/>
        </a:p>
      </dgm:t>
    </dgm:pt>
    <dgm:pt modelId="{104CF1B9-B9F0-4491-8848-8E88B871B7B9}">
      <dgm:prSet phldrT="[Text]"/>
      <dgm:spPr/>
      <dgm:t>
        <a:bodyPr/>
        <a:lstStyle/>
        <a:p>
          <a:r>
            <a:rPr lang="en-IE"/>
            <a:t>4</a:t>
          </a:r>
        </a:p>
      </dgm:t>
    </dgm:pt>
    <dgm:pt modelId="{C5CF87B8-A48E-4F59-8302-17922D9AD684}" type="parTrans" cxnId="{F7EC5C09-B1DC-4774-B641-61658D580640}">
      <dgm:prSet/>
      <dgm:spPr/>
      <dgm:t>
        <a:bodyPr/>
        <a:lstStyle/>
        <a:p>
          <a:endParaRPr lang="en-IE"/>
        </a:p>
      </dgm:t>
    </dgm:pt>
    <dgm:pt modelId="{A67E2982-6778-4792-A082-5CC0CEB247AD}" type="sibTrans" cxnId="{F7EC5C09-B1DC-4774-B641-61658D580640}">
      <dgm:prSet/>
      <dgm:spPr/>
      <dgm:t>
        <a:bodyPr/>
        <a:lstStyle/>
        <a:p>
          <a:endParaRPr lang="en-IE"/>
        </a:p>
      </dgm:t>
    </dgm:pt>
    <dgm:pt modelId="{AA6A0087-43EC-45D3-8311-2015FECFD0DF}">
      <dgm:prSet phldrT="[Text]"/>
      <dgm:spPr/>
      <dgm:t>
        <a:bodyPr/>
        <a:lstStyle/>
        <a:p>
          <a:r>
            <a:rPr lang="en-IE"/>
            <a:t>6</a:t>
          </a:r>
        </a:p>
      </dgm:t>
    </dgm:pt>
    <dgm:pt modelId="{0CB70B6F-9ED2-4344-BE46-C0907614E41D}" type="sibTrans" cxnId="{5B0F4C4F-179C-4DE3-9C0C-F0B8C7DA29AD}">
      <dgm:prSet/>
      <dgm:spPr/>
      <dgm:t>
        <a:bodyPr/>
        <a:lstStyle/>
        <a:p>
          <a:endParaRPr lang="en-IE"/>
        </a:p>
      </dgm:t>
    </dgm:pt>
    <dgm:pt modelId="{A211030F-17AF-418B-AD77-6019956DACE5}" type="parTrans" cxnId="{5B0F4C4F-179C-4DE3-9C0C-F0B8C7DA29AD}">
      <dgm:prSet/>
      <dgm:spPr/>
      <dgm:t>
        <a:bodyPr/>
        <a:lstStyle/>
        <a:p>
          <a:endParaRPr lang="en-IE"/>
        </a:p>
      </dgm:t>
    </dgm:pt>
    <dgm:pt modelId="{9B6C37C8-FD82-4954-A100-0A5B43D19445}">
      <dgm:prSet phldrT="[Text]"/>
      <dgm:spPr/>
      <dgm:t>
        <a:bodyPr/>
        <a:lstStyle/>
        <a:p>
          <a:r>
            <a:rPr lang="en-IE" strike="sngStrike" baseline="0">
              <a:solidFill>
                <a:srgbClr val="FF0000"/>
              </a:solidFill>
            </a:rPr>
            <a:t>Default Fund does not meet full invalid Contracted Quantity costs</a:t>
          </a:r>
        </a:p>
      </dgm:t>
    </dgm:pt>
    <dgm:pt modelId="{A12D8623-0860-4076-8EF4-D3B5E130429D}" type="parTrans" cxnId="{F467ABCF-EBB4-4BEA-A818-8AC9D9574067}">
      <dgm:prSet/>
      <dgm:spPr/>
      <dgm:t>
        <a:bodyPr/>
        <a:lstStyle/>
        <a:p>
          <a:endParaRPr lang="en-IE"/>
        </a:p>
      </dgm:t>
    </dgm:pt>
    <dgm:pt modelId="{ABC79400-D1EE-4647-9914-A33CAD8AE897}" type="sibTrans" cxnId="{F467ABCF-EBB4-4BEA-A818-8AC9D9574067}">
      <dgm:prSet/>
      <dgm:spPr/>
      <dgm:t>
        <a:bodyPr/>
        <a:lstStyle/>
        <a:p>
          <a:endParaRPr lang="en-IE"/>
        </a:p>
      </dgm:t>
    </dgm:pt>
    <dgm:pt modelId="{791A3133-9243-4DB5-815B-C85CA4EE1BEA}">
      <dgm:prSet phldrT="[Text]"/>
      <dgm:spPr/>
      <dgm:t>
        <a:bodyPr/>
        <a:lstStyle/>
        <a:p>
          <a:r>
            <a:rPr lang="en-IE"/>
            <a:t>8</a:t>
          </a:r>
        </a:p>
      </dgm:t>
    </dgm:pt>
    <dgm:pt modelId="{5B9E8394-6760-4572-B80D-F8C696EA45A0}" type="parTrans" cxnId="{EEC2949F-763C-45EE-8DD8-D914D5218331}">
      <dgm:prSet/>
      <dgm:spPr/>
      <dgm:t>
        <a:bodyPr/>
        <a:lstStyle/>
        <a:p>
          <a:endParaRPr lang="en-IE"/>
        </a:p>
      </dgm:t>
    </dgm:pt>
    <dgm:pt modelId="{3A43B42D-AAE7-4044-82E8-9CA50AEF6003}" type="sibTrans" cxnId="{EEC2949F-763C-45EE-8DD8-D914D5218331}">
      <dgm:prSet/>
      <dgm:spPr/>
      <dgm:t>
        <a:bodyPr/>
        <a:lstStyle/>
        <a:p>
          <a:endParaRPr lang="en-IE"/>
        </a:p>
      </dgm:t>
    </dgm:pt>
    <dgm:pt modelId="{FEFD8D85-A9B9-4E28-9C91-DDA1C723D3AD}">
      <dgm:prSet phldrT="[Text]"/>
      <dgm:spPr/>
      <dgm:t>
        <a:bodyPr/>
        <a:lstStyle/>
        <a:p>
          <a:r>
            <a:rPr lang="en-IE"/>
            <a:t>5</a:t>
          </a:r>
        </a:p>
      </dgm:t>
    </dgm:pt>
    <dgm:pt modelId="{A0996C82-43CF-4564-8FB6-0D2CEA281D80}" type="parTrans" cxnId="{DA9A853C-6AFB-41C3-922F-2B11BA874B38}">
      <dgm:prSet/>
      <dgm:spPr/>
    </dgm:pt>
    <dgm:pt modelId="{70D6257E-51F8-4579-BD9A-207F29E268F1}" type="sibTrans" cxnId="{DA9A853C-6AFB-41C3-922F-2B11BA874B38}">
      <dgm:prSet/>
      <dgm:spPr/>
    </dgm:pt>
    <dgm:pt modelId="{EAC7F090-A1EF-4B84-B823-CE78F0CFF204}">
      <dgm:prSet phldrT="[Text]"/>
      <dgm:spPr/>
      <dgm:t>
        <a:bodyPr/>
        <a:lstStyle/>
        <a:p>
          <a:r>
            <a:rPr lang="en-IE">
              <a:solidFill>
                <a:srgbClr val="FF0000"/>
              </a:solidFill>
            </a:rPr>
            <a:t> </a:t>
          </a:r>
          <a:r>
            <a:rPr lang="en-IE" u="sng">
              <a:solidFill>
                <a:srgbClr val="FF0000"/>
              </a:solidFill>
            </a:rPr>
            <a:t>Balancing Market Collateral for Participant of specified Units is not sufficient</a:t>
          </a:r>
        </a:p>
      </dgm:t>
    </dgm:pt>
    <dgm:pt modelId="{1FAD23F3-0DD9-4AFF-9E17-C040F3265B63}" type="parTrans" cxnId="{D9BA7305-4B3E-4E1E-91AC-CB72A8204E02}">
      <dgm:prSet/>
      <dgm:spPr/>
    </dgm:pt>
    <dgm:pt modelId="{DAE80051-49E7-433C-9159-AD98C3115F80}" type="sibTrans" cxnId="{D9BA7305-4B3E-4E1E-91AC-CB72A8204E02}">
      <dgm:prSet/>
      <dgm:spPr/>
    </dgm:pt>
    <dgm:pt modelId="{59222845-5F59-4C30-A81A-760403B483C6}" type="pres">
      <dgm:prSet presAssocID="{B359D3B5-BB41-4F2E-82D6-69FA3D30C03D}" presName="linearFlow" presStyleCnt="0">
        <dgm:presLayoutVars>
          <dgm:dir/>
          <dgm:animLvl val="lvl"/>
          <dgm:resizeHandles val="exact"/>
        </dgm:presLayoutVars>
      </dgm:prSet>
      <dgm:spPr/>
      <dgm:t>
        <a:bodyPr/>
        <a:lstStyle/>
        <a:p>
          <a:endParaRPr lang="en-IE"/>
        </a:p>
      </dgm:t>
    </dgm:pt>
    <dgm:pt modelId="{8A0327D6-BA8A-442B-BFB7-1B843F8764A7}" type="pres">
      <dgm:prSet presAssocID="{8341B305-2D7F-4031-96F0-14FCC7DFFDC5}" presName="composite" presStyleCnt="0"/>
      <dgm:spPr/>
    </dgm:pt>
    <dgm:pt modelId="{2163EE9F-8C1D-41D2-92F7-A012E62B9E6A}" type="pres">
      <dgm:prSet presAssocID="{8341B305-2D7F-4031-96F0-14FCC7DFFDC5}" presName="parentText" presStyleLbl="alignNode1" presStyleIdx="0" presStyleCnt="9">
        <dgm:presLayoutVars>
          <dgm:chMax val="1"/>
          <dgm:bulletEnabled val="1"/>
        </dgm:presLayoutVars>
      </dgm:prSet>
      <dgm:spPr/>
      <dgm:t>
        <a:bodyPr/>
        <a:lstStyle/>
        <a:p>
          <a:endParaRPr lang="en-IE"/>
        </a:p>
      </dgm:t>
    </dgm:pt>
    <dgm:pt modelId="{4038B10F-3331-41FA-8085-4D716FB451DB}" type="pres">
      <dgm:prSet presAssocID="{8341B305-2D7F-4031-96F0-14FCC7DFFDC5}" presName="descendantText" presStyleLbl="alignAcc1" presStyleIdx="0" presStyleCnt="9">
        <dgm:presLayoutVars>
          <dgm:bulletEnabled val="1"/>
        </dgm:presLayoutVars>
      </dgm:prSet>
      <dgm:spPr/>
      <dgm:t>
        <a:bodyPr/>
        <a:lstStyle/>
        <a:p>
          <a:endParaRPr lang="en-IE"/>
        </a:p>
      </dgm:t>
    </dgm:pt>
    <dgm:pt modelId="{464EB438-E582-4718-AFFC-249533E78D77}" type="pres">
      <dgm:prSet presAssocID="{968EFBAE-1911-4EAB-AF24-1A5B14C86236}" presName="sp" presStyleCnt="0"/>
      <dgm:spPr/>
    </dgm:pt>
    <dgm:pt modelId="{612C1484-DF0C-4496-93E5-1FF633D07DCA}" type="pres">
      <dgm:prSet presAssocID="{008A9BAE-B699-4746-ADFC-2AA69700D5BB}" presName="composite" presStyleCnt="0"/>
      <dgm:spPr/>
    </dgm:pt>
    <dgm:pt modelId="{96EDE13D-01FF-4AFE-9147-1838C857CE42}" type="pres">
      <dgm:prSet presAssocID="{008A9BAE-B699-4746-ADFC-2AA69700D5BB}" presName="parentText" presStyleLbl="alignNode1" presStyleIdx="1" presStyleCnt="9">
        <dgm:presLayoutVars>
          <dgm:chMax val="1"/>
          <dgm:bulletEnabled val="1"/>
        </dgm:presLayoutVars>
      </dgm:prSet>
      <dgm:spPr/>
      <dgm:t>
        <a:bodyPr/>
        <a:lstStyle/>
        <a:p>
          <a:endParaRPr lang="en-IE"/>
        </a:p>
      </dgm:t>
    </dgm:pt>
    <dgm:pt modelId="{B2011F98-B2AC-4A00-9957-9F594B88442B}" type="pres">
      <dgm:prSet presAssocID="{008A9BAE-B699-4746-ADFC-2AA69700D5BB}" presName="descendantText" presStyleLbl="alignAcc1" presStyleIdx="1" presStyleCnt="9">
        <dgm:presLayoutVars>
          <dgm:bulletEnabled val="1"/>
        </dgm:presLayoutVars>
      </dgm:prSet>
      <dgm:spPr/>
      <dgm:t>
        <a:bodyPr/>
        <a:lstStyle/>
        <a:p>
          <a:endParaRPr lang="en-IE"/>
        </a:p>
      </dgm:t>
    </dgm:pt>
    <dgm:pt modelId="{A65EC6AE-6724-465A-8E9B-9F77C4A20D62}" type="pres">
      <dgm:prSet presAssocID="{829E3A46-758D-4E20-8FA0-72E2890DA70F}" presName="sp" presStyleCnt="0"/>
      <dgm:spPr/>
    </dgm:pt>
    <dgm:pt modelId="{EAE74E0D-B759-4283-AD40-760A955A4CA2}" type="pres">
      <dgm:prSet presAssocID="{CC9F5566-A5B5-433C-B26A-288D756EF579}" presName="composite" presStyleCnt="0"/>
      <dgm:spPr/>
    </dgm:pt>
    <dgm:pt modelId="{A7D9F319-BF80-4494-BF58-F7B92E2FCFFF}" type="pres">
      <dgm:prSet presAssocID="{CC9F5566-A5B5-433C-B26A-288D756EF579}" presName="parentText" presStyleLbl="alignNode1" presStyleIdx="2" presStyleCnt="9">
        <dgm:presLayoutVars>
          <dgm:chMax val="1"/>
          <dgm:bulletEnabled val="1"/>
        </dgm:presLayoutVars>
      </dgm:prSet>
      <dgm:spPr/>
      <dgm:t>
        <a:bodyPr/>
        <a:lstStyle/>
        <a:p>
          <a:endParaRPr lang="en-IE"/>
        </a:p>
      </dgm:t>
    </dgm:pt>
    <dgm:pt modelId="{2FBF5961-4400-4ADF-9375-05020DA64E69}" type="pres">
      <dgm:prSet presAssocID="{CC9F5566-A5B5-433C-B26A-288D756EF579}" presName="descendantText" presStyleLbl="alignAcc1" presStyleIdx="2" presStyleCnt="9">
        <dgm:presLayoutVars>
          <dgm:bulletEnabled val="1"/>
        </dgm:presLayoutVars>
      </dgm:prSet>
      <dgm:spPr/>
      <dgm:t>
        <a:bodyPr/>
        <a:lstStyle/>
        <a:p>
          <a:endParaRPr lang="en-IE"/>
        </a:p>
      </dgm:t>
    </dgm:pt>
    <dgm:pt modelId="{D783144C-F56C-4AC9-867A-53CC97B5090E}" type="pres">
      <dgm:prSet presAssocID="{873FC2E3-8318-4619-A36E-332D5DF59FCE}" presName="sp" presStyleCnt="0"/>
      <dgm:spPr/>
    </dgm:pt>
    <dgm:pt modelId="{B7836D9C-510F-4D6D-BA13-33B3C86F4BDA}" type="pres">
      <dgm:prSet presAssocID="{104CF1B9-B9F0-4491-8848-8E88B871B7B9}" presName="composite" presStyleCnt="0"/>
      <dgm:spPr/>
    </dgm:pt>
    <dgm:pt modelId="{AC48E8D0-8E7E-4CE2-B280-178774F86FA7}" type="pres">
      <dgm:prSet presAssocID="{104CF1B9-B9F0-4491-8848-8E88B871B7B9}" presName="parentText" presStyleLbl="alignNode1" presStyleIdx="3" presStyleCnt="9">
        <dgm:presLayoutVars>
          <dgm:chMax val="1"/>
          <dgm:bulletEnabled val="1"/>
        </dgm:presLayoutVars>
      </dgm:prSet>
      <dgm:spPr/>
      <dgm:t>
        <a:bodyPr/>
        <a:lstStyle/>
        <a:p>
          <a:endParaRPr lang="en-IE"/>
        </a:p>
      </dgm:t>
    </dgm:pt>
    <dgm:pt modelId="{0F3D5BBA-2CA0-4B23-AE28-E899F77A2D22}" type="pres">
      <dgm:prSet presAssocID="{104CF1B9-B9F0-4491-8848-8E88B871B7B9}" presName="descendantText" presStyleLbl="alignAcc1" presStyleIdx="3" presStyleCnt="9">
        <dgm:presLayoutVars>
          <dgm:bulletEnabled val="1"/>
        </dgm:presLayoutVars>
      </dgm:prSet>
      <dgm:spPr/>
      <dgm:t>
        <a:bodyPr/>
        <a:lstStyle/>
        <a:p>
          <a:endParaRPr lang="en-IE"/>
        </a:p>
      </dgm:t>
    </dgm:pt>
    <dgm:pt modelId="{2DD6F73C-11BF-4B43-B440-DFA7DDF3E26E}" type="pres">
      <dgm:prSet presAssocID="{A67E2982-6778-4792-A082-5CC0CEB247AD}" presName="sp" presStyleCnt="0"/>
      <dgm:spPr/>
    </dgm:pt>
    <dgm:pt modelId="{F04A5D3B-5E8B-4926-A257-A283615C234A}" type="pres">
      <dgm:prSet presAssocID="{FEFD8D85-A9B9-4E28-9C91-DDA1C723D3AD}" presName="composite" presStyleCnt="0"/>
      <dgm:spPr/>
    </dgm:pt>
    <dgm:pt modelId="{22784683-AEA2-4D44-AA77-E162EB2EE8BD}" type="pres">
      <dgm:prSet presAssocID="{FEFD8D85-A9B9-4E28-9C91-DDA1C723D3AD}" presName="parentText" presStyleLbl="alignNode1" presStyleIdx="4" presStyleCnt="9">
        <dgm:presLayoutVars>
          <dgm:chMax val="1"/>
          <dgm:bulletEnabled val="1"/>
        </dgm:presLayoutVars>
      </dgm:prSet>
      <dgm:spPr/>
      <dgm:t>
        <a:bodyPr/>
        <a:lstStyle/>
        <a:p>
          <a:endParaRPr lang="en-IE"/>
        </a:p>
      </dgm:t>
    </dgm:pt>
    <dgm:pt modelId="{0B055ADF-DE61-4D50-A900-69FDB69EAA98}" type="pres">
      <dgm:prSet presAssocID="{FEFD8D85-A9B9-4E28-9C91-DDA1C723D3AD}" presName="descendantText" presStyleLbl="alignAcc1" presStyleIdx="4" presStyleCnt="9">
        <dgm:presLayoutVars>
          <dgm:bulletEnabled val="1"/>
        </dgm:presLayoutVars>
      </dgm:prSet>
      <dgm:spPr/>
      <dgm:t>
        <a:bodyPr/>
        <a:lstStyle/>
        <a:p>
          <a:endParaRPr lang="en-IE"/>
        </a:p>
      </dgm:t>
    </dgm:pt>
    <dgm:pt modelId="{C682F92B-F50A-4691-90C3-057BB436B133}" type="pres">
      <dgm:prSet presAssocID="{70D6257E-51F8-4579-BD9A-207F29E268F1}" presName="sp" presStyleCnt="0"/>
      <dgm:spPr/>
    </dgm:pt>
    <dgm:pt modelId="{6D6E3D7C-A7E2-4916-BB94-4DE11FBBFD72}" type="pres">
      <dgm:prSet presAssocID="{AA6A0087-43EC-45D3-8311-2015FECFD0DF}" presName="composite" presStyleCnt="0"/>
      <dgm:spPr/>
    </dgm:pt>
    <dgm:pt modelId="{B364C829-F72F-478A-BA24-87FE49D55EBF}" type="pres">
      <dgm:prSet presAssocID="{AA6A0087-43EC-45D3-8311-2015FECFD0DF}" presName="parentText" presStyleLbl="alignNode1" presStyleIdx="5" presStyleCnt="9">
        <dgm:presLayoutVars>
          <dgm:chMax val="1"/>
          <dgm:bulletEnabled val="1"/>
        </dgm:presLayoutVars>
      </dgm:prSet>
      <dgm:spPr/>
      <dgm:t>
        <a:bodyPr/>
        <a:lstStyle/>
        <a:p>
          <a:endParaRPr lang="en-IE"/>
        </a:p>
      </dgm:t>
    </dgm:pt>
    <dgm:pt modelId="{EC874571-3893-411B-93C2-AD1DC0C0D5AE}" type="pres">
      <dgm:prSet presAssocID="{AA6A0087-43EC-45D3-8311-2015FECFD0DF}" presName="descendantText" presStyleLbl="alignAcc1" presStyleIdx="5" presStyleCnt="9">
        <dgm:presLayoutVars>
          <dgm:bulletEnabled val="1"/>
        </dgm:presLayoutVars>
      </dgm:prSet>
      <dgm:spPr/>
      <dgm:t>
        <a:bodyPr/>
        <a:lstStyle/>
        <a:p>
          <a:endParaRPr lang="en-IE"/>
        </a:p>
      </dgm:t>
    </dgm:pt>
    <dgm:pt modelId="{213D5CCA-1884-47CA-9D75-AF65775565D8}" type="pres">
      <dgm:prSet presAssocID="{0CB70B6F-9ED2-4344-BE46-C0907614E41D}" presName="sp" presStyleCnt="0"/>
      <dgm:spPr/>
    </dgm:pt>
    <dgm:pt modelId="{9558AEA2-A445-4CFF-872C-993CA07D2789}" type="pres">
      <dgm:prSet presAssocID="{3F48580C-8C0A-4FF5-A3D7-7A4D8DAD4689}" presName="composite" presStyleCnt="0"/>
      <dgm:spPr/>
    </dgm:pt>
    <dgm:pt modelId="{492C0A06-ADF4-4A19-9A05-1868F90ED762}" type="pres">
      <dgm:prSet presAssocID="{3F48580C-8C0A-4FF5-A3D7-7A4D8DAD4689}" presName="parentText" presStyleLbl="alignNode1" presStyleIdx="6" presStyleCnt="9">
        <dgm:presLayoutVars>
          <dgm:chMax val="1"/>
          <dgm:bulletEnabled val="1"/>
        </dgm:presLayoutVars>
      </dgm:prSet>
      <dgm:spPr/>
      <dgm:t>
        <a:bodyPr/>
        <a:lstStyle/>
        <a:p>
          <a:endParaRPr lang="en-IE"/>
        </a:p>
      </dgm:t>
    </dgm:pt>
    <dgm:pt modelId="{F007B8A9-5C9F-4222-97C5-BDC651BD096A}" type="pres">
      <dgm:prSet presAssocID="{3F48580C-8C0A-4FF5-A3D7-7A4D8DAD4689}" presName="descendantText" presStyleLbl="alignAcc1" presStyleIdx="6" presStyleCnt="9" custLinFactNeighborX="0" custLinFactNeighborY="-2931">
        <dgm:presLayoutVars>
          <dgm:bulletEnabled val="1"/>
        </dgm:presLayoutVars>
      </dgm:prSet>
      <dgm:spPr/>
      <dgm:t>
        <a:bodyPr/>
        <a:lstStyle/>
        <a:p>
          <a:endParaRPr lang="en-IE"/>
        </a:p>
      </dgm:t>
    </dgm:pt>
    <dgm:pt modelId="{AEAB0B5D-12A4-44FB-B887-B87CA7CD0803}" type="pres">
      <dgm:prSet presAssocID="{C49C116F-3CA4-4097-8FD6-FA0AF63D6EA1}" presName="sp" presStyleCnt="0"/>
      <dgm:spPr/>
    </dgm:pt>
    <dgm:pt modelId="{14D64F24-8523-4EFA-9D10-4A6B7DBBE4F2}" type="pres">
      <dgm:prSet presAssocID="{791A3133-9243-4DB5-815B-C85CA4EE1BEA}" presName="composite" presStyleCnt="0"/>
      <dgm:spPr/>
    </dgm:pt>
    <dgm:pt modelId="{A7E01957-CF2F-4125-974B-AA63E9C36ACE}" type="pres">
      <dgm:prSet presAssocID="{791A3133-9243-4DB5-815B-C85CA4EE1BEA}" presName="parentText" presStyleLbl="alignNode1" presStyleIdx="7" presStyleCnt="9">
        <dgm:presLayoutVars>
          <dgm:chMax val="1"/>
          <dgm:bulletEnabled val="1"/>
        </dgm:presLayoutVars>
      </dgm:prSet>
      <dgm:spPr/>
      <dgm:t>
        <a:bodyPr/>
        <a:lstStyle/>
        <a:p>
          <a:endParaRPr lang="en-IE"/>
        </a:p>
      </dgm:t>
    </dgm:pt>
    <dgm:pt modelId="{B413E8A7-9CFD-47A9-860E-244E86F3944E}" type="pres">
      <dgm:prSet presAssocID="{791A3133-9243-4DB5-815B-C85CA4EE1BEA}" presName="descendantText" presStyleLbl="alignAcc1" presStyleIdx="7" presStyleCnt="9">
        <dgm:presLayoutVars>
          <dgm:bulletEnabled val="1"/>
        </dgm:presLayoutVars>
      </dgm:prSet>
      <dgm:spPr/>
      <dgm:t>
        <a:bodyPr/>
        <a:lstStyle/>
        <a:p>
          <a:endParaRPr lang="en-IE"/>
        </a:p>
      </dgm:t>
    </dgm:pt>
    <dgm:pt modelId="{6C579728-5CFF-47A3-8D42-B2174FA3EBAB}" type="pres">
      <dgm:prSet presAssocID="{3A43B42D-AAE7-4044-82E8-9CA50AEF6003}" presName="sp" presStyleCnt="0"/>
      <dgm:spPr/>
    </dgm:pt>
    <dgm:pt modelId="{6473598B-4681-45FC-8EDC-F5F7C25C174C}" type="pres">
      <dgm:prSet presAssocID="{FC3850F3-F140-4DE7-A557-BF0B63FA912A}" presName="composite" presStyleCnt="0"/>
      <dgm:spPr/>
    </dgm:pt>
    <dgm:pt modelId="{3A99DE0F-823F-4FB8-9BED-FDF8CD3A90AB}" type="pres">
      <dgm:prSet presAssocID="{FC3850F3-F140-4DE7-A557-BF0B63FA912A}" presName="parentText" presStyleLbl="alignNode1" presStyleIdx="8" presStyleCnt="9">
        <dgm:presLayoutVars>
          <dgm:chMax val="1"/>
          <dgm:bulletEnabled val="1"/>
        </dgm:presLayoutVars>
      </dgm:prSet>
      <dgm:spPr/>
      <dgm:t>
        <a:bodyPr/>
        <a:lstStyle/>
        <a:p>
          <a:endParaRPr lang="en-IE"/>
        </a:p>
      </dgm:t>
    </dgm:pt>
    <dgm:pt modelId="{19A60DCC-8375-4354-BCD8-46023AA754EA}" type="pres">
      <dgm:prSet presAssocID="{FC3850F3-F140-4DE7-A557-BF0B63FA912A}" presName="descendantText" presStyleLbl="alignAcc1" presStyleIdx="8" presStyleCnt="9">
        <dgm:presLayoutVars>
          <dgm:bulletEnabled val="1"/>
        </dgm:presLayoutVars>
      </dgm:prSet>
      <dgm:spPr/>
      <dgm:t>
        <a:bodyPr/>
        <a:lstStyle/>
        <a:p>
          <a:endParaRPr lang="en-IE"/>
        </a:p>
      </dgm:t>
    </dgm:pt>
  </dgm:ptLst>
  <dgm:cxnLst>
    <dgm:cxn modelId="{123476A7-9140-4FF0-B490-F644629387CC}" srcId="{FC3850F3-F140-4DE7-A557-BF0B63FA912A}" destId="{9D82D2EB-02BC-4BED-8088-224A7C90DC99}" srcOrd="0" destOrd="0" parTransId="{89054DAA-38B1-4DD8-B2AE-AF0DBAF45595}" sibTransId="{96218EF4-DE1A-4F5E-B28F-1F48744A32DB}"/>
    <dgm:cxn modelId="{B10201C2-F4B3-4C6C-A163-F07A31DF32F3}" srcId="{8341B305-2D7F-4031-96F0-14FCC7DFFDC5}" destId="{7564C2B0-22B7-4773-9CDE-E690040FC678}" srcOrd="0" destOrd="0" parTransId="{C4CBFFDF-3C15-4CA1-8F49-49760D02F393}" sibTransId="{B12F6C55-2E8A-4263-961A-45EDB6759E0A}"/>
    <dgm:cxn modelId="{F467ABCF-EBB4-4BEA-A818-8AC9D9574067}" srcId="{3F48580C-8C0A-4FF5-A3D7-7A4D8DAD4689}" destId="{9B6C37C8-FD82-4954-A100-0A5B43D19445}" srcOrd="0" destOrd="0" parTransId="{A12D8623-0860-4076-8EF4-D3B5E130429D}" sibTransId="{ABC79400-D1EE-4647-9914-A33CAD8AE897}"/>
    <dgm:cxn modelId="{DF45754E-D50E-47E0-8000-A99D29EFAE22}" type="presOf" srcId="{104CF1B9-B9F0-4491-8848-8E88B871B7B9}" destId="{AC48E8D0-8E7E-4CE2-B280-178774F86FA7}" srcOrd="0" destOrd="0" presId="urn:microsoft.com/office/officeart/2005/8/layout/chevron2"/>
    <dgm:cxn modelId="{D01AEE0A-C928-49BA-85A3-87F960022A9B}" srcId="{B359D3B5-BB41-4F2E-82D6-69FA3D30C03D}" destId="{8341B305-2D7F-4031-96F0-14FCC7DFFDC5}" srcOrd="0" destOrd="0" parTransId="{00C845BC-4B7E-4F4E-A335-D2DB903D2BDB}" sibTransId="{968EFBAE-1911-4EAB-AF24-1A5B14C86236}"/>
    <dgm:cxn modelId="{FAA3130F-6B6E-4B07-B78A-ADBADE31BB77}" type="presOf" srcId="{8341B305-2D7F-4031-96F0-14FCC7DFFDC5}" destId="{2163EE9F-8C1D-41D2-92F7-A012E62B9E6A}" srcOrd="0" destOrd="0" presId="urn:microsoft.com/office/officeart/2005/8/layout/chevron2"/>
    <dgm:cxn modelId="{7005812F-A286-48BA-856B-B97AE47BFF70}" type="presOf" srcId="{2138D6F8-7B6E-4E8B-938E-842BC681A950}" destId="{0F3D5BBA-2CA0-4B23-AE28-E899F77A2D22}" srcOrd="0" destOrd="0" presId="urn:microsoft.com/office/officeart/2005/8/layout/chevron2"/>
    <dgm:cxn modelId="{872A5713-CE9C-4253-A8B8-8E246EA3D8D0}" type="presOf" srcId="{4F1F9651-2F66-4631-8993-AA47E9874D77}" destId="{EC874571-3893-411B-93C2-AD1DC0C0D5AE}" srcOrd="0" destOrd="0" presId="urn:microsoft.com/office/officeart/2005/8/layout/chevron2"/>
    <dgm:cxn modelId="{D218E2B7-C292-4503-A50A-6D5A1891ED46}" srcId="{B359D3B5-BB41-4F2E-82D6-69FA3D30C03D}" destId="{008A9BAE-B699-4746-ADFC-2AA69700D5BB}" srcOrd="1" destOrd="0" parTransId="{68BC4587-ACF8-4C1B-A6DF-27A27E2ABF96}" sibTransId="{829E3A46-758D-4E20-8FA0-72E2890DA70F}"/>
    <dgm:cxn modelId="{5B0F4C4F-179C-4DE3-9C0C-F0B8C7DA29AD}" srcId="{B359D3B5-BB41-4F2E-82D6-69FA3D30C03D}" destId="{AA6A0087-43EC-45D3-8311-2015FECFD0DF}" srcOrd="5" destOrd="0" parTransId="{A211030F-17AF-418B-AD77-6019956DACE5}" sibTransId="{0CB70B6F-9ED2-4344-BE46-C0907614E41D}"/>
    <dgm:cxn modelId="{D9BA7305-4B3E-4E1E-91AC-CB72A8204E02}" srcId="{FEFD8D85-A9B9-4E28-9C91-DDA1C723D3AD}" destId="{EAC7F090-A1EF-4B84-B823-CE78F0CFF204}" srcOrd="0" destOrd="0" parTransId="{1FAD23F3-0DD9-4AFF-9E17-C040F3265B63}" sibTransId="{DAE80051-49E7-433C-9159-AD98C3115F80}"/>
    <dgm:cxn modelId="{94408A6D-D333-45C1-A6C8-EBE60160EC2F}" type="presOf" srcId="{9B6C37C8-FD82-4954-A100-0A5B43D19445}" destId="{F007B8A9-5C9F-4222-97C5-BDC651BD096A}" srcOrd="0" destOrd="0" presId="urn:microsoft.com/office/officeart/2005/8/layout/chevron2"/>
    <dgm:cxn modelId="{4050BB49-7508-4CA9-A4F1-7249A50E846F}" srcId="{104CF1B9-B9F0-4491-8848-8E88B871B7B9}" destId="{2138D6F8-7B6E-4E8B-938E-842BC681A950}" srcOrd="0" destOrd="0" parTransId="{F043BBE2-8DE6-4DBE-9B6A-B05E8CE8007A}" sibTransId="{F3A51602-02D8-40A3-BE9B-DB9855E14D15}"/>
    <dgm:cxn modelId="{C896968A-E97A-4B21-90FC-49A6F856D4D7}" srcId="{B359D3B5-BB41-4F2E-82D6-69FA3D30C03D}" destId="{FC3850F3-F140-4DE7-A557-BF0B63FA912A}" srcOrd="8" destOrd="0" parTransId="{56E9A298-2B53-4061-8E54-273A741C7DBE}" sibTransId="{0DF95384-5A7D-4E56-9497-5B20A87F2D18}"/>
    <dgm:cxn modelId="{CDC70329-DFFB-4574-92AC-8D559449968F}" type="presOf" srcId="{F04A66AE-5BB2-40AD-8417-DB2125ADC93B}" destId="{B413E8A7-9CFD-47A9-860E-244E86F3944E}" srcOrd="0" destOrd="0" presId="urn:microsoft.com/office/officeart/2005/8/layout/chevron2"/>
    <dgm:cxn modelId="{7FCB4455-D0C3-4E38-8600-6E46BD9D3F78}" type="presOf" srcId="{3F48580C-8C0A-4FF5-A3D7-7A4D8DAD4689}" destId="{492C0A06-ADF4-4A19-9A05-1868F90ED762}" srcOrd="0" destOrd="0" presId="urn:microsoft.com/office/officeart/2005/8/layout/chevron2"/>
    <dgm:cxn modelId="{EEC2949F-763C-45EE-8DD8-D914D5218331}" srcId="{B359D3B5-BB41-4F2E-82D6-69FA3D30C03D}" destId="{791A3133-9243-4DB5-815B-C85CA4EE1BEA}" srcOrd="7" destOrd="0" parTransId="{5B9E8394-6760-4572-B80D-F8C696EA45A0}" sibTransId="{3A43B42D-AAE7-4044-82E8-9CA50AEF6003}"/>
    <dgm:cxn modelId="{0DC1258D-39FD-4534-9A36-0B16978EA9A7}" srcId="{AA6A0087-43EC-45D3-8311-2015FECFD0DF}" destId="{4F1F9651-2F66-4631-8993-AA47E9874D77}" srcOrd="0" destOrd="0" parTransId="{B8B17D57-805B-453B-A0D6-2DEBFC12F8FC}" sibTransId="{B84B8BE2-DECD-4EAD-A566-1A1494D92BA8}"/>
    <dgm:cxn modelId="{1E4FAC72-51E2-4DAE-B455-B4BF1F6DAD91}" type="presOf" srcId="{B96355C1-DFD2-4ECA-9DBF-50A1BD707A38}" destId="{2FBF5961-4400-4ADF-9375-05020DA64E69}" srcOrd="0" destOrd="0" presId="urn:microsoft.com/office/officeart/2005/8/layout/chevron2"/>
    <dgm:cxn modelId="{305913A6-2698-4DD9-BD02-0FE81CDA1AE2}" type="presOf" srcId="{B359D3B5-BB41-4F2E-82D6-69FA3D30C03D}" destId="{59222845-5F59-4C30-A81A-760403B483C6}" srcOrd="0" destOrd="0" presId="urn:microsoft.com/office/officeart/2005/8/layout/chevron2"/>
    <dgm:cxn modelId="{A5F89537-582D-43B9-AD84-F9D3FA946BDF}" type="presOf" srcId="{9D82D2EB-02BC-4BED-8088-224A7C90DC99}" destId="{19A60DCC-8375-4354-BCD8-46023AA754EA}" srcOrd="0" destOrd="0" presId="urn:microsoft.com/office/officeart/2005/8/layout/chevron2"/>
    <dgm:cxn modelId="{FD5F0531-0636-42CC-96E6-954F54B7C5FC}" type="presOf" srcId="{7564C2B0-22B7-4773-9CDE-E690040FC678}" destId="{4038B10F-3331-41FA-8085-4D716FB451DB}" srcOrd="0" destOrd="0" presId="urn:microsoft.com/office/officeart/2005/8/layout/chevron2"/>
    <dgm:cxn modelId="{067B536A-3304-4A17-B960-CCAA771C50DD}" type="presOf" srcId="{791A3133-9243-4DB5-815B-C85CA4EE1BEA}" destId="{A7E01957-CF2F-4125-974B-AA63E9C36ACE}" srcOrd="0" destOrd="0" presId="urn:microsoft.com/office/officeart/2005/8/layout/chevron2"/>
    <dgm:cxn modelId="{E12C1D79-352B-4D79-A0BA-FA8FFDBF65BC}" type="presOf" srcId="{AA6A0087-43EC-45D3-8311-2015FECFD0DF}" destId="{B364C829-F72F-478A-BA24-87FE49D55EBF}" srcOrd="0" destOrd="0" presId="urn:microsoft.com/office/officeart/2005/8/layout/chevron2"/>
    <dgm:cxn modelId="{BCD1F201-FE39-4166-8E48-8496966679F3}" type="presOf" srcId="{CC9F5566-A5B5-433C-B26A-288D756EF579}" destId="{A7D9F319-BF80-4494-BF58-F7B92E2FCFFF}" srcOrd="0" destOrd="0" presId="urn:microsoft.com/office/officeart/2005/8/layout/chevron2"/>
    <dgm:cxn modelId="{CECC7657-9F41-426C-A3C6-3033B33ACBD6}" srcId="{791A3133-9243-4DB5-815B-C85CA4EE1BEA}" destId="{F04A66AE-5BB2-40AD-8417-DB2125ADC93B}" srcOrd="0" destOrd="0" parTransId="{39F1E8D7-4AD0-4C16-9B83-E3D6BA70488D}" sibTransId="{0EC1C1EB-4644-4C1B-9035-9F802912D95E}"/>
    <dgm:cxn modelId="{6298F477-D5E4-46BC-97AE-AFBF991F2F05}" type="presOf" srcId="{008A9BAE-B699-4746-ADFC-2AA69700D5BB}" destId="{96EDE13D-01FF-4AFE-9147-1838C857CE42}" srcOrd="0" destOrd="0" presId="urn:microsoft.com/office/officeart/2005/8/layout/chevron2"/>
    <dgm:cxn modelId="{DA9A853C-6AFB-41C3-922F-2B11BA874B38}" srcId="{B359D3B5-BB41-4F2E-82D6-69FA3D30C03D}" destId="{FEFD8D85-A9B9-4E28-9C91-DDA1C723D3AD}" srcOrd="4" destOrd="0" parTransId="{A0996C82-43CF-4564-8FB6-0D2CEA281D80}" sibTransId="{70D6257E-51F8-4579-BD9A-207F29E268F1}"/>
    <dgm:cxn modelId="{347346AD-E805-42F9-90D9-2B6827DC8702}" srcId="{CC9F5566-A5B5-433C-B26A-288D756EF579}" destId="{B96355C1-DFD2-4ECA-9DBF-50A1BD707A38}" srcOrd="0" destOrd="0" parTransId="{749BB61F-11ED-4F2A-9059-56175533267A}" sibTransId="{FB81BBA5-6415-4591-B22D-90342A678CC4}"/>
    <dgm:cxn modelId="{66643B6A-5C84-4B94-9E87-087803D85BA1}" srcId="{B359D3B5-BB41-4F2E-82D6-69FA3D30C03D}" destId="{CC9F5566-A5B5-433C-B26A-288D756EF579}" srcOrd="2" destOrd="0" parTransId="{67F5D3D4-5A6D-402A-B8D9-8B223EF9E78D}" sibTransId="{873FC2E3-8318-4619-A36E-332D5DF59FCE}"/>
    <dgm:cxn modelId="{6BB38B67-F6E7-43AE-BE63-5B17F6D3B735}" type="presOf" srcId="{938500B0-F85C-4B74-81DB-F534DB48B094}" destId="{B2011F98-B2AC-4A00-9957-9F594B88442B}" srcOrd="0" destOrd="0" presId="urn:microsoft.com/office/officeart/2005/8/layout/chevron2"/>
    <dgm:cxn modelId="{C14A6A36-CEED-4657-A2F8-8BD507193515}" srcId="{008A9BAE-B699-4746-ADFC-2AA69700D5BB}" destId="{938500B0-F85C-4B74-81DB-F534DB48B094}" srcOrd="0" destOrd="0" parTransId="{656C5271-4528-471C-B0BF-4CF766A8BF10}" sibTransId="{67CDE363-6EB1-4A69-ACB5-5043520D46B1}"/>
    <dgm:cxn modelId="{F809EC93-2F1C-433E-B90A-35EBA8FD3C35}" type="presOf" srcId="{FEFD8D85-A9B9-4E28-9C91-DDA1C723D3AD}" destId="{22784683-AEA2-4D44-AA77-E162EB2EE8BD}" srcOrd="0" destOrd="0" presId="urn:microsoft.com/office/officeart/2005/8/layout/chevron2"/>
    <dgm:cxn modelId="{A24AD68E-B77E-4A0D-8EAE-EAE50083D7B6}" type="presOf" srcId="{FC3850F3-F140-4DE7-A557-BF0B63FA912A}" destId="{3A99DE0F-823F-4FB8-9BED-FDF8CD3A90AB}" srcOrd="0" destOrd="0" presId="urn:microsoft.com/office/officeart/2005/8/layout/chevron2"/>
    <dgm:cxn modelId="{F7EC5C09-B1DC-4774-B641-61658D580640}" srcId="{B359D3B5-BB41-4F2E-82D6-69FA3D30C03D}" destId="{104CF1B9-B9F0-4491-8848-8E88B871B7B9}" srcOrd="3" destOrd="0" parTransId="{C5CF87B8-A48E-4F59-8302-17922D9AD684}" sibTransId="{A67E2982-6778-4792-A082-5CC0CEB247AD}"/>
    <dgm:cxn modelId="{D677354A-9D9E-4AE3-924B-80870FCFA4DE}" srcId="{B359D3B5-BB41-4F2E-82D6-69FA3D30C03D}" destId="{3F48580C-8C0A-4FF5-A3D7-7A4D8DAD4689}" srcOrd="6" destOrd="0" parTransId="{D93C9744-9B81-43E1-ACEF-121BF3361C63}" sibTransId="{C49C116F-3CA4-4097-8FD6-FA0AF63D6EA1}"/>
    <dgm:cxn modelId="{9031E3EB-FE66-4E47-8363-99FD1BAE9DF0}" type="presOf" srcId="{EAC7F090-A1EF-4B84-B823-CE78F0CFF204}" destId="{0B055ADF-DE61-4D50-A900-69FDB69EAA98}" srcOrd="0" destOrd="0" presId="urn:microsoft.com/office/officeart/2005/8/layout/chevron2"/>
    <dgm:cxn modelId="{67A5DC1F-C88F-44BA-827A-A29399FD2ECF}" type="presParOf" srcId="{59222845-5F59-4C30-A81A-760403B483C6}" destId="{8A0327D6-BA8A-442B-BFB7-1B843F8764A7}" srcOrd="0" destOrd="0" presId="urn:microsoft.com/office/officeart/2005/8/layout/chevron2"/>
    <dgm:cxn modelId="{E70086C6-8B19-4207-895A-5D4B14396386}" type="presParOf" srcId="{8A0327D6-BA8A-442B-BFB7-1B843F8764A7}" destId="{2163EE9F-8C1D-41D2-92F7-A012E62B9E6A}" srcOrd="0" destOrd="0" presId="urn:microsoft.com/office/officeart/2005/8/layout/chevron2"/>
    <dgm:cxn modelId="{1F8BED02-E4B9-4D49-8A2B-6E22FA315821}" type="presParOf" srcId="{8A0327D6-BA8A-442B-BFB7-1B843F8764A7}" destId="{4038B10F-3331-41FA-8085-4D716FB451DB}" srcOrd="1" destOrd="0" presId="urn:microsoft.com/office/officeart/2005/8/layout/chevron2"/>
    <dgm:cxn modelId="{F4854C98-F1C3-4AA9-AAEB-366359DDCBE2}" type="presParOf" srcId="{59222845-5F59-4C30-A81A-760403B483C6}" destId="{464EB438-E582-4718-AFFC-249533E78D77}" srcOrd="1" destOrd="0" presId="urn:microsoft.com/office/officeart/2005/8/layout/chevron2"/>
    <dgm:cxn modelId="{F031F497-3E7B-4BB5-96F7-863FA2F4F698}" type="presParOf" srcId="{59222845-5F59-4C30-A81A-760403B483C6}" destId="{612C1484-DF0C-4496-93E5-1FF633D07DCA}" srcOrd="2" destOrd="0" presId="urn:microsoft.com/office/officeart/2005/8/layout/chevron2"/>
    <dgm:cxn modelId="{00B4112B-C016-45AB-96DB-F6FCA98F266B}" type="presParOf" srcId="{612C1484-DF0C-4496-93E5-1FF633D07DCA}" destId="{96EDE13D-01FF-4AFE-9147-1838C857CE42}" srcOrd="0" destOrd="0" presId="urn:microsoft.com/office/officeart/2005/8/layout/chevron2"/>
    <dgm:cxn modelId="{EEE891E5-21D2-42E3-9323-FBA8C7A46520}" type="presParOf" srcId="{612C1484-DF0C-4496-93E5-1FF633D07DCA}" destId="{B2011F98-B2AC-4A00-9957-9F594B88442B}" srcOrd="1" destOrd="0" presId="urn:microsoft.com/office/officeart/2005/8/layout/chevron2"/>
    <dgm:cxn modelId="{3FB7B9C9-D514-452D-8BA9-D031D8A445AD}" type="presParOf" srcId="{59222845-5F59-4C30-A81A-760403B483C6}" destId="{A65EC6AE-6724-465A-8E9B-9F77C4A20D62}" srcOrd="3" destOrd="0" presId="urn:microsoft.com/office/officeart/2005/8/layout/chevron2"/>
    <dgm:cxn modelId="{F4C48EFA-D65B-4767-B9CD-EDF07EF4D1CC}" type="presParOf" srcId="{59222845-5F59-4C30-A81A-760403B483C6}" destId="{EAE74E0D-B759-4283-AD40-760A955A4CA2}" srcOrd="4" destOrd="0" presId="urn:microsoft.com/office/officeart/2005/8/layout/chevron2"/>
    <dgm:cxn modelId="{525F703A-EF5E-4675-AA16-BFE57D00B3EE}" type="presParOf" srcId="{EAE74E0D-B759-4283-AD40-760A955A4CA2}" destId="{A7D9F319-BF80-4494-BF58-F7B92E2FCFFF}" srcOrd="0" destOrd="0" presId="urn:microsoft.com/office/officeart/2005/8/layout/chevron2"/>
    <dgm:cxn modelId="{1D65EC96-6C8F-46E5-9CBC-035877A93D9C}" type="presParOf" srcId="{EAE74E0D-B759-4283-AD40-760A955A4CA2}" destId="{2FBF5961-4400-4ADF-9375-05020DA64E69}" srcOrd="1" destOrd="0" presId="urn:microsoft.com/office/officeart/2005/8/layout/chevron2"/>
    <dgm:cxn modelId="{42E18C47-C0BA-46B6-B2DC-6A2BA6E5AD1A}" type="presParOf" srcId="{59222845-5F59-4C30-A81A-760403B483C6}" destId="{D783144C-F56C-4AC9-867A-53CC97B5090E}" srcOrd="5" destOrd="0" presId="urn:microsoft.com/office/officeart/2005/8/layout/chevron2"/>
    <dgm:cxn modelId="{5F9CA687-160D-4A85-954F-8BEC93345853}" type="presParOf" srcId="{59222845-5F59-4C30-A81A-760403B483C6}" destId="{B7836D9C-510F-4D6D-BA13-33B3C86F4BDA}" srcOrd="6" destOrd="0" presId="urn:microsoft.com/office/officeart/2005/8/layout/chevron2"/>
    <dgm:cxn modelId="{B65F5A70-8132-42CB-8FD1-4F4CF47837A0}" type="presParOf" srcId="{B7836D9C-510F-4D6D-BA13-33B3C86F4BDA}" destId="{AC48E8D0-8E7E-4CE2-B280-178774F86FA7}" srcOrd="0" destOrd="0" presId="urn:microsoft.com/office/officeart/2005/8/layout/chevron2"/>
    <dgm:cxn modelId="{32B06ADC-75DE-4BBE-B50A-58ABDB8733D6}" type="presParOf" srcId="{B7836D9C-510F-4D6D-BA13-33B3C86F4BDA}" destId="{0F3D5BBA-2CA0-4B23-AE28-E899F77A2D22}" srcOrd="1" destOrd="0" presId="urn:microsoft.com/office/officeart/2005/8/layout/chevron2"/>
    <dgm:cxn modelId="{D2099A3A-EE78-4913-A187-A40D3BBDF695}" type="presParOf" srcId="{59222845-5F59-4C30-A81A-760403B483C6}" destId="{2DD6F73C-11BF-4B43-B440-DFA7DDF3E26E}" srcOrd="7" destOrd="0" presId="urn:microsoft.com/office/officeart/2005/8/layout/chevron2"/>
    <dgm:cxn modelId="{7ED4C2D1-75DC-4728-839E-8E0C50A83B8D}" type="presParOf" srcId="{59222845-5F59-4C30-A81A-760403B483C6}" destId="{F04A5D3B-5E8B-4926-A257-A283615C234A}" srcOrd="8" destOrd="0" presId="urn:microsoft.com/office/officeart/2005/8/layout/chevron2"/>
    <dgm:cxn modelId="{737B1693-DEF8-4D47-BDDC-0E7CCC6941D5}" type="presParOf" srcId="{F04A5D3B-5E8B-4926-A257-A283615C234A}" destId="{22784683-AEA2-4D44-AA77-E162EB2EE8BD}" srcOrd="0" destOrd="0" presId="urn:microsoft.com/office/officeart/2005/8/layout/chevron2"/>
    <dgm:cxn modelId="{2BBDB51E-B121-4DEB-AFF7-FFBDA42222E0}" type="presParOf" srcId="{F04A5D3B-5E8B-4926-A257-A283615C234A}" destId="{0B055ADF-DE61-4D50-A900-69FDB69EAA98}" srcOrd="1" destOrd="0" presId="urn:microsoft.com/office/officeart/2005/8/layout/chevron2"/>
    <dgm:cxn modelId="{CE284403-6B15-4668-83C6-5CEF8146F742}" type="presParOf" srcId="{59222845-5F59-4C30-A81A-760403B483C6}" destId="{C682F92B-F50A-4691-90C3-057BB436B133}" srcOrd="9" destOrd="0" presId="urn:microsoft.com/office/officeart/2005/8/layout/chevron2"/>
    <dgm:cxn modelId="{EB2D4429-A367-4E95-B4D7-ED6A4091DFD5}" type="presParOf" srcId="{59222845-5F59-4C30-A81A-760403B483C6}" destId="{6D6E3D7C-A7E2-4916-BB94-4DE11FBBFD72}" srcOrd="10" destOrd="0" presId="urn:microsoft.com/office/officeart/2005/8/layout/chevron2"/>
    <dgm:cxn modelId="{6D6FE84F-C627-46DD-95A4-CAE094E39054}" type="presParOf" srcId="{6D6E3D7C-A7E2-4916-BB94-4DE11FBBFD72}" destId="{B364C829-F72F-478A-BA24-87FE49D55EBF}" srcOrd="0" destOrd="0" presId="urn:microsoft.com/office/officeart/2005/8/layout/chevron2"/>
    <dgm:cxn modelId="{4C6CA48A-4FCF-4E68-8DD2-9BF9C9761EF0}" type="presParOf" srcId="{6D6E3D7C-A7E2-4916-BB94-4DE11FBBFD72}" destId="{EC874571-3893-411B-93C2-AD1DC0C0D5AE}" srcOrd="1" destOrd="0" presId="urn:microsoft.com/office/officeart/2005/8/layout/chevron2"/>
    <dgm:cxn modelId="{5088E1D0-A2E3-44C9-8ADE-AA49A85844AB}" type="presParOf" srcId="{59222845-5F59-4C30-A81A-760403B483C6}" destId="{213D5CCA-1884-47CA-9D75-AF65775565D8}" srcOrd="11" destOrd="0" presId="urn:microsoft.com/office/officeart/2005/8/layout/chevron2"/>
    <dgm:cxn modelId="{90952E17-0D82-4826-B6A0-66AFC9154D12}" type="presParOf" srcId="{59222845-5F59-4C30-A81A-760403B483C6}" destId="{9558AEA2-A445-4CFF-872C-993CA07D2789}" srcOrd="12" destOrd="0" presId="urn:microsoft.com/office/officeart/2005/8/layout/chevron2"/>
    <dgm:cxn modelId="{3E7E0AC4-D89F-4CE3-8C4A-8A70DABE0AAE}" type="presParOf" srcId="{9558AEA2-A445-4CFF-872C-993CA07D2789}" destId="{492C0A06-ADF4-4A19-9A05-1868F90ED762}" srcOrd="0" destOrd="0" presId="urn:microsoft.com/office/officeart/2005/8/layout/chevron2"/>
    <dgm:cxn modelId="{9480B5D4-DC59-4633-B4DC-6F716FF9714E}" type="presParOf" srcId="{9558AEA2-A445-4CFF-872C-993CA07D2789}" destId="{F007B8A9-5C9F-4222-97C5-BDC651BD096A}" srcOrd="1" destOrd="0" presId="urn:microsoft.com/office/officeart/2005/8/layout/chevron2"/>
    <dgm:cxn modelId="{4ED5DD50-C718-4C26-9032-E10D1BA66107}" type="presParOf" srcId="{59222845-5F59-4C30-A81A-760403B483C6}" destId="{AEAB0B5D-12A4-44FB-B887-B87CA7CD0803}" srcOrd="13" destOrd="0" presId="urn:microsoft.com/office/officeart/2005/8/layout/chevron2"/>
    <dgm:cxn modelId="{8E70C176-DD77-485C-ABBD-63A62439D204}" type="presParOf" srcId="{59222845-5F59-4C30-A81A-760403B483C6}" destId="{14D64F24-8523-4EFA-9D10-4A6B7DBBE4F2}" srcOrd="14" destOrd="0" presId="urn:microsoft.com/office/officeart/2005/8/layout/chevron2"/>
    <dgm:cxn modelId="{B8BC33A9-D1A4-46B2-85B6-F2C8B8331BE6}" type="presParOf" srcId="{14D64F24-8523-4EFA-9D10-4A6B7DBBE4F2}" destId="{A7E01957-CF2F-4125-974B-AA63E9C36ACE}" srcOrd="0" destOrd="0" presId="urn:microsoft.com/office/officeart/2005/8/layout/chevron2"/>
    <dgm:cxn modelId="{292A5B91-D1D9-4EA4-AA65-0A6E0462A902}" type="presParOf" srcId="{14D64F24-8523-4EFA-9D10-4A6B7DBBE4F2}" destId="{B413E8A7-9CFD-47A9-860E-244E86F3944E}" srcOrd="1" destOrd="0" presId="urn:microsoft.com/office/officeart/2005/8/layout/chevron2"/>
    <dgm:cxn modelId="{B7611ED3-B793-4EC8-B0C1-6AFF21C62211}" type="presParOf" srcId="{59222845-5F59-4C30-A81A-760403B483C6}" destId="{6C579728-5CFF-47A3-8D42-B2174FA3EBAB}" srcOrd="15" destOrd="0" presId="urn:microsoft.com/office/officeart/2005/8/layout/chevron2"/>
    <dgm:cxn modelId="{7F2EF0B9-A2D2-44BC-9CEB-82126DFB3457}" type="presParOf" srcId="{59222845-5F59-4C30-A81A-760403B483C6}" destId="{6473598B-4681-45FC-8EDC-F5F7C25C174C}" srcOrd="16" destOrd="0" presId="urn:microsoft.com/office/officeart/2005/8/layout/chevron2"/>
    <dgm:cxn modelId="{CA671318-7EF5-461A-A15C-58AD1EA2D6C3}" type="presParOf" srcId="{6473598B-4681-45FC-8EDC-F5F7C25C174C}" destId="{3A99DE0F-823F-4FB8-9BED-FDF8CD3A90AB}" srcOrd="0" destOrd="0" presId="urn:microsoft.com/office/officeart/2005/8/layout/chevron2"/>
    <dgm:cxn modelId="{06148084-94C5-418B-A4A0-143D46E4EC54}" type="presParOf" srcId="{6473598B-4681-45FC-8EDC-F5F7C25C174C}" destId="{19A60DCC-8375-4354-BCD8-46023AA754EA}" srcOrd="1" destOrd="0" presId="urn:microsoft.com/office/officeart/2005/8/layout/chevron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F4D404-B4D7-40E0-A2BC-055667AA25AF}">
      <dsp:nvSpPr>
        <dsp:cNvPr id="0" name=""/>
        <dsp:cNvSpPr/>
      </dsp:nvSpPr>
      <dsp:spPr>
        <a:xfrm>
          <a:off x="868" y="235815"/>
          <a:ext cx="941509" cy="409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IE" sz="700" kern="1200" dirty="0" smtClean="0"/>
            <a:t>Change in Validity of Unit for Trading</a:t>
          </a:r>
          <a:endParaRPr lang="en-IE" sz="700" kern="1200" dirty="0"/>
        </a:p>
      </dsp:txBody>
      <dsp:txXfrm>
        <a:off x="868" y="235815"/>
        <a:ext cx="941509" cy="272695"/>
      </dsp:txXfrm>
    </dsp:sp>
    <dsp:sp modelId="{7720A147-D73A-4867-86FB-15D106DC3CCE}">
      <dsp:nvSpPr>
        <dsp:cNvPr id="0" name=""/>
        <dsp:cNvSpPr/>
      </dsp:nvSpPr>
      <dsp:spPr>
        <a:xfrm>
          <a:off x="193708" y="508510"/>
          <a:ext cx="941509" cy="8634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IE" sz="700" kern="1200" dirty="0" smtClean="0"/>
            <a:t>Unit starting, unit suspended, or unit with trading halt applied</a:t>
          </a:r>
          <a:endParaRPr lang="en-IE" sz="700" kern="1200" dirty="0"/>
        </a:p>
        <a:p>
          <a:pPr marL="57150" lvl="1" indent="-57150" algn="l" defTabSz="311150">
            <a:lnSpc>
              <a:spcPct val="90000"/>
            </a:lnSpc>
            <a:spcBef>
              <a:spcPct val="0"/>
            </a:spcBef>
            <a:spcAft>
              <a:spcPct val="15000"/>
            </a:spcAft>
            <a:buChar char="••"/>
          </a:pPr>
          <a:r>
            <a:rPr lang="en-IE" sz="700" b="1" kern="1200" dirty="0" smtClean="0"/>
            <a:t>Rare Event</a:t>
          </a:r>
          <a:endParaRPr lang="en-IE" sz="700" b="1" kern="1200" dirty="0"/>
        </a:p>
      </dsp:txBody>
      <dsp:txXfrm>
        <a:off x="193708" y="508510"/>
        <a:ext cx="941509" cy="863493"/>
      </dsp:txXfrm>
    </dsp:sp>
    <dsp:sp modelId="{60A9FF28-EB90-4BE4-916F-418E0EBAE336}">
      <dsp:nvSpPr>
        <dsp:cNvPr id="0" name=""/>
        <dsp:cNvSpPr/>
      </dsp:nvSpPr>
      <dsp:spPr>
        <a:xfrm>
          <a:off x="1085108" y="254958"/>
          <a:ext cx="302586" cy="2344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a:off x="1085108" y="254958"/>
        <a:ext cx="302586" cy="234408"/>
      </dsp:txXfrm>
    </dsp:sp>
    <dsp:sp modelId="{171FBF0F-E9D1-4474-917B-8B699F4DCCB2}">
      <dsp:nvSpPr>
        <dsp:cNvPr id="0" name=""/>
        <dsp:cNvSpPr/>
      </dsp:nvSpPr>
      <dsp:spPr>
        <a:xfrm>
          <a:off x="1513296" y="235815"/>
          <a:ext cx="941509" cy="409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IE" sz="700" kern="1200" dirty="0" smtClean="0"/>
            <a:t>Member Trades Anyway</a:t>
          </a:r>
          <a:endParaRPr lang="en-IE" sz="700" b="1" kern="1200" dirty="0"/>
        </a:p>
      </dsp:txBody>
      <dsp:txXfrm>
        <a:off x="1513296" y="235815"/>
        <a:ext cx="941509" cy="272695"/>
      </dsp:txXfrm>
    </dsp:sp>
    <dsp:sp modelId="{8385A31F-884F-424C-8E06-A0476F36BF7A}">
      <dsp:nvSpPr>
        <dsp:cNvPr id="0" name=""/>
        <dsp:cNvSpPr/>
      </dsp:nvSpPr>
      <dsp:spPr>
        <a:xfrm>
          <a:off x="1706136" y="508510"/>
          <a:ext cx="941509" cy="8634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IE" sz="700" kern="1200" dirty="0" smtClean="0"/>
            <a:t> Obligations under rules not to trade when not valid to do so</a:t>
          </a:r>
          <a:endParaRPr lang="en-IE" sz="700" kern="1200" dirty="0"/>
        </a:p>
        <a:p>
          <a:pPr marL="57150" lvl="1" indent="-57150" algn="l" defTabSz="311150">
            <a:lnSpc>
              <a:spcPct val="90000"/>
            </a:lnSpc>
            <a:spcBef>
              <a:spcPct val="0"/>
            </a:spcBef>
            <a:spcAft>
              <a:spcPct val="15000"/>
            </a:spcAft>
            <a:buChar char="••"/>
          </a:pPr>
          <a:r>
            <a:rPr lang="en-IE" sz="700" b="1" kern="1200" dirty="0" smtClean="0"/>
            <a:t>Unlikely Event</a:t>
          </a:r>
          <a:endParaRPr lang="en-IE" sz="700" kern="1200"/>
        </a:p>
      </dsp:txBody>
      <dsp:txXfrm>
        <a:off x="1706136" y="508510"/>
        <a:ext cx="941509" cy="863493"/>
      </dsp:txXfrm>
    </dsp:sp>
    <dsp:sp modelId="{18DB9BE6-6F09-4D5F-94AE-43C3884FEC7B}">
      <dsp:nvSpPr>
        <dsp:cNvPr id="0" name=""/>
        <dsp:cNvSpPr/>
      </dsp:nvSpPr>
      <dsp:spPr>
        <a:xfrm>
          <a:off x="2597536" y="254958"/>
          <a:ext cx="302586" cy="2344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a:off x="2597536" y="254958"/>
        <a:ext cx="302586" cy="234408"/>
      </dsp:txXfrm>
    </dsp:sp>
    <dsp:sp modelId="{016F8C30-3C24-4B89-801C-8482B74BEC66}">
      <dsp:nvSpPr>
        <dsp:cNvPr id="0" name=""/>
        <dsp:cNvSpPr/>
      </dsp:nvSpPr>
      <dsp:spPr>
        <a:xfrm>
          <a:off x="3025724" y="235815"/>
          <a:ext cx="941509" cy="409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lvl="0" algn="l" defTabSz="311150">
            <a:lnSpc>
              <a:spcPct val="90000"/>
            </a:lnSpc>
            <a:spcBef>
              <a:spcPct val="0"/>
            </a:spcBef>
            <a:spcAft>
              <a:spcPct val="35000"/>
            </a:spcAft>
          </a:pPr>
          <a:r>
            <a:rPr lang="en-IE" sz="700" kern="1200" dirty="0" smtClean="0"/>
            <a:t>Technical Restriction Not Made</a:t>
          </a:r>
          <a:endParaRPr lang="en-IE" sz="700" kern="1200"/>
        </a:p>
      </dsp:txBody>
      <dsp:txXfrm>
        <a:off x="3025724" y="235815"/>
        <a:ext cx="941509" cy="272695"/>
      </dsp:txXfrm>
    </dsp:sp>
    <dsp:sp modelId="{0E713F0D-5FE6-46A6-BE5D-AB45DAB7D4D2}">
      <dsp:nvSpPr>
        <dsp:cNvPr id="0" name=""/>
        <dsp:cNvSpPr/>
      </dsp:nvSpPr>
      <dsp:spPr>
        <a:xfrm>
          <a:off x="3218564" y="508510"/>
          <a:ext cx="941509" cy="8634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IE" sz="700" kern="1200" dirty="0" smtClean="0"/>
            <a:t>Error in communication or application of effective dates of unit in Ex-Ante trading system</a:t>
          </a:r>
          <a:endParaRPr lang="en-IE" sz="700" kern="1200" dirty="0"/>
        </a:p>
        <a:p>
          <a:pPr marL="57150" lvl="1" indent="-57150" algn="l" defTabSz="311150">
            <a:lnSpc>
              <a:spcPct val="90000"/>
            </a:lnSpc>
            <a:spcBef>
              <a:spcPct val="0"/>
            </a:spcBef>
            <a:spcAft>
              <a:spcPct val="15000"/>
            </a:spcAft>
            <a:buChar char="••"/>
          </a:pPr>
          <a:r>
            <a:rPr lang="en-IE" sz="700" b="1" kern="1200" dirty="0" smtClean="0"/>
            <a:t>Very unlikely Event</a:t>
          </a:r>
          <a:endParaRPr lang="en-IE" sz="700" b="1" kern="1200" dirty="0"/>
        </a:p>
      </dsp:txBody>
      <dsp:txXfrm>
        <a:off x="3218564" y="508510"/>
        <a:ext cx="941509" cy="863493"/>
      </dsp:txXfrm>
    </dsp:sp>
    <dsp:sp modelId="{1D005261-04EE-474D-A548-6A773CCB68E7}">
      <dsp:nvSpPr>
        <dsp:cNvPr id="0" name=""/>
        <dsp:cNvSpPr/>
      </dsp:nvSpPr>
      <dsp:spPr>
        <a:xfrm rot="21460480">
          <a:off x="4109839" y="223903"/>
          <a:ext cx="302835" cy="2344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rot="21460480">
        <a:off x="4109839" y="223903"/>
        <a:ext cx="302835" cy="234408"/>
      </dsp:txXfrm>
    </dsp:sp>
    <dsp:sp modelId="{6BAD6101-648A-4066-9364-38E126362254}">
      <dsp:nvSpPr>
        <dsp:cNvPr id="0" name=""/>
        <dsp:cNvSpPr/>
      </dsp:nvSpPr>
      <dsp:spPr>
        <a:xfrm>
          <a:off x="4538152" y="124469"/>
          <a:ext cx="1024767" cy="55376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ctr" defTabSz="533400">
            <a:lnSpc>
              <a:spcPct val="90000"/>
            </a:lnSpc>
            <a:spcBef>
              <a:spcPct val="0"/>
            </a:spcBef>
            <a:spcAft>
              <a:spcPct val="35000"/>
            </a:spcAft>
          </a:pPr>
          <a:r>
            <a:rPr lang="en-IE" sz="1200" kern="1200" dirty="0" smtClean="0"/>
            <a:t>Risk Eventuates</a:t>
          </a:r>
          <a:endParaRPr lang="en-IE" sz="1200" kern="1200" dirty="0"/>
        </a:p>
      </dsp:txBody>
      <dsp:txXfrm>
        <a:off x="4538152" y="124469"/>
        <a:ext cx="1024767" cy="369174"/>
      </dsp:txXfrm>
    </dsp:sp>
    <dsp:sp modelId="{A4E440B0-FA62-483F-9060-894BBD9983FA}">
      <dsp:nvSpPr>
        <dsp:cNvPr id="0" name=""/>
        <dsp:cNvSpPr/>
      </dsp:nvSpPr>
      <dsp:spPr>
        <a:xfrm>
          <a:off x="4772621" y="544690"/>
          <a:ext cx="941509" cy="86349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163EE9F-8C1D-41D2-92F7-A012E62B9E6A}">
      <dsp:nvSpPr>
        <dsp:cNvPr id="0" name=""/>
        <dsp:cNvSpPr/>
      </dsp:nvSpPr>
      <dsp:spPr>
        <a:xfrm rot="5400000">
          <a:off x="-62585" y="64556"/>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1</a:t>
          </a:r>
        </a:p>
      </dsp:txBody>
      <dsp:txXfrm rot="5400000">
        <a:off x="-62585" y="64556"/>
        <a:ext cx="417239" cy="292067"/>
      </dsp:txXfrm>
    </dsp:sp>
    <dsp:sp modelId="{4038B10F-3331-41FA-8085-4D716FB451DB}">
      <dsp:nvSpPr>
        <dsp:cNvPr id="0" name=""/>
        <dsp:cNvSpPr/>
      </dsp:nvSpPr>
      <dsp:spPr>
        <a:xfrm rot="5400000">
          <a:off x="2753630" y="-2459592"/>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Exchange Member bids and obtains contracts for a period they are not authorised under the Exchange Rules</a:t>
          </a:r>
        </a:p>
      </dsp:txBody>
      <dsp:txXfrm rot="5400000">
        <a:off x="2753630" y="-2459592"/>
        <a:ext cx="271205" cy="5194332"/>
      </dsp:txXfrm>
    </dsp:sp>
    <dsp:sp modelId="{96EDE13D-01FF-4AFE-9147-1838C857CE42}">
      <dsp:nvSpPr>
        <dsp:cNvPr id="0" name=""/>
        <dsp:cNvSpPr/>
      </dsp:nvSpPr>
      <dsp:spPr>
        <a:xfrm rot="5400000">
          <a:off x="-62585" y="411958"/>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2</a:t>
          </a:r>
        </a:p>
      </dsp:txBody>
      <dsp:txXfrm rot="5400000">
        <a:off x="-62585" y="411958"/>
        <a:ext cx="417239" cy="292067"/>
      </dsp:txXfrm>
    </dsp:sp>
    <dsp:sp modelId="{B2011F98-B2AC-4A00-9957-9F594B88442B}">
      <dsp:nvSpPr>
        <dsp:cNvPr id="0" name=""/>
        <dsp:cNvSpPr/>
      </dsp:nvSpPr>
      <dsp:spPr>
        <a:xfrm rot="5400000">
          <a:off x="2753630" y="-2112190"/>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Technical restrictions in the Ex-Ante Markets are not implemented</a:t>
          </a:r>
        </a:p>
      </dsp:txBody>
      <dsp:txXfrm rot="5400000">
        <a:off x="2753630" y="-2112190"/>
        <a:ext cx="271205" cy="5194332"/>
      </dsp:txXfrm>
    </dsp:sp>
    <dsp:sp modelId="{A7D9F319-BF80-4494-BF58-F7B92E2FCFFF}">
      <dsp:nvSpPr>
        <dsp:cNvPr id="0" name=""/>
        <dsp:cNvSpPr/>
      </dsp:nvSpPr>
      <dsp:spPr>
        <a:xfrm rot="5400000">
          <a:off x="-62585" y="759361"/>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3</a:t>
          </a:r>
        </a:p>
      </dsp:txBody>
      <dsp:txXfrm rot="5400000">
        <a:off x="-62585" y="759361"/>
        <a:ext cx="417239" cy="292067"/>
      </dsp:txXfrm>
    </dsp:sp>
    <dsp:sp modelId="{2FBF5961-4400-4ADF-9375-05020DA64E69}">
      <dsp:nvSpPr>
        <dsp:cNvPr id="0" name=""/>
        <dsp:cNvSpPr/>
      </dsp:nvSpPr>
      <dsp:spPr>
        <a:xfrm rot="5400000">
          <a:off x="2753630" y="-1764787"/>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DAM/IDM contract payment is not able to be withheld by the Exchange</a:t>
          </a:r>
        </a:p>
      </dsp:txBody>
      <dsp:txXfrm rot="5400000">
        <a:off x="2753630" y="-1764787"/>
        <a:ext cx="271205" cy="5194332"/>
      </dsp:txXfrm>
    </dsp:sp>
    <dsp:sp modelId="{AC48E8D0-8E7E-4CE2-B280-178774F86FA7}">
      <dsp:nvSpPr>
        <dsp:cNvPr id="0" name=""/>
        <dsp:cNvSpPr/>
      </dsp:nvSpPr>
      <dsp:spPr>
        <a:xfrm rot="5400000">
          <a:off x="-62585" y="1106763"/>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4</a:t>
          </a:r>
        </a:p>
      </dsp:txBody>
      <dsp:txXfrm rot="5400000">
        <a:off x="-62585" y="1106763"/>
        <a:ext cx="417239" cy="292067"/>
      </dsp:txXfrm>
    </dsp:sp>
    <dsp:sp modelId="{0F3D5BBA-2CA0-4B23-AE28-E899F77A2D22}">
      <dsp:nvSpPr>
        <dsp:cNvPr id="0" name=""/>
        <dsp:cNvSpPr/>
      </dsp:nvSpPr>
      <dsp:spPr>
        <a:xfrm rot="5400000">
          <a:off x="2753630" y="-1417385"/>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Imbalance payment for Exchange Member's Units is not able to be withheld</a:t>
          </a:r>
        </a:p>
      </dsp:txBody>
      <dsp:txXfrm rot="5400000">
        <a:off x="2753630" y="-1417385"/>
        <a:ext cx="271205" cy="5194332"/>
      </dsp:txXfrm>
    </dsp:sp>
    <dsp:sp modelId="{22784683-AEA2-4D44-AA77-E162EB2EE8BD}">
      <dsp:nvSpPr>
        <dsp:cNvPr id="0" name=""/>
        <dsp:cNvSpPr/>
      </dsp:nvSpPr>
      <dsp:spPr>
        <a:xfrm rot="5400000">
          <a:off x="-62585" y="1454166"/>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5</a:t>
          </a:r>
        </a:p>
      </dsp:txBody>
      <dsp:txXfrm rot="5400000">
        <a:off x="-62585" y="1454166"/>
        <a:ext cx="417239" cy="292067"/>
      </dsp:txXfrm>
    </dsp:sp>
    <dsp:sp modelId="{0B055ADF-DE61-4D50-A900-69FDB69EAA98}">
      <dsp:nvSpPr>
        <dsp:cNvPr id="0" name=""/>
        <dsp:cNvSpPr/>
      </dsp:nvSpPr>
      <dsp:spPr>
        <a:xfrm rot="5400000">
          <a:off x="2753630" y="-1069983"/>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solidFill>
                <a:srgbClr val="FF0000"/>
              </a:solidFill>
            </a:rPr>
            <a:t> </a:t>
          </a:r>
          <a:r>
            <a:rPr lang="en-IE" sz="900" u="sng" kern="1200">
              <a:solidFill>
                <a:srgbClr val="FF0000"/>
              </a:solidFill>
            </a:rPr>
            <a:t>Balancing Market Collateral for Participant of specified Units is not sufficient</a:t>
          </a:r>
        </a:p>
      </dsp:txBody>
      <dsp:txXfrm rot="5400000">
        <a:off x="2753630" y="-1069983"/>
        <a:ext cx="271205" cy="5194332"/>
      </dsp:txXfrm>
    </dsp:sp>
    <dsp:sp modelId="{B364C829-F72F-478A-BA24-87FE49D55EBF}">
      <dsp:nvSpPr>
        <dsp:cNvPr id="0" name=""/>
        <dsp:cNvSpPr/>
      </dsp:nvSpPr>
      <dsp:spPr>
        <a:xfrm rot="5400000">
          <a:off x="-62585" y="1801568"/>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6</a:t>
          </a:r>
        </a:p>
      </dsp:txBody>
      <dsp:txXfrm rot="5400000">
        <a:off x="-62585" y="1801568"/>
        <a:ext cx="417239" cy="292067"/>
      </dsp:txXfrm>
    </dsp:sp>
    <dsp:sp modelId="{EC874571-3893-411B-93C2-AD1DC0C0D5AE}">
      <dsp:nvSpPr>
        <dsp:cNvPr id="0" name=""/>
        <dsp:cNvSpPr/>
      </dsp:nvSpPr>
      <dsp:spPr>
        <a:xfrm rot="5400000">
          <a:off x="2753630" y="-722580"/>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kern="1200"/>
            <a:t>Exchange Member does not meet full invalid Contracted Quantity costs</a:t>
          </a:r>
        </a:p>
      </dsp:txBody>
      <dsp:txXfrm rot="5400000">
        <a:off x="2753630" y="-722580"/>
        <a:ext cx="271205" cy="5194332"/>
      </dsp:txXfrm>
    </dsp:sp>
    <dsp:sp modelId="{492C0A06-ADF4-4A19-9A05-1868F90ED762}">
      <dsp:nvSpPr>
        <dsp:cNvPr id="0" name=""/>
        <dsp:cNvSpPr/>
      </dsp:nvSpPr>
      <dsp:spPr>
        <a:xfrm rot="5400000">
          <a:off x="-62585" y="2148971"/>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7</a:t>
          </a:r>
        </a:p>
      </dsp:txBody>
      <dsp:txXfrm rot="5400000">
        <a:off x="-62585" y="2148971"/>
        <a:ext cx="417239" cy="292067"/>
      </dsp:txXfrm>
    </dsp:sp>
    <dsp:sp modelId="{F007B8A9-5C9F-4222-97C5-BDC651BD096A}">
      <dsp:nvSpPr>
        <dsp:cNvPr id="0" name=""/>
        <dsp:cNvSpPr/>
      </dsp:nvSpPr>
      <dsp:spPr>
        <a:xfrm rot="5400000">
          <a:off x="2753630" y="-383127"/>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strike="sngStrike" kern="1200" baseline="0">
              <a:solidFill>
                <a:srgbClr val="FF0000"/>
              </a:solidFill>
            </a:rPr>
            <a:t>Default Fund does not meet full invalid Contracted Quantity costs</a:t>
          </a:r>
        </a:p>
      </dsp:txBody>
      <dsp:txXfrm rot="5400000">
        <a:off x="2753630" y="-383127"/>
        <a:ext cx="271205" cy="5194332"/>
      </dsp:txXfrm>
    </dsp:sp>
    <dsp:sp modelId="{A7E01957-CF2F-4125-974B-AA63E9C36ACE}">
      <dsp:nvSpPr>
        <dsp:cNvPr id="0" name=""/>
        <dsp:cNvSpPr/>
      </dsp:nvSpPr>
      <dsp:spPr>
        <a:xfrm rot="5400000">
          <a:off x="-62585" y="2496373"/>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8</a:t>
          </a:r>
        </a:p>
      </dsp:txBody>
      <dsp:txXfrm rot="5400000">
        <a:off x="-62585" y="2496373"/>
        <a:ext cx="417239" cy="292067"/>
      </dsp:txXfrm>
    </dsp:sp>
    <dsp:sp modelId="{B413E8A7-9CFD-47A9-860E-244E86F3944E}">
      <dsp:nvSpPr>
        <dsp:cNvPr id="0" name=""/>
        <dsp:cNvSpPr/>
      </dsp:nvSpPr>
      <dsp:spPr>
        <a:xfrm rot="5400000">
          <a:off x="2753630" y="-27775"/>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u="dbl" kern="1200" baseline="0">
              <a:solidFill>
                <a:schemeClr val="accent3"/>
              </a:solidFill>
              <a:uFill>
                <a:solidFill>
                  <a:schemeClr val="accent3"/>
                </a:solidFill>
              </a:uFill>
            </a:rPr>
            <a:t>Liability provisions from SEM NEMO and their service providers don't cover full cost</a:t>
          </a:r>
        </a:p>
      </dsp:txBody>
      <dsp:txXfrm rot="5400000">
        <a:off x="2753630" y="-27775"/>
        <a:ext cx="271205" cy="5194332"/>
      </dsp:txXfrm>
    </dsp:sp>
    <dsp:sp modelId="{3A99DE0F-823F-4FB8-9BED-FDF8CD3A90AB}">
      <dsp:nvSpPr>
        <dsp:cNvPr id="0" name=""/>
        <dsp:cNvSpPr/>
      </dsp:nvSpPr>
      <dsp:spPr>
        <a:xfrm rot="5400000">
          <a:off x="-62585" y="2843775"/>
          <a:ext cx="417239" cy="29206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a:t>9</a:t>
          </a:r>
        </a:p>
      </dsp:txBody>
      <dsp:txXfrm rot="5400000">
        <a:off x="-62585" y="2843775"/>
        <a:ext cx="417239" cy="292067"/>
      </dsp:txXfrm>
    </dsp:sp>
    <dsp:sp modelId="{19A60DCC-8375-4354-BCD8-46023AA754EA}">
      <dsp:nvSpPr>
        <dsp:cNvPr id="0" name=""/>
        <dsp:cNvSpPr/>
      </dsp:nvSpPr>
      <dsp:spPr>
        <a:xfrm rot="5400000">
          <a:off x="2753630" y="319626"/>
          <a:ext cx="271205" cy="519433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IE" sz="900" u="dbl" kern="1200" baseline="0">
              <a:solidFill>
                <a:schemeClr val="accent3"/>
              </a:solidFill>
              <a:uFill>
                <a:solidFill>
                  <a:schemeClr val="accent3"/>
                </a:solidFill>
              </a:uFill>
            </a:rPr>
            <a:t>All other Exchange Members do not meet full invalid Contracted Quantity costs</a:t>
          </a:r>
        </a:p>
      </dsp:txBody>
      <dsp:txXfrm rot="5400000">
        <a:off x="2753630" y="319626"/>
        <a:ext cx="271205" cy="51943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romMMT xmlns="f69c7b9a-bbed-41f8-b24c-bbeb71979adf">true</FromMMT>
    <MMTID xmlns="f69c7b9a-bbed-41f8-b24c-bbeb71979adf">1772</MMTID>
    <ModID xmlns="bd8dd43f-48f8-46ce-9b8d-78f402b7750b">735</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8DDCE5-5FFB-4FB4-AD08-F614D5B35594}"/>
</file>

<file path=customXml/itemProps2.xml><?xml version="1.0" encoding="utf-8"?>
<ds:datastoreItem xmlns:ds="http://schemas.openxmlformats.org/officeDocument/2006/customXml" ds:itemID="{8C5613FF-37E4-449A-A340-AB2CD97E381E}"/>
</file>

<file path=customXml/itemProps3.xml><?xml version="1.0" encoding="utf-8"?>
<ds:datastoreItem xmlns:ds="http://schemas.openxmlformats.org/officeDocument/2006/customXml" ds:itemID="{B7C7535E-AF39-4D61-9FC8-DF42F6D12193}"/>
</file>

<file path=customXml/itemProps4.xml><?xml version="1.0" encoding="utf-8"?>
<ds:datastoreItem xmlns:ds="http://schemas.openxmlformats.org/officeDocument/2006/customXml" ds:itemID="{3C116440-AFB1-4444-9562-E39B78AD6F4F}"/>
</file>

<file path=docProps/app.xml><?xml version="1.0" encoding="utf-8"?>
<Properties xmlns="http://schemas.openxmlformats.org/officeDocument/2006/extended-properties" xmlns:vt="http://schemas.openxmlformats.org/officeDocument/2006/docPropsVTypes">
  <Template>Normal</Template>
  <TotalTime>0</TotalTime>
  <Pages>10</Pages>
  <Words>4383</Words>
  <Characters>24988</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version 2</dc:title>
  <dc:creator/>
  <cp:lastModifiedBy/>
  <cp:revision>1</cp:revision>
  <dcterms:created xsi:type="dcterms:W3CDTF">2018-01-18T13:49:00Z</dcterms:created>
  <dcterms:modified xsi:type="dcterms:W3CDTF">2018-01-18T13:49:00Z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42504355.2</vt:lpwstr>
  </property>
  <property fmtid="{D5CDD505-2E9C-101B-9397-08002B2CF9AE}" pid="3" name="ContentTypeId">
    <vt:lpwstr>0x010100269864AADB634B43A1DAFE75AB6B7AEA00E694DBD827E2A74DAF8DBA9CA236CE9A</vt:lpwstr>
  </property>
  <property fmtid="{D5CDD505-2E9C-101B-9397-08002B2CF9AE}" pid="4" name="File Category">
    <vt:lpwstr/>
  </property>
  <property fmtid="{D5CDD505-2E9C-101B-9397-08002B2CF9AE}" pid="5" name="iab7cdb7554d4997ae876b11632fa575">
    <vt:lpwstr/>
  </property>
  <property fmtid="{D5CDD505-2E9C-101B-9397-08002B2CF9AE}" pid="6" name="Process Type">
    <vt:lpwstr>Document</vt:lpwstr>
  </property>
  <property fmtid="{D5CDD505-2E9C-101B-9397-08002B2CF9AE}" pid="7" name="Doc Type">
    <vt:lpwstr>Modifications</vt:lpwstr>
  </property>
  <property fmtid="{D5CDD505-2E9C-101B-9397-08002B2CF9AE}" pid="10" name="Copy to Website">
    <vt:lpwstr>true</vt:lpwstr>
  </property>
  <property fmtid="{D5CDD505-2E9C-101B-9397-08002B2CF9AE}" pid="11" name="Mod ID">
    <vt:lpwstr>1073</vt:lpwstr>
  </property>
  <property fmtid="{D5CDD505-2E9C-101B-9397-08002B2CF9AE}" pid="12" name="Year of Modification Proposal">
    <vt:lpwstr>2017</vt:lpwstr>
  </property>
  <property fmtid="{D5CDD505-2E9C-101B-9397-08002B2CF9AE}" pid="13" name="Document Type">
    <vt:lpwstr>Modification Proposal</vt:lpwstr>
  </property>
  <property fmtid="{D5CDD505-2E9C-101B-9397-08002B2CF9AE}" pid="15" name="_CopySource">
    <vt:lpwstr>MOD 17_17  Recovery of Costs due to Invalid Ex-Ante Contracted Quantities in Imbalance Settlement v 2.docx</vt:lpwstr>
  </property>
  <property fmtid="{D5CDD505-2E9C-101B-9397-08002B2CF9AE}" pid="16" name="Order">
    <vt:r8>374800</vt:r8>
  </property>
</Properties>
</file>