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415666" w:rsidP="00564D58">
            <w:pPr>
              <w:pStyle w:val="DocTitle"/>
            </w:pPr>
            <w:r>
              <w:t>Mod 19_18 part b housekeeping</w:t>
            </w:r>
          </w:p>
          <w:p w:rsidR="001D4616" w:rsidRPr="003D3D96" w:rsidRDefault="001D4616" w:rsidP="00564D58">
            <w:pPr>
              <w:pStyle w:val="DocTitle"/>
              <w:jc w:val="left"/>
            </w:pPr>
          </w:p>
          <w:p w:rsidR="00A572DA" w:rsidRPr="003D3D96" w:rsidRDefault="00396C62" w:rsidP="00C552A8">
            <w:pPr>
              <w:pStyle w:val="DocTitle"/>
              <w:tabs>
                <w:tab w:val="center" w:pos="4771"/>
                <w:tab w:val="left" w:pos="6570"/>
              </w:tabs>
              <w:jc w:val="left"/>
            </w:pPr>
            <w:r>
              <w:t xml:space="preserve">                                              </w:t>
            </w:r>
            <w:r w:rsidR="00CF2B05">
              <w:t>24</w:t>
            </w:r>
            <w:r w:rsidR="00015F66">
              <w:t xml:space="preserve"> August </w:t>
            </w:r>
            <w:r w:rsidR="00526878">
              <w:t>2018</w:t>
            </w:r>
            <w:r w:rsidR="00FC5B49"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CF2B05" w:rsidP="00B10A0B">
            <w:pPr>
              <w:spacing w:before="0" w:after="0" w:line="240" w:lineRule="auto"/>
              <w:rPr>
                <w:rStyle w:val="TableText"/>
              </w:rPr>
            </w:pPr>
            <w:r>
              <w:rPr>
                <w:rStyle w:val="TableText"/>
              </w:rPr>
              <w:t xml:space="preserve">24 </w:t>
            </w:r>
            <w:r w:rsidR="00F91266">
              <w:rPr>
                <w:rStyle w:val="TableText"/>
              </w:rPr>
              <w:t xml:space="preserve"> August </w:t>
            </w:r>
            <w:r w:rsidR="006D4DE2">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D17CA6" w:rsidP="008C599B">
            <w:pPr>
              <w:spacing w:before="0" w:after="0" w:line="240" w:lineRule="auto"/>
              <w:rPr>
                <w:rStyle w:val="TableText"/>
              </w:rPr>
            </w:pPr>
            <w:r>
              <w:rPr>
                <w:rStyle w:val="TableText"/>
              </w:rPr>
              <w:t>05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D23453"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D23453" w:rsidP="00A830EF">
            <w:pPr>
              <w:spacing w:before="0" w:after="0" w:line="240" w:lineRule="auto"/>
            </w:pPr>
            <w:hyperlink r:id="rId10" w:history="1">
              <w:r w:rsidR="008354DD" w:rsidRPr="008354DD">
                <w:rPr>
                  <w:rStyle w:val="Hyperlink"/>
                </w:rPr>
                <w:t>Modification Proposal</w:t>
              </w:r>
            </w:hyperlink>
          </w:p>
        </w:tc>
      </w:tr>
      <w:bookmarkStart w:id="4" w:name="_GoBack"/>
      <w:bookmarkEnd w:id="4"/>
      <w:tr w:rsidR="003F4BC4" w:rsidRPr="003D3D96" w:rsidTr="00095CA4">
        <w:trPr>
          <w:trHeight w:val="64"/>
        </w:trPr>
        <w:tc>
          <w:tcPr>
            <w:tcW w:w="5000" w:type="pct"/>
          </w:tcPr>
          <w:p w:rsidR="003F4BC4" w:rsidRPr="003A00C5" w:rsidRDefault="00D23453" w:rsidP="003D3D96">
            <w:pPr>
              <w:spacing w:before="0" w:after="0" w:line="240" w:lineRule="auto"/>
              <w:rPr>
                <w:b/>
              </w:rPr>
            </w:pPr>
            <w:r>
              <w:rPr>
                <w:b/>
              </w:rPr>
              <w:fldChar w:fldCharType="begin"/>
            </w:r>
            <w:r w:rsidR="00415666">
              <w:rPr>
                <w:b/>
              </w:rPr>
              <w:instrText xml:space="preserve"> HYPERLINK "http://www.sem-o.com/MarketDevelopment/ModificationDocuments/Mod_19_18%20Part%20B%20Housekeeping%201.pptx" </w:instrText>
            </w:r>
            <w:r>
              <w:rPr>
                <w:b/>
              </w:rPr>
              <w:fldChar w:fldCharType="separate"/>
            </w:r>
            <w:r w:rsidR="00415666" w:rsidRPr="00415666">
              <w:rPr>
                <w:rStyle w:val="Hyperlink"/>
                <w:b/>
              </w:rPr>
              <w:t>Presentation</w:t>
            </w:r>
            <w:r>
              <w:rPr>
                <w:b/>
              </w:rPr>
              <w:fldChar w:fldCharType="end"/>
            </w:r>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D23453">
        <w:fldChar w:fldCharType="begin"/>
      </w:r>
      <w:r w:rsidR="0008245D" w:rsidRPr="003D3D96">
        <w:instrText xml:space="preserve"> TOC \o "1-3" \h \z \u </w:instrText>
      </w:r>
      <w:r w:rsidRPr="00D23453">
        <w:fldChar w:fldCharType="separate"/>
      </w:r>
      <w:hyperlink w:anchor="_Toc522894710" w:history="1">
        <w:r w:rsidR="002B6BDF" w:rsidRPr="00404264">
          <w:rPr>
            <w:rStyle w:val="Hyperlink"/>
            <w:noProof/>
            <w:lang w:eastAsia="en-GB"/>
          </w:rPr>
          <w:t>1.</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MODIFICATIONS COMMITTEE RECOMMENDATION</w:t>
        </w:r>
        <w:r w:rsidR="002B6BDF">
          <w:rPr>
            <w:noProof/>
            <w:webHidden/>
          </w:rPr>
          <w:tab/>
        </w:r>
        <w:r>
          <w:rPr>
            <w:noProof/>
            <w:webHidden/>
          </w:rPr>
          <w:fldChar w:fldCharType="begin"/>
        </w:r>
        <w:r w:rsidR="002B6BDF">
          <w:rPr>
            <w:noProof/>
            <w:webHidden/>
          </w:rPr>
          <w:instrText xml:space="preserve"> PAGEREF _Toc522894710 \h </w:instrText>
        </w:r>
        <w:r>
          <w:rPr>
            <w:noProof/>
            <w:webHidden/>
          </w:rPr>
        </w:r>
        <w:r>
          <w:rPr>
            <w:noProof/>
            <w:webHidden/>
          </w:rPr>
          <w:fldChar w:fldCharType="separate"/>
        </w:r>
        <w:r w:rsidR="002B6BDF">
          <w:rPr>
            <w:noProof/>
            <w:webHidden/>
          </w:rPr>
          <w:t>3</w:t>
        </w:r>
        <w:r>
          <w:rPr>
            <w:noProof/>
            <w:webHidden/>
          </w:rPr>
          <w:fldChar w:fldCharType="end"/>
        </w:r>
      </w:hyperlink>
    </w:p>
    <w:p w:rsidR="002B6BDF" w:rsidRDefault="00D234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894711" w:history="1">
        <w:r w:rsidR="002B6BDF" w:rsidRPr="00404264">
          <w:rPr>
            <w:rStyle w:val="Hyperlink"/>
            <w:b/>
            <w:bCs/>
            <w:noProof/>
            <w:spacing w:val="5"/>
          </w:rPr>
          <w:t>Recommended for approval– Unanimous Vote</w:t>
        </w:r>
        <w:r w:rsidR="002B6BDF">
          <w:rPr>
            <w:noProof/>
            <w:webHidden/>
          </w:rPr>
          <w:tab/>
        </w:r>
        <w:r>
          <w:rPr>
            <w:noProof/>
            <w:webHidden/>
          </w:rPr>
          <w:fldChar w:fldCharType="begin"/>
        </w:r>
        <w:r w:rsidR="002B6BDF">
          <w:rPr>
            <w:noProof/>
            <w:webHidden/>
          </w:rPr>
          <w:instrText xml:space="preserve"> PAGEREF _Toc522894711 \h </w:instrText>
        </w:r>
        <w:r>
          <w:rPr>
            <w:noProof/>
            <w:webHidden/>
          </w:rPr>
        </w:r>
        <w:r>
          <w:rPr>
            <w:noProof/>
            <w:webHidden/>
          </w:rPr>
          <w:fldChar w:fldCharType="separate"/>
        </w:r>
        <w:r w:rsidR="002B6BDF">
          <w:rPr>
            <w:noProof/>
            <w:webHidden/>
          </w:rPr>
          <w:t>3</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12" w:history="1">
        <w:r w:rsidR="002B6BDF" w:rsidRPr="00404264">
          <w:rPr>
            <w:rStyle w:val="Hyperlink"/>
            <w:noProof/>
            <w:lang w:eastAsia="en-GB"/>
          </w:rPr>
          <w:t>2.</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Background</w:t>
        </w:r>
        <w:r w:rsidR="002B6BDF">
          <w:rPr>
            <w:noProof/>
            <w:webHidden/>
          </w:rPr>
          <w:tab/>
        </w:r>
        <w:r>
          <w:rPr>
            <w:noProof/>
            <w:webHidden/>
          </w:rPr>
          <w:fldChar w:fldCharType="begin"/>
        </w:r>
        <w:r w:rsidR="002B6BDF">
          <w:rPr>
            <w:noProof/>
            <w:webHidden/>
          </w:rPr>
          <w:instrText xml:space="preserve"> PAGEREF _Toc522894712 \h </w:instrText>
        </w:r>
        <w:r>
          <w:rPr>
            <w:noProof/>
            <w:webHidden/>
          </w:rPr>
        </w:r>
        <w:r>
          <w:rPr>
            <w:noProof/>
            <w:webHidden/>
          </w:rPr>
          <w:fldChar w:fldCharType="separate"/>
        </w:r>
        <w:r w:rsidR="002B6BDF">
          <w:rPr>
            <w:noProof/>
            <w:webHidden/>
          </w:rPr>
          <w:t>3</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13" w:history="1">
        <w:r w:rsidR="002B6BDF" w:rsidRPr="00404264">
          <w:rPr>
            <w:rStyle w:val="Hyperlink"/>
            <w:noProof/>
            <w:lang w:eastAsia="en-GB"/>
          </w:rPr>
          <w:t>3.</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PURPOSE OF PROPOSED MODIFICATION</w:t>
        </w:r>
        <w:r w:rsidR="002B6BDF">
          <w:rPr>
            <w:noProof/>
            <w:webHidden/>
          </w:rPr>
          <w:tab/>
        </w:r>
        <w:r>
          <w:rPr>
            <w:noProof/>
            <w:webHidden/>
          </w:rPr>
          <w:fldChar w:fldCharType="begin"/>
        </w:r>
        <w:r w:rsidR="002B6BDF">
          <w:rPr>
            <w:noProof/>
            <w:webHidden/>
          </w:rPr>
          <w:instrText xml:space="preserve"> PAGEREF _Toc522894713 \h </w:instrText>
        </w:r>
        <w:r>
          <w:rPr>
            <w:noProof/>
            <w:webHidden/>
          </w:rPr>
        </w:r>
        <w:r>
          <w:rPr>
            <w:noProof/>
            <w:webHidden/>
          </w:rPr>
          <w:fldChar w:fldCharType="separate"/>
        </w:r>
        <w:r w:rsidR="002B6BDF">
          <w:rPr>
            <w:noProof/>
            <w:webHidden/>
          </w:rPr>
          <w:t>7</w:t>
        </w:r>
        <w:r>
          <w:rPr>
            <w:noProof/>
            <w:webHidden/>
          </w:rPr>
          <w:fldChar w:fldCharType="end"/>
        </w:r>
      </w:hyperlink>
    </w:p>
    <w:p w:rsidR="002B6BDF" w:rsidRDefault="00D234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894714" w:history="1">
        <w:r w:rsidR="002B6BDF" w:rsidRPr="00404264">
          <w:rPr>
            <w:rStyle w:val="Hyperlink"/>
            <w:b/>
            <w:bCs/>
            <w:caps/>
            <w:noProof/>
            <w:spacing w:val="5"/>
            <w:lang w:eastAsia="en-GB"/>
          </w:rPr>
          <w:t>3A.) justification of Modification</w:t>
        </w:r>
        <w:r w:rsidR="002B6BDF">
          <w:rPr>
            <w:noProof/>
            <w:webHidden/>
          </w:rPr>
          <w:tab/>
        </w:r>
        <w:r>
          <w:rPr>
            <w:noProof/>
            <w:webHidden/>
          </w:rPr>
          <w:fldChar w:fldCharType="begin"/>
        </w:r>
        <w:r w:rsidR="002B6BDF">
          <w:rPr>
            <w:noProof/>
            <w:webHidden/>
          </w:rPr>
          <w:instrText xml:space="preserve"> PAGEREF _Toc522894714 \h </w:instrText>
        </w:r>
        <w:r>
          <w:rPr>
            <w:noProof/>
            <w:webHidden/>
          </w:rPr>
        </w:r>
        <w:r>
          <w:rPr>
            <w:noProof/>
            <w:webHidden/>
          </w:rPr>
          <w:fldChar w:fldCharType="separate"/>
        </w:r>
        <w:r w:rsidR="002B6BDF">
          <w:rPr>
            <w:noProof/>
            <w:webHidden/>
          </w:rPr>
          <w:t>7</w:t>
        </w:r>
        <w:r>
          <w:rPr>
            <w:noProof/>
            <w:webHidden/>
          </w:rPr>
          <w:fldChar w:fldCharType="end"/>
        </w:r>
      </w:hyperlink>
    </w:p>
    <w:p w:rsidR="002B6BDF" w:rsidRDefault="00D234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894715" w:history="1">
        <w:r w:rsidR="002B6BDF" w:rsidRPr="00404264">
          <w:rPr>
            <w:rStyle w:val="Hyperlink"/>
            <w:b/>
            <w:bCs/>
            <w:caps/>
            <w:noProof/>
            <w:spacing w:val="5"/>
            <w:lang w:eastAsia="en-GB"/>
          </w:rPr>
          <w:t>3B.) Impact of not Implementing a Solution</w:t>
        </w:r>
        <w:r w:rsidR="002B6BDF">
          <w:rPr>
            <w:noProof/>
            <w:webHidden/>
          </w:rPr>
          <w:tab/>
        </w:r>
        <w:r>
          <w:rPr>
            <w:noProof/>
            <w:webHidden/>
          </w:rPr>
          <w:fldChar w:fldCharType="begin"/>
        </w:r>
        <w:r w:rsidR="002B6BDF">
          <w:rPr>
            <w:noProof/>
            <w:webHidden/>
          </w:rPr>
          <w:instrText xml:space="preserve"> PAGEREF _Toc522894715 \h </w:instrText>
        </w:r>
        <w:r>
          <w:rPr>
            <w:noProof/>
            <w:webHidden/>
          </w:rPr>
        </w:r>
        <w:r>
          <w:rPr>
            <w:noProof/>
            <w:webHidden/>
          </w:rPr>
          <w:fldChar w:fldCharType="separate"/>
        </w:r>
        <w:r w:rsidR="002B6BDF">
          <w:rPr>
            <w:noProof/>
            <w:webHidden/>
          </w:rPr>
          <w:t>7</w:t>
        </w:r>
        <w:r>
          <w:rPr>
            <w:noProof/>
            <w:webHidden/>
          </w:rPr>
          <w:fldChar w:fldCharType="end"/>
        </w:r>
      </w:hyperlink>
    </w:p>
    <w:p w:rsidR="002B6BDF" w:rsidRDefault="00D234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894716" w:history="1">
        <w:r w:rsidR="002B6BDF" w:rsidRPr="00404264">
          <w:rPr>
            <w:rStyle w:val="Hyperlink"/>
            <w:b/>
            <w:bCs/>
            <w:caps/>
            <w:noProof/>
            <w:spacing w:val="5"/>
            <w:lang w:eastAsia="en-GB"/>
          </w:rPr>
          <w:t>3c.) Impact on Code Objectives</w:t>
        </w:r>
        <w:r w:rsidR="002B6BDF">
          <w:rPr>
            <w:noProof/>
            <w:webHidden/>
          </w:rPr>
          <w:tab/>
        </w:r>
        <w:r>
          <w:rPr>
            <w:noProof/>
            <w:webHidden/>
          </w:rPr>
          <w:fldChar w:fldCharType="begin"/>
        </w:r>
        <w:r w:rsidR="002B6BDF">
          <w:rPr>
            <w:noProof/>
            <w:webHidden/>
          </w:rPr>
          <w:instrText xml:space="preserve"> PAGEREF _Toc522894716 \h </w:instrText>
        </w:r>
        <w:r>
          <w:rPr>
            <w:noProof/>
            <w:webHidden/>
          </w:rPr>
        </w:r>
        <w:r>
          <w:rPr>
            <w:noProof/>
            <w:webHidden/>
          </w:rPr>
          <w:fldChar w:fldCharType="separate"/>
        </w:r>
        <w:r w:rsidR="002B6BDF">
          <w:rPr>
            <w:noProof/>
            <w:webHidden/>
          </w:rPr>
          <w:t>7</w:t>
        </w:r>
        <w:r>
          <w:rPr>
            <w:noProof/>
            <w:webHidden/>
          </w:rPr>
          <w:fldChar w:fldCharType="end"/>
        </w:r>
      </w:hyperlink>
    </w:p>
    <w:p w:rsidR="002B6BDF" w:rsidRDefault="00D2345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17" w:history="1">
        <w:r w:rsidR="002B6BDF" w:rsidRPr="00404264">
          <w:rPr>
            <w:rStyle w:val="Hyperlink"/>
            <w:noProof/>
            <w:spacing w:val="15"/>
            <w:lang w:eastAsia="en-GB"/>
          </w:rPr>
          <w:t>5.</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spacing w:val="15"/>
            <w:lang w:eastAsia="en-GB"/>
          </w:rPr>
          <w:t>Assessment of Alternatives</w:t>
        </w:r>
        <w:r w:rsidR="002B6BDF">
          <w:rPr>
            <w:noProof/>
            <w:webHidden/>
          </w:rPr>
          <w:tab/>
        </w:r>
        <w:r>
          <w:rPr>
            <w:noProof/>
            <w:webHidden/>
          </w:rPr>
          <w:fldChar w:fldCharType="begin"/>
        </w:r>
        <w:r w:rsidR="002B6BDF">
          <w:rPr>
            <w:noProof/>
            <w:webHidden/>
          </w:rPr>
          <w:instrText xml:space="preserve"> PAGEREF _Toc522894717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18" w:history="1">
        <w:r w:rsidR="002B6BDF" w:rsidRPr="00404264">
          <w:rPr>
            <w:rStyle w:val="Hyperlink"/>
            <w:noProof/>
            <w:lang w:eastAsia="en-GB"/>
          </w:rPr>
          <w:t>6.</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Working Group and/or Consultation</w:t>
        </w:r>
        <w:r w:rsidR="002B6BDF">
          <w:rPr>
            <w:noProof/>
            <w:webHidden/>
          </w:rPr>
          <w:tab/>
        </w:r>
        <w:r>
          <w:rPr>
            <w:noProof/>
            <w:webHidden/>
          </w:rPr>
          <w:fldChar w:fldCharType="begin"/>
        </w:r>
        <w:r w:rsidR="002B6BDF">
          <w:rPr>
            <w:noProof/>
            <w:webHidden/>
          </w:rPr>
          <w:instrText xml:space="preserve"> PAGEREF _Toc522894718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19" w:history="1">
        <w:r w:rsidR="002B6BDF" w:rsidRPr="00404264">
          <w:rPr>
            <w:rStyle w:val="Hyperlink"/>
            <w:noProof/>
            <w:lang w:eastAsia="en-GB"/>
          </w:rPr>
          <w:t>7.</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impact on systems and resources</w:t>
        </w:r>
        <w:r w:rsidR="002B6BDF">
          <w:rPr>
            <w:noProof/>
            <w:webHidden/>
          </w:rPr>
          <w:tab/>
        </w:r>
        <w:r>
          <w:rPr>
            <w:noProof/>
            <w:webHidden/>
          </w:rPr>
          <w:fldChar w:fldCharType="begin"/>
        </w:r>
        <w:r w:rsidR="002B6BDF">
          <w:rPr>
            <w:noProof/>
            <w:webHidden/>
          </w:rPr>
          <w:instrText xml:space="preserve"> PAGEREF _Toc522894719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20" w:history="1">
        <w:r w:rsidR="002B6BDF" w:rsidRPr="00404264">
          <w:rPr>
            <w:rStyle w:val="Hyperlink"/>
            <w:noProof/>
            <w:lang w:eastAsia="en-GB"/>
          </w:rPr>
          <w:t>8.</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Impact on other Codes/Documents</w:t>
        </w:r>
        <w:r w:rsidR="002B6BDF">
          <w:rPr>
            <w:noProof/>
            <w:webHidden/>
          </w:rPr>
          <w:tab/>
        </w:r>
        <w:r>
          <w:rPr>
            <w:noProof/>
            <w:webHidden/>
          </w:rPr>
          <w:fldChar w:fldCharType="begin"/>
        </w:r>
        <w:r w:rsidR="002B6BDF">
          <w:rPr>
            <w:noProof/>
            <w:webHidden/>
          </w:rPr>
          <w:instrText xml:space="preserve"> PAGEREF _Toc522894720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21" w:history="1">
        <w:r w:rsidR="002B6BDF" w:rsidRPr="00404264">
          <w:rPr>
            <w:rStyle w:val="Hyperlink"/>
            <w:noProof/>
            <w:lang w:eastAsia="en-GB"/>
          </w:rPr>
          <w:t>9.</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MODIFICATION COMMITTEE VIEWS</w:t>
        </w:r>
        <w:r w:rsidR="002B6BDF">
          <w:rPr>
            <w:noProof/>
            <w:webHidden/>
          </w:rPr>
          <w:tab/>
        </w:r>
        <w:r>
          <w:rPr>
            <w:noProof/>
            <w:webHidden/>
          </w:rPr>
          <w:fldChar w:fldCharType="begin"/>
        </w:r>
        <w:r w:rsidR="002B6BDF">
          <w:rPr>
            <w:noProof/>
            <w:webHidden/>
          </w:rPr>
          <w:instrText xml:space="preserve"> PAGEREF _Toc522894721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894722" w:history="1">
        <w:r w:rsidR="002B6BDF" w:rsidRPr="00404264">
          <w:rPr>
            <w:rStyle w:val="Hyperlink"/>
            <w:b/>
            <w:bCs/>
            <w:noProof/>
            <w:spacing w:val="5"/>
          </w:rPr>
          <w:t>Meeting  84 – 21 June 2018</w:t>
        </w:r>
        <w:r w:rsidR="002B6BDF">
          <w:rPr>
            <w:noProof/>
            <w:webHidden/>
          </w:rPr>
          <w:tab/>
        </w:r>
        <w:r>
          <w:rPr>
            <w:noProof/>
            <w:webHidden/>
          </w:rPr>
          <w:fldChar w:fldCharType="begin"/>
        </w:r>
        <w:r w:rsidR="002B6BDF">
          <w:rPr>
            <w:noProof/>
            <w:webHidden/>
          </w:rPr>
          <w:instrText xml:space="preserve"> PAGEREF _Toc522894722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23" w:history="1">
        <w:r w:rsidR="002B6BDF" w:rsidRPr="00404264">
          <w:rPr>
            <w:rStyle w:val="Hyperlink"/>
            <w:noProof/>
            <w:lang w:eastAsia="en-GB"/>
          </w:rPr>
          <w:t>10.</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Proposed Legal Drafting</w:t>
        </w:r>
        <w:r w:rsidR="002B6BDF">
          <w:rPr>
            <w:noProof/>
            <w:webHidden/>
          </w:rPr>
          <w:tab/>
        </w:r>
        <w:r>
          <w:rPr>
            <w:noProof/>
            <w:webHidden/>
          </w:rPr>
          <w:fldChar w:fldCharType="begin"/>
        </w:r>
        <w:r w:rsidR="002B6BDF">
          <w:rPr>
            <w:noProof/>
            <w:webHidden/>
          </w:rPr>
          <w:instrText xml:space="preserve"> PAGEREF _Toc522894723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24" w:history="1">
        <w:r w:rsidR="002B6BDF" w:rsidRPr="00404264">
          <w:rPr>
            <w:rStyle w:val="Hyperlink"/>
            <w:smallCaps/>
            <w:noProof/>
            <w:lang w:eastAsia="en-GB"/>
          </w:rPr>
          <w:t>11.</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smallCaps/>
            <w:noProof/>
            <w:lang w:eastAsia="en-GB"/>
          </w:rPr>
          <w:t>LEGAL REVIEW</w:t>
        </w:r>
        <w:r w:rsidR="002B6BDF">
          <w:rPr>
            <w:noProof/>
            <w:webHidden/>
          </w:rPr>
          <w:tab/>
        </w:r>
        <w:r>
          <w:rPr>
            <w:noProof/>
            <w:webHidden/>
          </w:rPr>
          <w:fldChar w:fldCharType="begin"/>
        </w:r>
        <w:r w:rsidR="002B6BDF">
          <w:rPr>
            <w:noProof/>
            <w:webHidden/>
          </w:rPr>
          <w:instrText xml:space="preserve"> PAGEREF _Toc522894724 \h </w:instrText>
        </w:r>
        <w:r>
          <w:rPr>
            <w:noProof/>
            <w:webHidden/>
          </w:rPr>
        </w:r>
        <w:r>
          <w:rPr>
            <w:noProof/>
            <w:webHidden/>
          </w:rPr>
          <w:fldChar w:fldCharType="separate"/>
        </w:r>
        <w:r w:rsidR="002B6BDF">
          <w:rPr>
            <w:noProof/>
            <w:webHidden/>
          </w:rPr>
          <w:t>8</w:t>
        </w:r>
        <w:r>
          <w:rPr>
            <w:noProof/>
            <w:webHidden/>
          </w:rPr>
          <w:fldChar w:fldCharType="end"/>
        </w:r>
      </w:hyperlink>
    </w:p>
    <w:p w:rsidR="002B6BDF" w:rsidRDefault="00D23453">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25" w:history="1">
        <w:r w:rsidR="002B6BDF" w:rsidRPr="00404264">
          <w:rPr>
            <w:rStyle w:val="Hyperlink"/>
            <w:noProof/>
            <w:lang w:eastAsia="en-GB"/>
          </w:rPr>
          <w:t>12.</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IMPLEMENTATION TIMESCALE</w:t>
        </w:r>
        <w:r w:rsidR="002B6BDF">
          <w:rPr>
            <w:noProof/>
            <w:webHidden/>
          </w:rPr>
          <w:tab/>
        </w:r>
        <w:r>
          <w:rPr>
            <w:noProof/>
            <w:webHidden/>
          </w:rPr>
          <w:fldChar w:fldCharType="begin"/>
        </w:r>
        <w:r w:rsidR="002B6BDF">
          <w:rPr>
            <w:noProof/>
            <w:webHidden/>
          </w:rPr>
          <w:instrText xml:space="preserve"> PAGEREF _Toc522894725 \h </w:instrText>
        </w:r>
        <w:r>
          <w:rPr>
            <w:noProof/>
            <w:webHidden/>
          </w:rPr>
        </w:r>
        <w:r>
          <w:rPr>
            <w:noProof/>
            <w:webHidden/>
          </w:rPr>
          <w:fldChar w:fldCharType="separate"/>
        </w:r>
        <w:r w:rsidR="002B6BDF">
          <w:rPr>
            <w:noProof/>
            <w:webHidden/>
          </w:rPr>
          <w:t>9</w:t>
        </w:r>
        <w:r>
          <w:rPr>
            <w:noProof/>
            <w:webHidden/>
          </w:rPr>
          <w:fldChar w:fldCharType="end"/>
        </w:r>
      </w:hyperlink>
    </w:p>
    <w:p w:rsidR="002B6BDF" w:rsidRDefault="00D23453">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894726" w:history="1">
        <w:r w:rsidR="002B6BDF" w:rsidRPr="00404264">
          <w:rPr>
            <w:rStyle w:val="Hyperlink"/>
            <w:noProof/>
            <w:lang w:eastAsia="en-GB"/>
          </w:rPr>
          <w:t>1</w:t>
        </w:r>
        <w:r w:rsidR="002B6BDF">
          <w:rPr>
            <w:rFonts w:asciiTheme="minorHAnsi" w:eastAsiaTheme="minorEastAsia" w:hAnsiTheme="minorHAnsi" w:cstheme="minorBidi"/>
            <w:b w:val="0"/>
            <w:bCs w:val="0"/>
            <w:caps w:val="0"/>
            <w:noProof/>
            <w:sz w:val="22"/>
            <w:szCs w:val="22"/>
            <w:lang w:val="en-IE" w:eastAsia="en-IE" w:bidi="ar-SA"/>
          </w:rPr>
          <w:tab/>
        </w:r>
        <w:r w:rsidR="002B6BDF" w:rsidRPr="00404264">
          <w:rPr>
            <w:rStyle w:val="Hyperlink"/>
            <w:noProof/>
            <w:lang w:eastAsia="en-GB"/>
          </w:rPr>
          <w:t>Appendix 1: Mod_19_18 Part B Housekeeping</w:t>
        </w:r>
        <w:r w:rsidR="002B6BDF">
          <w:rPr>
            <w:noProof/>
            <w:webHidden/>
          </w:rPr>
          <w:tab/>
        </w:r>
        <w:r>
          <w:rPr>
            <w:noProof/>
            <w:webHidden/>
          </w:rPr>
          <w:fldChar w:fldCharType="begin"/>
        </w:r>
        <w:r w:rsidR="002B6BDF">
          <w:rPr>
            <w:noProof/>
            <w:webHidden/>
          </w:rPr>
          <w:instrText xml:space="preserve"> PAGEREF _Toc522894726 \h </w:instrText>
        </w:r>
        <w:r>
          <w:rPr>
            <w:noProof/>
            <w:webHidden/>
          </w:rPr>
        </w:r>
        <w:r>
          <w:rPr>
            <w:noProof/>
            <w:webHidden/>
          </w:rPr>
          <w:fldChar w:fldCharType="separate"/>
        </w:r>
        <w:r w:rsidR="002B6BDF">
          <w:rPr>
            <w:noProof/>
            <w:webHidden/>
          </w:rPr>
          <w:t>10</w:t>
        </w:r>
        <w:r>
          <w:rPr>
            <w:noProof/>
            <w:webHidden/>
          </w:rPr>
          <w:fldChar w:fldCharType="end"/>
        </w:r>
      </w:hyperlink>
    </w:p>
    <w:p w:rsidR="00B74531" w:rsidRPr="003D3D96" w:rsidRDefault="00D23453"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2894710"/>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289471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B512C">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8B512C">
              <w:rPr>
                <w:b/>
                <w:color w:val="FFFFFF"/>
              </w:rPr>
              <w:t>Approval by Unanimous</w:t>
            </w:r>
            <w:r>
              <w:rPr>
                <w:b/>
                <w:color w:val="FFFFFF"/>
              </w:rPr>
              <w:t xml:space="preserve"> </w:t>
            </w:r>
            <w:r w:rsidRPr="00AC22FA">
              <w:rPr>
                <w:b/>
                <w:color w:val="FFFFFF"/>
              </w:rPr>
              <w:t xml:space="preserve">Vote </w:t>
            </w:r>
          </w:p>
        </w:tc>
      </w:tr>
      <w:tr w:rsidR="008A753C" w:rsidRPr="00164B6B" w:rsidTr="00B50824">
        <w:trPr>
          <w:jc w:val="center"/>
        </w:trPr>
        <w:tc>
          <w:tcPr>
            <w:tcW w:w="15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Cormac Daly</w:t>
            </w:r>
          </w:p>
        </w:tc>
        <w:tc>
          <w:tcPr>
            <w:tcW w:w="17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Generator</w:t>
            </w:r>
            <w:r w:rsidR="008A753C">
              <w:rPr>
                <w:rFonts w:cs="Arial"/>
                <w:sz w:val="16"/>
                <w:szCs w:val="16"/>
              </w:rPr>
              <w:t xml:space="preserve"> Member</w:t>
            </w:r>
          </w:p>
        </w:tc>
        <w:tc>
          <w:tcPr>
            <w:tcW w:w="1776" w:type="pct"/>
            <w:shd w:val="clear" w:color="auto" w:fill="auto"/>
          </w:tcPr>
          <w:p w:rsidR="008A753C" w:rsidRPr="00164B6B" w:rsidRDefault="008A753C" w:rsidP="00B50824">
            <w:pPr>
              <w:spacing w:before="40" w:after="40"/>
              <w:rPr>
                <w:sz w:val="16"/>
                <w:szCs w:val="16"/>
              </w:rPr>
            </w:pPr>
            <w:r>
              <w:rPr>
                <w:sz w:val="16"/>
                <w:szCs w:val="16"/>
              </w:rPr>
              <w:t>Approved</w:t>
            </w:r>
          </w:p>
        </w:tc>
      </w:tr>
      <w:tr w:rsidR="008A753C" w:rsidTr="00B50824">
        <w:trPr>
          <w:jc w:val="center"/>
        </w:trPr>
        <w:tc>
          <w:tcPr>
            <w:tcW w:w="15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Brian Mongan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 xml:space="preserve">Generator Member </w:t>
            </w:r>
          </w:p>
        </w:tc>
        <w:tc>
          <w:tcPr>
            <w:tcW w:w="1776" w:type="pct"/>
            <w:shd w:val="clear" w:color="auto" w:fill="auto"/>
          </w:tcPr>
          <w:p w:rsidR="008A753C" w:rsidRDefault="00415666" w:rsidP="00B50824">
            <w:r>
              <w:rPr>
                <w:sz w:val="16"/>
                <w:szCs w:val="16"/>
              </w:rPr>
              <w:t>Approved</w:t>
            </w:r>
          </w:p>
        </w:tc>
      </w:tr>
      <w:tr w:rsidR="008A753C" w:rsidTr="00B50824">
        <w:trPr>
          <w:trHeight w:val="437"/>
          <w:jc w:val="center"/>
        </w:trPr>
        <w:tc>
          <w:tcPr>
            <w:tcW w:w="1512" w:type="pct"/>
            <w:shd w:val="clear" w:color="auto" w:fill="auto"/>
          </w:tcPr>
          <w:p w:rsidR="008A753C" w:rsidRPr="00CE31E6" w:rsidRDefault="00415666" w:rsidP="00B50824">
            <w:pPr>
              <w:spacing w:before="40" w:after="40"/>
              <w:rPr>
                <w:rFonts w:cs="Arial"/>
                <w:sz w:val="16"/>
                <w:szCs w:val="16"/>
              </w:rPr>
            </w:pPr>
            <w:r>
              <w:rPr>
                <w:rFonts w:cs="Arial"/>
                <w:sz w:val="16"/>
                <w:szCs w:val="16"/>
              </w:rPr>
              <w:t>William Steele</w:t>
            </w:r>
          </w:p>
        </w:tc>
        <w:tc>
          <w:tcPr>
            <w:tcW w:w="1712" w:type="pct"/>
            <w:shd w:val="clear" w:color="auto" w:fill="auto"/>
            <w:vAlign w:val="bottom"/>
          </w:tcPr>
          <w:p w:rsidR="008A753C" w:rsidRPr="00030699" w:rsidRDefault="00415666" w:rsidP="00B50824">
            <w:pPr>
              <w:spacing w:before="40" w:after="40"/>
              <w:rPr>
                <w:sz w:val="16"/>
                <w:szCs w:val="16"/>
              </w:rPr>
            </w:pPr>
            <w:r>
              <w:rPr>
                <w:sz w:val="16"/>
                <w:szCs w:val="16"/>
              </w:rPr>
              <w:t>Supplier</w:t>
            </w:r>
            <w:r w:rsidR="008A753C">
              <w:rPr>
                <w:sz w:val="16"/>
                <w:szCs w:val="16"/>
              </w:rPr>
              <w:t xml:space="preserve">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Jim Wynne</w:t>
            </w:r>
          </w:p>
        </w:tc>
        <w:tc>
          <w:tcPr>
            <w:tcW w:w="1712" w:type="pct"/>
            <w:shd w:val="clear" w:color="auto" w:fill="auto"/>
            <w:vAlign w:val="bottom"/>
          </w:tcPr>
          <w:p w:rsidR="008A753C" w:rsidRPr="00CE31E6" w:rsidRDefault="00415666" w:rsidP="00B50824">
            <w:pPr>
              <w:spacing w:before="40" w:after="40"/>
              <w:rPr>
                <w:rFonts w:cs="Arial"/>
                <w:sz w:val="16"/>
                <w:szCs w:val="16"/>
              </w:rPr>
            </w:pPr>
            <w:r>
              <w:rPr>
                <w:sz w:val="16"/>
                <w:szCs w:val="16"/>
              </w:rPr>
              <w:t>Supplier Member</w:t>
            </w:r>
          </w:p>
        </w:tc>
        <w:tc>
          <w:tcPr>
            <w:tcW w:w="1776" w:type="pct"/>
            <w:shd w:val="clear" w:color="auto" w:fill="auto"/>
          </w:tcPr>
          <w:p w:rsidR="008A753C" w:rsidRDefault="008A753C" w:rsidP="00B50824">
            <w:r w:rsidRPr="002473E0">
              <w:rPr>
                <w:sz w:val="16"/>
                <w:szCs w:val="16"/>
              </w:rPr>
              <w:t>Approved</w:t>
            </w:r>
          </w:p>
        </w:tc>
      </w:tr>
      <w:tr w:rsidR="00415666" w:rsidTr="00B50824">
        <w:trPr>
          <w:jc w:val="center"/>
        </w:trPr>
        <w:tc>
          <w:tcPr>
            <w:tcW w:w="1512" w:type="pct"/>
            <w:shd w:val="clear" w:color="auto" w:fill="auto"/>
            <w:vAlign w:val="bottom"/>
          </w:tcPr>
          <w:p w:rsidR="00415666" w:rsidRPr="00CE31E6" w:rsidRDefault="00415666" w:rsidP="00F91266">
            <w:pPr>
              <w:spacing w:before="40" w:after="40"/>
              <w:rPr>
                <w:rFonts w:cs="Arial"/>
                <w:sz w:val="16"/>
                <w:szCs w:val="16"/>
              </w:rPr>
            </w:pPr>
            <w:r>
              <w:rPr>
                <w:rFonts w:cs="Arial"/>
                <w:sz w:val="16"/>
                <w:szCs w:val="16"/>
              </w:rPr>
              <w:t>Julie-Anne Hannon</w:t>
            </w:r>
          </w:p>
        </w:tc>
        <w:tc>
          <w:tcPr>
            <w:tcW w:w="1712" w:type="pct"/>
            <w:shd w:val="clear" w:color="auto" w:fill="auto"/>
            <w:vAlign w:val="bottom"/>
          </w:tcPr>
          <w:p w:rsidR="00415666" w:rsidRPr="00CE31E6" w:rsidRDefault="00415666" w:rsidP="00F91266">
            <w:pPr>
              <w:spacing w:before="40" w:after="40"/>
              <w:rPr>
                <w:rFonts w:cs="Arial"/>
                <w:sz w:val="16"/>
                <w:szCs w:val="16"/>
              </w:rPr>
            </w:pPr>
            <w:r>
              <w:rPr>
                <w:rFonts w:cs="Arial"/>
                <w:sz w:val="16"/>
                <w:szCs w:val="16"/>
              </w:rPr>
              <w:t>Supplier Member (Chair)</w:t>
            </w:r>
          </w:p>
        </w:tc>
        <w:tc>
          <w:tcPr>
            <w:tcW w:w="1776" w:type="pct"/>
            <w:shd w:val="clear" w:color="auto" w:fill="auto"/>
          </w:tcPr>
          <w:p w:rsidR="00415666" w:rsidRDefault="00415666" w:rsidP="00F91266">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Colm O’Gormain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Supplie</w:t>
            </w:r>
            <w:r w:rsidR="00415666">
              <w:rPr>
                <w:rFonts w:cs="Arial"/>
                <w:sz w:val="16"/>
                <w:szCs w:val="16"/>
              </w:rPr>
              <w:t>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Default="00415666" w:rsidP="00B50824">
            <w:pPr>
              <w:spacing w:before="40" w:after="40"/>
              <w:rPr>
                <w:rFonts w:cs="Arial"/>
                <w:sz w:val="16"/>
                <w:szCs w:val="16"/>
              </w:rPr>
            </w:pPr>
            <w:r>
              <w:rPr>
                <w:rFonts w:cs="Arial"/>
                <w:sz w:val="16"/>
                <w:szCs w:val="16"/>
              </w:rPr>
              <w:t>Paraic Higgins</w:t>
            </w:r>
          </w:p>
        </w:tc>
        <w:tc>
          <w:tcPr>
            <w:tcW w:w="17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Generator Alternate</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Robert McCarthy</w:t>
            </w:r>
          </w:p>
        </w:tc>
        <w:tc>
          <w:tcPr>
            <w:tcW w:w="1712" w:type="pct"/>
            <w:shd w:val="clear" w:color="auto" w:fill="auto"/>
            <w:vAlign w:val="bottom"/>
          </w:tcPr>
          <w:p w:rsidR="008A753C" w:rsidRPr="00CE31E6" w:rsidRDefault="00415666" w:rsidP="00B50824">
            <w:pPr>
              <w:spacing w:before="40" w:after="40"/>
              <w:rPr>
                <w:rFonts w:cs="Arial"/>
                <w:sz w:val="16"/>
                <w:szCs w:val="16"/>
              </w:rPr>
            </w:pPr>
            <w:r>
              <w:rPr>
                <w:rFonts w:cs="Arial"/>
                <w:sz w:val="16"/>
                <w:szCs w:val="16"/>
              </w:rPr>
              <w:t>DSU Alternate</w:t>
            </w:r>
          </w:p>
        </w:tc>
        <w:tc>
          <w:tcPr>
            <w:tcW w:w="1776" w:type="pct"/>
            <w:shd w:val="clear" w:color="auto" w:fill="auto"/>
          </w:tcPr>
          <w:p w:rsidR="008A753C" w:rsidRDefault="008A753C" w:rsidP="00B50824">
            <w:r w:rsidRPr="002473E0">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2894712"/>
      <w:r w:rsidRPr="003D3D96">
        <w:rPr>
          <w:lang w:eastAsia="en-GB"/>
        </w:rPr>
        <w:t>Background</w:t>
      </w:r>
      <w:bookmarkEnd w:id="19"/>
      <w:bookmarkEnd w:id="20"/>
      <w:bookmarkEnd w:id="21"/>
      <w:bookmarkEnd w:id="22"/>
      <w:bookmarkEnd w:id="23"/>
      <w:bookmarkEnd w:id="24"/>
      <w:bookmarkEnd w:id="25"/>
    </w:p>
    <w:p w:rsidR="0001752F" w:rsidRPr="004E6FF9" w:rsidRDefault="00581DAD" w:rsidP="00D3417D">
      <w:pPr>
        <w:jc w:val="both"/>
        <w:rPr>
          <w:rFonts w:cs="Arial"/>
          <w:lang w:val="en-IE"/>
        </w:rPr>
      </w:pPr>
      <w:r w:rsidRPr="004E6FF9">
        <w:rPr>
          <w:rFonts w:cs="Arial"/>
        </w:rPr>
        <w:t>This Mod</w:t>
      </w:r>
      <w:r w:rsidR="000B641B" w:rsidRPr="004E6FF9">
        <w:rPr>
          <w:rFonts w:cs="Arial"/>
        </w:rPr>
        <w:t>ifica</w:t>
      </w:r>
      <w:r w:rsidR="002C2D99" w:rsidRPr="004E6FF9">
        <w:rPr>
          <w:rFonts w:cs="Arial"/>
        </w:rPr>
        <w:t xml:space="preserve">tion Proposal was raised by </w:t>
      </w:r>
      <w:r w:rsidR="001C2D47" w:rsidRPr="004E6FF9">
        <w:rPr>
          <w:rFonts w:cs="Arial"/>
        </w:rPr>
        <w:t>SEMO</w:t>
      </w:r>
      <w:r w:rsidR="00EF16B0" w:rsidRPr="004E6FF9">
        <w:rPr>
          <w:rFonts w:cs="Arial"/>
        </w:rPr>
        <w:t xml:space="preserve"> and was received by the Secretariat</w:t>
      </w:r>
      <w:r w:rsidR="00C7516F" w:rsidRPr="004E6FF9">
        <w:rPr>
          <w:rFonts w:cs="Arial"/>
        </w:rPr>
        <w:t xml:space="preserve"> on 7 June</w:t>
      </w:r>
      <w:r w:rsidR="00DB326D" w:rsidRPr="004E6FF9">
        <w:rPr>
          <w:rFonts w:cs="Arial"/>
        </w:rPr>
        <w:t xml:space="preserve"> 2018</w:t>
      </w:r>
      <w:r w:rsidR="002F5D26" w:rsidRPr="004E6FF9">
        <w:rPr>
          <w:rFonts w:cs="Arial"/>
        </w:rPr>
        <w:t>.</w:t>
      </w:r>
      <w:r w:rsidR="008110AF" w:rsidRPr="004E6FF9">
        <w:rPr>
          <w:rFonts w:cs="Arial"/>
        </w:rPr>
        <w:t xml:space="preserve"> </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This proposal seeks to address a number of housekeeping items which have been identified since the I-SEM rules were designated. While there are a significant number of these items none of them are changes of approach or to the market design. These items fall broadly under four classifications as follows;</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numPr>
          <w:ilvl w:val="0"/>
          <w:numId w:val="3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Incorrect References – errors in paragraph references likely due to changes in the structure of the Code as drafting progressed</w:t>
      </w:r>
    </w:p>
    <w:p w:rsidR="004E6FF9" w:rsidRPr="004E6FF9" w:rsidRDefault="004E6FF9" w:rsidP="00D3417D">
      <w:pPr>
        <w:numPr>
          <w:ilvl w:val="0"/>
          <w:numId w:val="3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Variable Errors – Variable acronyms with incorrect letters used or incorrect subscripts</w:t>
      </w:r>
    </w:p>
    <w:p w:rsidR="004E6FF9" w:rsidRPr="004E6FF9" w:rsidRDefault="004E6FF9" w:rsidP="00D3417D">
      <w:pPr>
        <w:numPr>
          <w:ilvl w:val="0"/>
          <w:numId w:val="3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Typographical errors – duplicated words, missing words or incorrect capitalisation</w:t>
      </w:r>
    </w:p>
    <w:p w:rsidR="004E6FF9" w:rsidRPr="004E6FF9" w:rsidRDefault="004E6FF9" w:rsidP="00D3417D">
      <w:pPr>
        <w:numPr>
          <w:ilvl w:val="0"/>
          <w:numId w:val="3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Drafting Errors – wording which is either unclear or incorrect</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We would like to note that the proposed change to Physical Notification From MW and To MW Times in Appendix I, corresponding to the start of a half hourly rather than fifteen minute periods (more detail below), is slightly more substantive than the other changes in proposed in this Modification. That said, this is as agreed during the working groups, is reflected in the associated technical documentation and aligns with the approach being taken in trialling activities. This is understood to essentially be a correction of a misunderstanding during rules development. We are not anticipating concerns on this item but if we are mistaken so that the committee wishes this to be removed here and brought as a separate proposal then so be it. We also propose to correct a signage issue for G.14.3.3 similar to that which was corrected for G.14.8.1 in Mod_11_18 and to correct the definition of Demand Side Non-Delivery Percentage(FNDDS) neither of which are changes to existing design decisions but both of which may be considered to be slightly more substantial than the other proposed changes.</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 xml:space="preserve">Note also that the title of ‘Part B Housekeeping </w:t>
      </w:r>
      <w:r w:rsidRPr="004E6FF9">
        <w:rPr>
          <w:rFonts w:cs="Arial"/>
          <w:b/>
          <w:u w:val="single"/>
          <w:lang w:val="en-IE" w:eastAsia="en-GB" w:bidi="ar-SA"/>
        </w:rPr>
        <w:t>1</w:t>
      </w:r>
      <w:r w:rsidRPr="004E6FF9">
        <w:rPr>
          <w:rFonts w:cs="Arial"/>
          <w:lang w:val="en-IE" w:eastAsia="en-GB" w:bidi="ar-SA"/>
        </w:rPr>
        <w:t>’ does not indicate that there are known housekeeping items that are not being addressed in this proposal but rather acknowledging that there may be other items identified in future that need to be addressed via subsequent proposals.</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The specific items which this proposal seeks to address, broadly in the order in which they appear in the Code, noting that there are items collated where they affect multiple paragraphs, are as follows;</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Section B:</w:t>
      </w:r>
    </w:p>
    <w:p w:rsidR="004E6FF9" w:rsidRPr="00F91266" w:rsidRDefault="004E6FF9" w:rsidP="00F91266">
      <w:pPr>
        <w:pStyle w:val="ListParagraph"/>
        <w:numPr>
          <w:ilvl w:val="0"/>
          <w:numId w:val="39"/>
        </w:numPr>
        <w:overflowPunct w:val="0"/>
        <w:autoSpaceDE w:val="0"/>
        <w:autoSpaceDN w:val="0"/>
        <w:adjustRightInd w:val="0"/>
        <w:spacing w:before="0" w:after="0"/>
        <w:textAlignment w:val="baseline"/>
        <w:rPr>
          <w:rFonts w:cs="Arial"/>
          <w:lang w:val="en-IE" w:eastAsia="en-GB" w:bidi="ar-SA"/>
        </w:rPr>
      </w:pPr>
      <w:r w:rsidRPr="00F91266">
        <w:rPr>
          <w:rFonts w:cs="Arial"/>
          <w:lang w:val="en-IE" w:eastAsia="en-GB" w:bidi="ar-SA"/>
        </w:rPr>
        <w:t>Paragraph B.8.2.2 refers information submitted by the Scheduling Agent of the Shipping Agent as contemplated by F.2.2.7 whereas this should reference F.2.2.4. This reference moved due to restructuring of the section during Code development but the affected reference was not updated.</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F91266" w:rsidRDefault="004E6FF9" w:rsidP="00F91266">
      <w:pPr>
        <w:pStyle w:val="ListParagraph"/>
        <w:numPr>
          <w:ilvl w:val="0"/>
          <w:numId w:val="39"/>
        </w:numPr>
        <w:overflowPunct w:val="0"/>
        <w:autoSpaceDE w:val="0"/>
        <w:autoSpaceDN w:val="0"/>
        <w:adjustRightInd w:val="0"/>
        <w:spacing w:before="0" w:after="0"/>
        <w:textAlignment w:val="baseline"/>
        <w:rPr>
          <w:rFonts w:cs="Arial"/>
          <w:lang w:val="en-IE" w:eastAsia="en-GB" w:bidi="ar-SA"/>
        </w:rPr>
      </w:pPr>
      <w:r w:rsidRPr="00F91266">
        <w:rPr>
          <w:rFonts w:cs="Arial"/>
          <w:lang w:val="en-IE" w:eastAsia="en-GB" w:bidi="ar-SA"/>
        </w:rPr>
        <w:t>The Defined term Trading Site is used in paragraph B.9.3.2 but the word ‘Site’ was not capitalised to indicate that it is part of a defined term.</w:t>
      </w: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Section E:</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 xml:space="preserve">Paragraph E.3.6.2(b) refers to the Market Back Up Price determined in accordance with section E.4.6 whereas this should reference section E.5. </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Section F:</w:t>
      </w:r>
    </w:p>
    <w:p w:rsidR="004E6FF9" w:rsidRPr="00F91266" w:rsidRDefault="004E6FF9" w:rsidP="00F91266">
      <w:pPr>
        <w:pStyle w:val="ListParagraph"/>
        <w:numPr>
          <w:ilvl w:val="0"/>
          <w:numId w:val="40"/>
        </w:numPr>
        <w:overflowPunct w:val="0"/>
        <w:autoSpaceDE w:val="0"/>
        <w:autoSpaceDN w:val="0"/>
        <w:adjustRightInd w:val="0"/>
        <w:spacing w:before="0" w:after="0"/>
        <w:textAlignment w:val="baseline"/>
        <w:rPr>
          <w:rFonts w:cs="Arial"/>
          <w:lang w:val="en-IE" w:eastAsia="en-GB" w:bidi="ar-SA"/>
        </w:rPr>
      </w:pPr>
      <w:r w:rsidRPr="00F91266">
        <w:rPr>
          <w:rFonts w:cs="Arial"/>
          <w:lang w:val="en-IE" w:eastAsia="en-GB" w:bidi="ar-SA"/>
        </w:rPr>
        <w:t>Paragraph F.6.4.4, which details the timing under which a notice from the Regulatory Authorities to the Market Operator to include Trade Opposite TSO Bid and Offer Acceptance Quantities in Premium and Discount Component Payment calculations takes effect, indicates that this takes effect on a Trading Day basis where it is a Settlement Day application.</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F91266">
      <w:pPr>
        <w:numPr>
          <w:ilvl w:val="0"/>
          <w:numId w:val="4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Paragraph F.6.7.9, which details the derivation by the Market Operator of a ranked set of Accepted Bid Quantities for Generator Units, refers the allocation of position numbers</w:t>
      </w:r>
      <w:r w:rsidRPr="004E6FF9">
        <w:rPr>
          <w:rFonts w:cs="Arial"/>
          <w:b/>
          <w:u w:val="single"/>
          <w:lang w:val="en-IE" w:eastAsia="en-GB" w:bidi="ar-SA"/>
        </w:rPr>
        <w:t xml:space="preserve"> n</w:t>
      </w:r>
      <w:r w:rsidRPr="004E6FF9">
        <w:rPr>
          <w:rFonts w:cs="Arial"/>
          <w:lang w:val="en-IE" w:eastAsia="en-GB" w:bidi="ar-SA"/>
        </w:rPr>
        <w:t xml:space="preserve">=1,2,etc., where this should be </w:t>
      </w:r>
      <w:r w:rsidRPr="004E6FF9">
        <w:rPr>
          <w:rFonts w:cs="Arial"/>
          <w:b/>
          <w:u w:val="single"/>
          <w:lang w:val="en-IE" w:eastAsia="en-GB" w:bidi="ar-SA"/>
        </w:rPr>
        <w:t>k</w:t>
      </w:r>
      <w:r w:rsidRPr="004E6FF9">
        <w:rPr>
          <w:rFonts w:cs="Arial"/>
          <w:lang w:val="en-IE" w:eastAsia="en-GB" w:bidi="ar-SA"/>
        </w:rPr>
        <w:t xml:space="preserve">=1,2,etc. to align with the nomenclature for the same term in other paragraphs. </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F91266">
      <w:pPr>
        <w:numPr>
          <w:ilvl w:val="0"/>
          <w:numId w:val="4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 xml:space="preserve">Paragraph F.15.2.4, which details the entitlement of the Market Operator to propose revisions to the terms value, refers to the ‘Currency </w:t>
      </w:r>
      <w:r w:rsidRPr="004E6FF9">
        <w:rPr>
          <w:rFonts w:cs="Arial"/>
          <w:b/>
          <w:u w:val="single"/>
          <w:lang w:val="en-IE" w:eastAsia="en-GB" w:bidi="ar-SA"/>
        </w:rPr>
        <w:t>Cost</w:t>
      </w:r>
      <w:r w:rsidRPr="004E6FF9">
        <w:rPr>
          <w:rFonts w:cs="Arial"/>
          <w:lang w:val="en-IE" w:eastAsia="en-GB" w:bidi="ar-SA"/>
        </w:rPr>
        <w:t xml:space="preserve"> Charge Factor’ where this should read ‘Currency </w:t>
      </w:r>
      <w:r w:rsidRPr="004E6FF9">
        <w:rPr>
          <w:rFonts w:cs="Arial"/>
          <w:b/>
          <w:u w:val="single"/>
          <w:lang w:val="en-IE" w:eastAsia="en-GB" w:bidi="ar-SA"/>
        </w:rPr>
        <w:t>Adjustment</w:t>
      </w:r>
      <w:r w:rsidRPr="004E6FF9">
        <w:rPr>
          <w:rFonts w:cs="Arial"/>
          <w:lang w:val="en-IE" w:eastAsia="en-GB" w:bidi="ar-SA"/>
        </w:rPr>
        <w:t xml:space="preserve"> Charge Factor’ since this is the defined term.</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F91266">
      <w:pPr>
        <w:numPr>
          <w:ilvl w:val="0"/>
          <w:numId w:val="4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 xml:space="preserve">Paragraph F.18.2.1, which details the calculation of the Capacity Quantity Scaling Factor by the Market Operator, refers to the ‘Reserve Adjustment Capacity Quantity’ where this should read ‘Reserve Adjustment </w:t>
      </w:r>
      <w:r w:rsidRPr="004E6FF9">
        <w:rPr>
          <w:rFonts w:cs="Arial"/>
          <w:b/>
          <w:u w:val="single"/>
          <w:lang w:val="en-IE" w:eastAsia="en-GB" w:bidi="ar-SA"/>
        </w:rPr>
        <w:t>Required</w:t>
      </w:r>
      <w:r w:rsidRPr="004E6FF9">
        <w:rPr>
          <w:rFonts w:cs="Arial"/>
          <w:lang w:val="en-IE" w:eastAsia="en-GB" w:bidi="ar-SA"/>
        </w:rPr>
        <w:t xml:space="preserve"> Capacity Quantity’ since this is the defined term.</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F91266">
      <w:pPr>
        <w:numPr>
          <w:ilvl w:val="0"/>
          <w:numId w:val="4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Paragraph F.20.3.2, which details the calculation of the Imbalance Difference Quantity by the Market Operator, utilizes Loss-Adjusted Metered Quantity for Supplier and Generator Units but omits the reference to the Loss-Adjusted Metered Quantity for Generator Unit in the ‘where’ clause in error.</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F91266">
      <w:pPr>
        <w:numPr>
          <w:ilvl w:val="0"/>
          <w:numId w:val="40"/>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Paragraph F.20.5.3, which details the calculation of the Difference Payment Reimbursement Amount by the Market Operator, has ‘where’ clauses which refer to ‘Day d’ where this should more specifically refer to ‘Settlement Day d’.</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Section G:</w:t>
      </w:r>
    </w:p>
    <w:p w:rsidR="004E6FF9" w:rsidRPr="00185D5D" w:rsidRDefault="004E6FF9" w:rsidP="00185D5D">
      <w:pPr>
        <w:pStyle w:val="ListParagraph"/>
        <w:numPr>
          <w:ilvl w:val="0"/>
          <w:numId w:val="41"/>
        </w:numPr>
        <w:overflowPunct w:val="0"/>
        <w:autoSpaceDE w:val="0"/>
        <w:autoSpaceDN w:val="0"/>
        <w:adjustRightInd w:val="0"/>
        <w:spacing w:before="0" w:after="0"/>
        <w:textAlignment w:val="baseline"/>
        <w:rPr>
          <w:rFonts w:cs="Arial"/>
          <w:lang w:val="en-IE" w:eastAsia="en-GB" w:bidi="ar-SA"/>
        </w:rPr>
      </w:pPr>
      <w:r w:rsidRPr="00185D5D">
        <w:rPr>
          <w:rFonts w:cs="Arial"/>
          <w:lang w:val="en-IE" w:eastAsia="en-GB" w:bidi="ar-SA"/>
        </w:rPr>
        <w:lastRenderedPageBreak/>
        <w:t>Paragraph G.12.4.2, which details the obligation on Participants regarding application of  the Credit Adjustment Trigger and subsequent notification to the Market Operator for treatment as an Adjusted Participant , is imprecisely worded so that it reads as follows;</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textAlignment w:val="baseline"/>
        <w:rPr>
          <w:rFonts w:cs="Arial"/>
          <w:i/>
          <w:lang w:val="en-IE" w:eastAsia="en-GB" w:bidi="ar-SA"/>
        </w:rPr>
      </w:pPr>
      <w:r w:rsidRPr="004E6FF9">
        <w:rPr>
          <w:rFonts w:cs="Arial"/>
          <w:i/>
          <w:lang w:val="en-IE" w:eastAsia="en-GB" w:bidi="ar-SA"/>
        </w:rPr>
        <w:t xml:space="preserve">‘Where a Participant reasonably expects that, compared with the time-weighted average of Metered Demand across all of the four most recent Billing Periods,………the forecasted total Daily Amounts’ </w:t>
      </w:r>
    </w:p>
    <w:p w:rsidR="004E6FF9" w:rsidRPr="004E6FF9" w:rsidRDefault="004E6FF9" w:rsidP="00D3417D">
      <w:pPr>
        <w:overflowPunct w:val="0"/>
        <w:autoSpaceDE w:val="0"/>
        <w:autoSpaceDN w:val="0"/>
        <w:adjustRightInd w:val="0"/>
        <w:spacing w:before="0" w:after="0"/>
        <w:ind w:left="720"/>
        <w:textAlignment w:val="baseline"/>
        <w:rPr>
          <w:rFonts w:cs="Arial"/>
          <w:i/>
          <w:lang w:val="en-IE" w:eastAsia="en-GB" w:bidi="ar-SA"/>
        </w:rPr>
      </w:pP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r w:rsidRPr="004E6FF9">
        <w:rPr>
          <w:rFonts w:cs="Arial"/>
          <w:lang w:val="en-IE" w:eastAsia="en-GB" w:bidi="ar-SA"/>
        </w:rPr>
        <w:t>This implies that the comparison is between historic Metered Demand and Total Daily Amounts for Generator Units as opposed between historic and expected Total Daily Amounts which is what is intended. There is also a typo in that ‘Total’ is not capitalised to indicate the codified term ‘Total Daily Amounts’. See Legal Drafting Change for amended wording.</w:t>
      </w: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r w:rsidRPr="004E6FF9">
        <w:rPr>
          <w:rFonts w:cs="Arial"/>
          <w:lang w:val="en-IE" w:eastAsia="en-GB" w:bidi="ar-SA"/>
        </w:rPr>
        <w:t xml:space="preserve">Paragraphs G.5.7.1, G.12.4.3 and G.14.10.1 contain the same capitalisation error for Total Daily Amounts and this Modification also proposes amendments there also. Paragraph G.14.10.1 has a summation for a sample Undefined Exposure Period for which the ‘where’ clause states that the sum is over all settlement days in the sample undefined exposure period </w:t>
      </w:r>
      <w:r w:rsidRPr="004E6FF9">
        <w:rPr>
          <w:rFonts w:cs="Arial"/>
          <w:i/>
          <w:lang w:val="en-IE" w:eastAsia="en-GB" w:bidi="ar-SA"/>
        </w:rPr>
        <w:t xml:space="preserve">in the Historical Assessment Period </w:t>
      </w:r>
      <w:r w:rsidRPr="004E6FF9">
        <w:rPr>
          <w:rFonts w:cs="Arial"/>
          <w:lang w:val="en-IE" w:eastAsia="en-GB" w:bidi="ar-SA"/>
        </w:rPr>
        <w:t>where the words in italics are incorrect and should be removed since each individual sum is only over the sample Undefined Exposure Period. A ‘H’ is also added to preface in G.14.10.1 in line with similar changes in a separate proposal to apply corrected subscripts for Historical Assessment Periods.</w:t>
      </w: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p>
    <w:p w:rsidR="004E6FF9" w:rsidRPr="00185D5D" w:rsidRDefault="004E6FF9" w:rsidP="00185D5D">
      <w:pPr>
        <w:pStyle w:val="ListParagraph"/>
        <w:numPr>
          <w:ilvl w:val="0"/>
          <w:numId w:val="41"/>
        </w:numPr>
        <w:overflowPunct w:val="0"/>
        <w:autoSpaceDE w:val="0"/>
        <w:autoSpaceDN w:val="0"/>
        <w:adjustRightInd w:val="0"/>
        <w:spacing w:before="0" w:after="0"/>
        <w:textAlignment w:val="baseline"/>
        <w:rPr>
          <w:rFonts w:cs="Arial"/>
          <w:lang w:val="en-IE" w:eastAsia="en-GB" w:bidi="ar-SA"/>
        </w:rPr>
      </w:pPr>
      <w:r w:rsidRPr="00185D5D">
        <w:rPr>
          <w:rFonts w:cs="Arial"/>
          <w:lang w:val="en-IE" w:eastAsia="en-GB" w:bidi="ar-SA"/>
        </w:rPr>
        <w:t>Paragraph G.14.4.1, which details that the Credit Assessment Volume for Generator Units for New and Adjusted Participants, references the forecast data submitted in accordance with G.12.4.2 where G.12.4.2 details the use of the Credit Cover Adjustment Trigger so that this reference is incorrect. Note that mod_15_17 means that paragraph G.14.4.1 refers to New and Adjusted Participants rather than new Participants only so that this is the baseline text used as opposed to that in Version 20 of the Code. As the existing reference for New Participant is incorrect this proposal seeks to amend it.</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r w:rsidRPr="004E6FF9">
        <w:rPr>
          <w:rFonts w:cs="Arial"/>
          <w:lang w:val="en-IE" w:eastAsia="en-GB" w:bidi="ar-SA"/>
        </w:rPr>
        <w:t xml:space="preserve">In addition, on review of this content and its Part A equivalent it is evident that the intended reference, G.12.4.3, details the submission of forecasted volumes for Adjusted Participants only and not for New Participants as an error carried forward from Part A. This proposal seeks to address this issue also by amending G.12.4.3 to refer to New Participants as well. Note that this is also using the baseline text from mod_15_17 which amends G.12.4.3. </w:t>
      </w: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p>
    <w:p w:rsidR="004E6FF9" w:rsidRPr="004E6FF9" w:rsidRDefault="004E6FF9" w:rsidP="00185D5D">
      <w:pPr>
        <w:numPr>
          <w:ilvl w:val="0"/>
          <w:numId w:val="41"/>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Paragraph G.14.3.3, which details the calculation of New and Adjusted Participant exposure in respect of Capacity Charges for its Supplier Units for the Undefined Exposure Period, is missing the words ‘for the Undefined Exposure Period’ implying that it is for all Capacity Charge exposure (i.e. including Actual Exposure) which is not the case. As any New or Adjusted Participant will be treated as such until such times as they have a full Historical Assessment Period of Settlement Statements they will have both Actual Exposure and Undefined Exposure for Capacity for a period so that it is appropriate to reflect that this paragraph relates only to the Undefined Exposure Period element. Similar to other paragraphs which are already subject to modification since Version 20 of the Code the baseline text used here is that from mod_15_17.</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r w:rsidRPr="004E6FF9">
        <w:rPr>
          <w:rFonts w:cs="Arial"/>
          <w:lang w:val="en-IE" w:eastAsia="en-GB" w:bidi="ar-SA"/>
        </w:rPr>
        <w:t>We also propose a signage correction for clause G.14.3.3 by introducing a minus sign. The same issue we propose to correct here for New and Adjusted Participants was corrected for Standard Participant (G.14.8.1) within Mod_11_18 which is recommended for approval pending a final RA decision at the time of writing; however this change was omitted.</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185D5D">
      <w:pPr>
        <w:numPr>
          <w:ilvl w:val="0"/>
          <w:numId w:val="41"/>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Paragraphs G.14.15.2, G.14.15.6 and G.15.1.1, which detail the calculation of Forecast Amount Available for Resettlement Allocation Agreement (FASRAS) and Required Credit Cover, utilise the Traded Not Delivered Exposure (ETNDp</w:t>
      </w:r>
      <w:r w:rsidRPr="004E6FF9">
        <w:rPr>
          <w:rFonts w:cs="Arial"/>
          <w:b/>
          <w:lang w:val="en-IE" w:eastAsia="en-GB" w:bidi="ar-SA"/>
        </w:rPr>
        <w:t>g</w:t>
      </w:r>
      <w:r w:rsidRPr="004E6FF9">
        <w:rPr>
          <w:rFonts w:cs="Arial"/>
          <w:lang w:val="en-IE" w:eastAsia="en-GB" w:bidi="ar-SA"/>
        </w:rPr>
        <w:t>) variable (calculated in paragraph G.14.13.1). These three paragraphs use incorrect subscripts as they have ETNDp</w:t>
      </w:r>
      <w:r w:rsidRPr="004E6FF9">
        <w:rPr>
          <w:rFonts w:cs="Arial"/>
          <w:b/>
          <w:lang w:val="en-IE" w:eastAsia="en-GB" w:bidi="ar-SA"/>
        </w:rPr>
        <w:t>d</w:t>
      </w:r>
      <w:r w:rsidRPr="004E6FF9">
        <w:rPr>
          <w:rFonts w:cs="Arial"/>
          <w:lang w:val="en-IE" w:eastAsia="en-GB" w:bidi="ar-SA"/>
        </w:rPr>
        <w:t xml:space="preserve"> where this value is for an Undefined Exposure Period g and the subscript d is used to denote Settlement Day.</w:t>
      </w:r>
      <w:r w:rsidRPr="004E6FF9">
        <w:rPr>
          <w:rFonts w:cs="Arial"/>
          <w:lang w:val="en-AU" w:eastAsia="en-GB" w:bidi="ar-SA"/>
        </w:rPr>
        <w:t xml:space="preserve"> </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r w:rsidRPr="004E6FF9">
        <w:rPr>
          <w:rFonts w:cs="Arial"/>
          <w:lang w:val="en-IE" w:eastAsia="en-GB" w:bidi="ar-SA"/>
        </w:rPr>
        <w:t>‘Where’ clauses also refer to ETND being for a Trading Day as opposed to Undefined Exposure Period in error.In addition, the variable FASRAS has an incorrect subscript ‘a’ in G.14.15.9, G.15.1.1 and in the variable definition in the glossary. This subscript relates a variable to a single Settlement Reallocation Agreement (see correct usage for ‘FAVRA’) where FASRAS is a sum of SRAs rather than relating to a single, given SRA. The subscripts also relate it to an Undefined Exposure Period g rather than a Settlement Risk Period r in error. The Glossary definition and Code body descriptions of FASRAS are also incorrect as they refer to single Settlement Reallocation Agreements and the Undefined Exposure Period as opposed to the Settlement Risk Period.</w:t>
      </w:r>
    </w:p>
    <w:p w:rsidR="004E6FF9" w:rsidRPr="004E6FF9" w:rsidRDefault="004E6FF9" w:rsidP="00D3417D">
      <w:pPr>
        <w:overflowPunct w:val="0"/>
        <w:autoSpaceDE w:val="0"/>
        <w:autoSpaceDN w:val="0"/>
        <w:adjustRightInd w:val="0"/>
        <w:spacing w:before="0" w:after="0"/>
        <w:ind w:left="720"/>
        <w:textAlignment w:val="baseline"/>
        <w:rPr>
          <w:rFonts w:cs="Arial"/>
          <w:lang w:val="en-IE" w:eastAsia="en-GB" w:bidi="ar-SA"/>
        </w:rPr>
      </w:pPr>
    </w:p>
    <w:p w:rsidR="004E6FF9" w:rsidRPr="004E6FF9" w:rsidRDefault="004E6FF9" w:rsidP="00185D5D">
      <w:pPr>
        <w:numPr>
          <w:ilvl w:val="0"/>
          <w:numId w:val="41"/>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 xml:space="preserve">Paragraph G.17.3.2, which lists the variables set equal to zero during Administered Imbalance Settlement has a missing gamma (Imbalance Settlement Period) subscript for Imperfections Charge (CIMP). </w:t>
      </w:r>
      <w:r w:rsidRPr="004E6FF9">
        <w:rPr>
          <w:rFonts w:cs="Arial"/>
          <w:b/>
          <w:lang w:val="en-IE" w:eastAsia="en-GB" w:bidi="ar-SA"/>
        </w:rPr>
        <w:t>Note</w:t>
      </w:r>
      <w:r w:rsidRPr="004E6FF9">
        <w:rPr>
          <w:rFonts w:cs="Arial"/>
          <w:lang w:val="en-IE" w:eastAsia="en-GB" w:bidi="ar-SA"/>
        </w:rPr>
        <w:t xml:space="preserve"> that Mod_11_18, which is recommended for approval pending final RA decision at the time of drafting, also changes this clause by introducing four additional variables which also omit the gamma subscript so that the baseline legal drafting used is that from Mod_11_18 and these subscripts are also added.</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185D5D">
      <w:pPr>
        <w:numPr>
          <w:ilvl w:val="0"/>
          <w:numId w:val="41"/>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Paragraph G.18.1.5 fails to capitalise the defined term ‘Non-Defaulting Participant.</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Appendix E:</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 xml:space="preserve">Table 4, which details the publications to be updated daily in advance of the Trading Day, has a duplicate word as follows ‘Daily, in advance of the </w:t>
      </w:r>
      <w:r w:rsidRPr="004E6FF9">
        <w:rPr>
          <w:rFonts w:cs="Arial"/>
          <w:b/>
          <w:lang w:val="en-IE" w:eastAsia="en-GB" w:bidi="ar-SA"/>
        </w:rPr>
        <w:t>the</w:t>
      </w:r>
      <w:r w:rsidRPr="004E6FF9">
        <w:rPr>
          <w:rFonts w:cs="Arial"/>
          <w:lang w:val="en-IE" w:eastAsia="en-GB" w:bidi="ar-SA"/>
        </w:rPr>
        <w:t xml:space="preserve"> Trading Day’.</w:t>
      </w:r>
    </w:p>
    <w:p w:rsidR="004E6FF9" w:rsidRPr="004E6FF9" w:rsidRDefault="004E6FF9" w:rsidP="00D3417D">
      <w:pPr>
        <w:overflowPunct w:val="0"/>
        <w:autoSpaceDE w:val="0"/>
        <w:autoSpaceDN w:val="0"/>
        <w:adjustRightInd w:val="0"/>
        <w:spacing w:before="0" w:after="0"/>
        <w:textAlignment w:val="baseline"/>
        <w:rPr>
          <w:rFonts w:cs="Arial"/>
          <w:lang w:val="en-AU"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Appendix G:</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Paragraph 14(a), which details the information which can be gleaned from Settlement Statements/Reports,  contains the defined term Total Daily Amounts but the word ‘Total’ is not capitalised in error similar to corrections to the same term within Section G.</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Appendix H:</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Table 1, which details the information required from a Party that is registering a new Unit, has the variable for Registered Capacity written incorrectly as q</w:t>
      </w:r>
      <w:r w:rsidRPr="004E6FF9">
        <w:rPr>
          <w:rFonts w:cs="Arial"/>
          <w:b/>
          <w:lang w:val="en-IE" w:eastAsia="en-GB" w:bidi="ar-SA"/>
        </w:rPr>
        <w:t xml:space="preserve">RC </w:t>
      </w:r>
      <w:r w:rsidRPr="004E6FF9">
        <w:rPr>
          <w:rFonts w:cs="Arial"/>
          <w:lang w:val="en-IE" w:eastAsia="en-GB" w:bidi="ar-SA"/>
        </w:rPr>
        <w:t>where it should be q</w:t>
      </w:r>
      <w:r w:rsidRPr="004E6FF9">
        <w:rPr>
          <w:rFonts w:cs="Arial"/>
          <w:b/>
          <w:lang w:val="en-IE" w:eastAsia="en-GB" w:bidi="ar-SA"/>
        </w:rPr>
        <w:t>CR</w:t>
      </w:r>
      <w:r w:rsidRPr="004E6FF9">
        <w:rPr>
          <w:rFonts w:cs="Arial"/>
          <w:lang w:val="en-IE" w:eastAsia="en-GB" w:bidi="ar-SA"/>
        </w:rPr>
        <w:t>.</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Appendix I:</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r w:rsidRPr="004E6FF9">
        <w:rPr>
          <w:rFonts w:cs="Arial"/>
          <w:lang w:val="en-IE" w:eastAsia="en-GB" w:bidi="ar-SA"/>
        </w:rPr>
        <w:t xml:space="preserve">Paragraph 16(d)(i) , which details requirements for the From MW Time and To MW Time for Physical Notifications incorrectly states that these must be on the quarter hour where the requirement is that they must be on the half hour. </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textAlignment w:val="baseline"/>
        <w:rPr>
          <w:rFonts w:cs="Arial"/>
          <w:b/>
          <w:u w:val="single"/>
          <w:lang w:val="en-IE" w:eastAsia="en-GB" w:bidi="ar-SA"/>
        </w:rPr>
      </w:pPr>
      <w:r w:rsidRPr="004E6FF9">
        <w:rPr>
          <w:rFonts w:cs="Arial"/>
          <w:b/>
          <w:u w:val="single"/>
          <w:lang w:val="en-IE" w:eastAsia="en-GB" w:bidi="ar-SA"/>
        </w:rPr>
        <w:t>Glossary:</w:t>
      </w:r>
    </w:p>
    <w:p w:rsidR="004E6FF9" w:rsidRPr="00185D5D" w:rsidRDefault="004E6FF9" w:rsidP="00185D5D">
      <w:pPr>
        <w:pStyle w:val="ListParagraph"/>
        <w:numPr>
          <w:ilvl w:val="0"/>
          <w:numId w:val="42"/>
        </w:numPr>
        <w:overflowPunct w:val="0"/>
        <w:autoSpaceDE w:val="0"/>
        <w:autoSpaceDN w:val="0"/>
        <w:adjustRightInd w:val="0"/>
        <w:spacing w:before="0" w:after="0"/>
        <w:textAlignment w:val="baseline"/>
        <w:rPr>
          <w:rFonts w:cs="Arial"/>
          <w:lang w:val="en-IE" w:eastAsia="en-GB" w:bidi="ar-SA"/>
        </w:rPr>
      </w:pPr>
      <w:r w:rsidRPr="00185D5D">
        <w:rPr>
          <w:rFonts w:cs="Arial"/>
          <w:lang w:val="en-IE" w:eastAsia="en-GB" w:bidi="ar-SA"/>
        </w:rPr>
        <w:t xml:space="preserve">The defined term Aggregated Settlement Document Amount, being that amount which is calculated in G.5.7.5, is used in a number of places (G.2.7.4, G.5.7.5, G.13.1.1, and in the glossary variable definition for SDA) where it is written as Settlement Document Aggregate </w:t>
      </w:r>
      <w:r w:rsidRPr="00185D5D">
        <w:rPr>
          <w:rFonts w:cs="Arial"/>
          <w:b/>
          <w:u w:val="single"/>
          <w:lang w:val="en-IE" w:eastAsia="en-GB" w:bidi="ar-SA"/>
        </w:rPr>
        <w:t>a</w:t>
      </w:r>
      <w:r w:rsidRPr="00185D5D">
        <w:rPr>
          <w:rFonts w:cs="Arial"/>
          <w:lang w:val="en-IE" w:eastAsia="en-GB" w:bidi="ar-SA"/>
        </w:rPr>
        <w:t xml:space="preserve">mount. This appears to be because there is a variable definition for Aggregate Settlement </w:t>
      </w:r>
      <w:r w:rsidRPr="00185D5D">
        <w:rPr>
          <w:rFonts w:cs="Arial"/>
          <w:lang w:val="en-IE" w:eastAsia="en-GB" w:bidi="ar-SA"/>
        </w:rPr>
        <w:lastRenderedPageBreak/>
        <w:t xml:space="preserve">Document (SDA) as well as the glossary definition which is a different approach to that used for other aggregated variables where only the variable definition exists (see Total Daily Amounts – CDAY). Note that in Part A, the convention was also to define the variable term for aggregates. </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r w:rsidRPr="004E6FF9">
        <w:rPr>
          <w:rFonts w:cs="Arial"/>
          <w:lang w:val="en-IE" w:eastAsia="en-GB" w:bidi="ar-SA"/>
        </w:rPr>
        <w:t xml:space="preserve">In the interest of maintaining a universal convention and avoiding confusion, we propose dropping the glossary definition for Settlement Document Aggregate Amount since retaining it results in having two defined terms for the same thing (albeit that these definitions are essentially the same but worded differently) and also breaks the convention for other similar terms. </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185D5D" w:rsidRDefault="004E6FF9" w:rsidP="00185D5D">
      <w:pPr>
        <w:pStyle w:val="ListParagraph"/>
        <w:numPr>
          <w:ilvl w:val="0"/>
          <w:numId w:val="42"/>
        </w:numPr>
        <w:overflowPunct w:val="0"/>
        <w:autoSpaceDE w:val="0"/>
        <w:autoSpaceDN w:val="0"/>
        <w:adjustRightInd w:val="0"/>
        <w:spacing w:before="0" w:after="0"/>
        <w:textAlignment w:val="baseline"/>
        <w:rPr>
          <w:rFonts w:cs="Arial"/>
          <w:lang w:val="en-IE" w:eastAsia="en-GB" w:bidi="ar-SA"/>
        </w:rPr>
      </w:pPr>
      <w:r w:rsidRPr="00185D5D">
        <w:rPr>
          <w:rFonts w:cs="Arial"/>
          <w:lang w:val="en-IE" w:eastAsia="en-GB" w:bidi="ar-SA"/>
        </w:rPr>
        <w:t>The Glossary definition for Market Operator Charge Account contains an incorrect reference to paragraph G.7.1.5 where this should refer paragraph G.7.1.4. G.7.1.4 is the paragraph which details the establishment and maintenance of bank accounts for the Market Operator Charge by the Market Operator.</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185D5D">
      <w:pPr>
        <w:numPr>
          <w:ilvl w:val="0"/>
          <w:numId w:val="42"/>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Some variable definitions (CMWP, CNL , COCMWP, CREVMWP and CSD) which utilise the defined term ‘Make-Whole Payment’ do not capitalise it.</w:t>
      </w:r>
    </w:p>
    <w:p w:rsidR="004E6FF9" w:rsidRPr="004E6FF9" w:rsidRDefault="004E6FF9" w:rsidP="00D3417D">
      <w:pPr>
        <w:overflowPunct w:val="0"/>
        <w:autoSpaceDE w:val="0"/>
        <w:autoSpaceDN w:val="0"/>
        <w:adjustRightInd w:val="0"/>
        <w:spacing w:before="0" w:after="0"/>
        <w:textAlignment w:val="baseline"/>
        <w:rPr>
          <w:rFonts w:cs="Arial"/>
          <w:lang w:val="en-IE" w:eastAsia="en-GB" w:bidi="ar-SA"/>
        </w:rPr>
      </w:pPr>
    </w:p>
    <w:p w:rsidR="004E6FF9" w:rsidRPr="004E6FF9" w:rsidRDefault="004E6FF9" w:rsidP="00185D5D">
      <w:pPr>
        <w:numPr>
          <w:ilvl w:val="0"/>
          <w:numId w:val="42"/>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 xml:space="preserve">The definition of the variable FNDDS (Demand Side Non-Delivery Percentage) is inaccurately worded as it states that this is the quantity, as determined by the System Operator, representing the extent to which the Obligated Capacity Quantity (OCQ) ‘was not delivered </w:t>
      </w:r>
      <w:r w:rsidRPr="004E6FF9">
        <w:rPr>
          <w:rFonts w:cs="Arial"/>
          <w:i/>
          <w:lang w:val="en-IE" w:eastAsia="en-GB" w:bidi="ar-SA"/>
        </w:rPr>
        <w:t>through the Demand Side Unit’s response to a Dispatch Instruction’</w:t>
      </w:r>
      <w:r w:rsidRPr="004E6FF9">
        <w:rPr>
          <w:rFonts w:cs="Arial"/>
          <w:lang w:val="en-IE" w:eastAsia="en-GB" w:bidi="ar-SA"/>
        </w:rPr>
        <w:t>. This is incorrect since the variable FNDDS represents the obligated quantity that was not delivered in a more general sense (I.e. where it is not available or is otherwise non-performing when not dispatched when obliged to be so based on its OCQ as well as where there is a Non-Delivery in response to a Dispatch Instruction). As such the proposal is to remove the words in italics.</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4E6FF9" w:rsidRPr="004E6FF9" w:rsidRDefault="004E6FF9" w:rsidP="00185D5D">
      <w:pPr>
        <w:numPr>
          <w:ilvl w:val="0"/>
          <w:numId w:val="42"/>
        </w:numPr>
        <w:overflowPunct w:val="0"/>
        <w:autoSpaceDE w:val="0"/>
        <w:autoSpaceDN w:val="0"/>
        <w:adjustRightInd w:val="0"/>
        <w:spacing w:before="0" w:after="0"/>
        <w:contextualSpacing/>
        <w:textAlignment w:val="baseline"/>
        <w:rPr>
          <w:rFonts w:cs="Arial"/>
          <w:lang w:val="en-IE" w:eastAsia="en-GB" w:bidi="ar-SA"/>
        </w:rPr>
      </w:pPr>
      <w:r w:rsidRPr="004E6FF9">
        <w:rPr>
          <w:rFonts w:cs="Arial"/>
          <w:lang w:val="en-IE" w:eastAsia="en-GB" w:bidi="ar-SA"/>
        </w:rPr>
        <w:t>Appendix G of Part B refers to Settlement Reports and has it capitalised reflecting a defined term; however no defined term exists in the Glossary so we propose to introduce one here.</w:t>
      </w:r>
    </w:p>
    <w:p w:rsidR="004E6FF9" w:rsidRPr="004E6FF9" w:rsidRDefault="004E6FF9" w:rsidP="00D3417D">
      <w:pPr>
        <w:overflowPunct w:val="0"/>
        <w:autoSpaceDE w:val="0"/>
        <w:autoSpaceDN w:val="0"/>
        <w:adjustRightInd w:val="0"/>
        <w:spacing w:before="0" w:after="0"/>
        <w:ind w:left="720"/>
        <w:contextualSpacing/>
        <w:textAlignment w:val="baseline"/>
        <w:rPr>
          <w:rFonts w:cs="Arial"/>
          <w:lang w:val="en-IE" w:eastAsia="en-GB" w:bidi="ar-SA"/>
        </w:rPr>
      </w:pPr>
    </w:p>
    <w:p w:rsidR="008354DD" w:rsidRPr="00185D5D" w:rsidRDefault="004E6FF9" w:rsidP="00185D5D">
      <w:pPr>
        <w:pStyle w:val="ListParagraph"/>
        <w:numPr>
          <w:ilvl w:val="0"/>
          <w:numId w:val="42"/>
        </w:numPr>
        <w:jc w:val="both"/>
        <w:rPr>
          <w:rFonts w:cs="Arial"/>
        </w:rPr>
      </w:pPr>
      <w:r w:rsidRPr="00185D5D">
        <w:rPr>
          <w:rFonts w:cs="Arial"/>
          <w:lang w:val="en-IE" w:eastAsia="en-GB" w:bidi="ar-SA"/>
        </w:rPr>
        <w:t>The Part B Glossary definition of Actual Exposure refers exposures for Billing and Capacity Periods determined under G.9.1.14; however, the correct section is G.9.1.12.</w:t>
      </w: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2894713"/>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2894714"/>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4E6FF9" w:rsidRPr="004E6FF9" w:rsidRDefault="004E6FF9" w:rsidP="00D3417D">
      <w:pPr>
        <w:rPr>
          <w:rFonts w:cs="Arial"/>
          <w:lang w:val="en-IE"/>
        </w:rPr>
      </w:pPr>
      <w:bookmarkStart w:id="47" w:name="_Toc334796302"/>
      <w:r w:rsidRPr="004E6FF9">
        <w:rPr>
          <w:rFonts w:cs="Arial"/>
          <w:lang w:val="en-IE"/>
        </w:rPr>
        <w:t>While this proposal does not materially change the approach of any of the affected clauses, it is intended to ensure that there is clarity in the Code by correcting various drafting errors and ensuring that other affected clauses reflect the design intent.</w:t>
      </w:r>
    </w:p>
    <w:p w:rsidR="004E6FF9" w:rsidRPr="004E6FF9" w:rsidRDefault="004E6FF9" w:rsidP="00D3417D">
      <w:pPr>
        <w:rPr>
          <w:rFonts w:cs="Arial"/>
          <w:lang w:val="en-IE"/>
        </w:rPr>
      </w:pPr>
      <w:r w:rsidRPr="004E6FF9">
        <w:rPr>
          <w:rFonts w:cs="Arial"/>
          <w:lang w:val="en-IE"/>
        </w:rPr>
        <w:t>Given the large volume of proposals being progressed at present, along with the large number of housekeeping items which also need to be addressed, it is necessary to consolidate these housekeeping items and address them in a holistic way. This is to minimise the risk of error in the context of multiple changes being required on the same section(s).</w:t>
      </w:r>
    </w:p>
    <w:p w:rsidR="00B173F5" w:rsidRPr="00B173F5" w:rsidRDefault="004E6FF9" w:rsidP="004E6FF9">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r w:rsidRPr="003D3D96">
        <w:rPr>
          <w:b/>
          <w:bCs/>
          <w:caps/>
          <w:smallCaps/>
          <w:color w:val="1F497D"/>
          <w:spacing w:val="5"/>
          <w:sz w:val="22"/>
          <w:szCs w:val="22"/>
          <w:u w:val="single"/>
          <w:lang w:eastAsia="en-GB" w:bidi="ar-SA"/>
        </w:rPr>
        <w:t xml:space="preserve"> </w:t>
      </w:r>
      <w:bookmarkStart w:id="48" w:name="_Toc522894715"/>
      <w:r w:rsidR="00E41097" w:rsidRPr="003D3D96">
        <w:rPr>
          <w:b/>
          <w:bCs/>
          <w:caps/>
          <w:smallCaps/>
          <w:color w:val="1F497D"/>
          <w:spacing w:val="5"/>
          <w:sz w:val="22"/>
          <w:szCs w:val="22"/>
          <w:u w:val="single"/>
          <w:lang w:eastAsia="en-GB" w:bidi="ar-SA"/>
        </w:rPr>
        <w:t>3B.) Impact of not Implementing a Solution</w:t>
      </w:r>
      <w:bookmarkEnd w:id="47"/>
      <w:bookmarkEnd w:id="48"/>
    </w:p>
    <w:p w:rsidR="004E6FF9" w:rsidRPr="00D3417D" w:rsidRDefault="004E6FF9" w:rsidP="00C7516F">
      <w:pPr>
        <w:overflowPunct w:val="0"/>
        <w:autoSpaceDE w:val="0"/>
        <w:autoSpaceDN w:val="0"/>
        <w:adjustRightInd w:val="0"/>
        <w:spacing w:before="0" w:after="0" w:line="240" w:lineRule="auto"/>
        <w:textAlignment w:val="baseline"/>
        <w:rPr>
          <w:rFonts w:cs="Arial"/>
          <w:lang w:val="en-IE" w:eastAsia="en-GB" w:bidi="ar-SA"/>
        </w:rPr>
      </w:pPr>
      <w:bookmarkStart w:id="49" w:name="_Toc334796303"/>
    </w:p>
    <w:p w:rsidR="004E6FF9" w:rsidRPr="00D3417D" w:rsidRDefault="004E6FF9" w:rsidP="00C7516F">
      <w:pPr>
        <w:overflowPunct w:val="0"/>
        <w:autoSpaceDE w:val="0"/>
        <w:autoSpaceDN w:val="0"/>
        <w:adjustRightInd w:val="0"/>
        <w:spacing w:before="0" w:after="0" w:line="240" w:lineRule="auto"/>
        <w:textAlignment w:val="baseline"/>
        <w:rPr>
          <w:rFonts w:cs="Arial"/>
          <w:lang w:val="en-IE" w:eastAsia="en-GB" w:bidi="ar-SA"/>
        </w:rPr>
      </w:pPr>
      <w:r w:rsidRPr="00D3417D">
        <w:rPr>
          <w:rFonts w:cs="Arial"/>
          <w:lang w:val="en-IE"/>
        </w:rPr>
        <w:t>No Impacts Anticipated</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2894716"/>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01752F" w:rsidRPr="0001752F" w:rsidRDefault="0001752F" w:rsidP="0001752F">
      <w:pPr>
        <w:pStyle w:val="ListParagraph"/>
        <w:numPr>
          <w:ilvl w:val="0"/>
          <w:numId w:val="12"/>
        </w:numPr>
        <w:tabs>
          <w:tab w:val="left" w:pos="900"/>
        </w:tabs>
        <w:spacing w:before="120" w:after="120" w:line="240" w:lineRule="auto"/>
        <w:jc w:val="both"/>
        <w:rPr>
          <w:vanish/>
          <w:color w:val="000000"/>
          <w:sz w:val="22"/>
          <w:szCs w:val="24"/>
          <w:lang w:bidi="ar-SA"/>
        </w:rPr>
      </w:pPr>
    </w:p>
    <w:p w:rsidR="004E6FF9" w:rsidRPr="00D3417D" w:rsidRDefault="004E6FF9" w:rsidP="004E6FF9">
      <w:pPr>
        <w:pStyle w:val="CERLEVEL5"/>
        <w:numPr>
          <w:ilvl w:val="4"/>
          <w:numId w:val="0"/>
        </w:numPr>
        <w:ind w:left="1701" w:hanging="709"/>
        <w:rPr>
          <w:sz w:val="20"/>
          <w:szCs w:val="20"/>
          <w:lang w:val="en-IE"/>
        </w:rPr>
      </w:pPr>
      <w:r w:rsidRPr="00D3417D">
        <w:rPr>
          <w:sz w:val="20"/>
          <w:szCs w:val="20"/>
          <w:lang w:val="en-IE"/>
        </w:rPr>
        <w:t xml:space="preserve">to provide transparency in the operation of the Single Electricity Market; </w:t>
      </w:r>
    </w:p>
    <w:p w:rsidR="00B74EB5" w:rsidRPr="003D3D96" w:rsidRDefault="004E6FF9" w:rsidP="004E6FF9">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r w:rsidRPr="003D3D96">
        <w:rPr>
          <w:b/>
          <w:bCs/>
          <w:caps/>
          <w:color w:val="FFFFFF"/>
          <w:spacing w:val="15"/>
          <w:sz w:val="22"/>
          <w:szCs w:val="22"/>
          <w:lang w:eastAsia="en-GB" w:bidi="ar-SA"/>
        </w:rPr>
        <w:t xml:space="preserve"> </w:t>
      </w:r>
      <w:bookmarkStart w:id="59" w:name="_Toc522894717"/>
      <w:r w:rsidR="00B74EB5"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22894718"/>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22894719"/>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01752F" w:rsidRPr="00DD5D93" w:rsidRDefault="00DD5D93" w:rsidP="00DD5D93">
      <w:pPr>
        <w:jc w:val="both"/>
      </w:pPr>
      <w:r w:rsidRPr="003D3D96">
        <w:t>N/A</w:t>
      </w:r>
    </w:p>
    <w:p w:rsidR="00425E05" w:rsidRPr="003D3D96" w:rsidRDefault="00425E05" w:rsidP="00AD60CD">
      <w:pPr>
        <w:pStyle w:val="Heading1"/>
        <w:pageBreakBefore w:val="0"/>
        <w:numPr>
          <w:ilvl w:val="0"/>
          <w:numId w:val="12"/>
        </w:numPr>
        <w:rPr>
          <w:lang w:eastAsia="en-GB"/>
        </w:rPr>
      </w:pPr>
      <w:bookmarkStart w:id="74" w:name="_Toc522894720"/>
      <w:r w:rsidRPr="003D3D96">
        <w:rPr>
          <w:lang w:eastAsia="en-GB"/>
        </w:rPr>
        <w:t>Impact on other Codes/Documents</w:t>
      </w:r>
      <w:bookmarkEnd w:id="68"/>
      <w:bookmarkEnd w:id="69"/>
      <w:bookmarkEnd w:id="70"/>
      <w:bookmarkEnd w:id="71"/>
      <w:bookmarkEnd w:id="72"/>
      <w:bookmarkEnd w:id="73"/>
      <w:bookmarkEnd w:id="74"/>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22894721"/>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22894722"/>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C7516F">
        <w:rPr>
          <w:b/>
          <w:bCs/>
          <w:smallCaps/>
          <w:color w:val="1F497D"/>
          <w:spacing w:val="5"/>
          <w:u w:val="single"/>
        </w:rPr>
        <w:t>84 – 21 June</w:t>
      </w:r>
      <w:r w:rsidR="002C1586">
        <w:rPr>
          <w:b/>
          <w:bCs/>
          <w:smallCaps/>
          <w:color w:val="1F497D"/>
          <w:spacing w:val="5"/>
          <w:u w:val="single"/>
        </w:rPr>
        <w:t xml:space="preserve"> 2018</w:t>
      </w:r>
      <w:bookmarkEnd w:id="82"/>
    </w:p>
    <w:p w:rsidR="004E6FF9" w:rsidRDefault="004E6FF9" w:rsidP="00D3417D">
      <w:pPr>
        <w:pStyle w:val="Bullet1"/>
        <w:numPr>
          <w:ilvl w:val="0"/>
          <w:numId w:val="0"/>
        </w:numPr>
        <w:spacing w:before="0" w:after="0"/>
        <w:ind w:left="360" w:hanging="360"/>
        <w:jc w:val="both"/>
      </w:pPr>
      <w:r>
        <w:t xml:space="preserve">Proposer </w:t>
      </w:r>
      <w:r w:rsidRPr="00386760">
        <w:t xml:space="preserve">delivered a </w:t>
      </w:r>
      <w:hyperlink r:id="rId11" w:history="1">
        <w:r w:rsidRPr="003C0450">
          <w:rPr>
            <w:rStyle w:val="Hyperlink"/>
          </w:rPr>
          <w:t>presentation</w:t>
        </w:r>
      </w:hyperlink>
      <w:r w:rsidRPr="00386760">
        <w:t xml:space="preserve"> </w:t>
      </w:r>
      <w:r>
        <w:t xml:space="preserve">going into detail on the various changes required. The proposal </w:t>
      </w:r>
    </w:p>
    <w:p w:rsidR="004E6FF9" w:rsidRDefault="004E6FF9" w:rsidP="00D3417D">
      <w:pPr>
        <w:pStyle w:val="Bullet1"/>
        <w:numPr>
          <w:ilvl w:val="0"/>
          <w:numId w:val="0"/>
        </w:numPr>
        <w:spacing w:before="0" w:after="0"/>
        <w:ind w:left="360" w:hanging="360"/>
        <w:jc w:val="both"/>
      </w:pPr>
      <w:r>
        <w:t xml:space="preserve">covers </w:t>
      </w:r>
    </w:p>
    <w:p w:rsidR="004E6FF9" w:rsidRDefault="004E6FF9" w:rsidP="00D3417D">
      <w:pPr>
        <w:pStyle w:val="Bullet1"/>
        <w:numPr>
          <w:ilvl w:val="0"/>
          <w:numId w:val="0"/>
        </w:numPr>
        <w:spacing w:before="0" w:after="0"/>
        <w:ind w:left="360" w:hanging="360"/>
      </w:pPr>
      <w:r>
        <w:t>the following areas :</w:t>
      </w:r>
    </w:p>
    <w:p w:rsidR="004E6FF9" w:rsidRDefault="004E6FF9" w:rsidP="00D3417D">
      <w:pPr>
        <w:pStyle w:val="Bullet1"/>
        <w:numPr>
          <w:ilvl w:val="0"/>
          <w:numId w:val="38"/>
        </w:numPr>
        <w:spacing w:before="0" w:after="0"/>
      </w:pPr>
      <w:r>
        <w:t>Incorrect references</w:t>
      </w:r>
    </w:p>
    <w:p w:rsidR="004E6FF9" w:rsidRDefault="004E6FF9" w:rsidP="00D3417D">
      <w:pPr>
        <w:pStyle w:val="Bullet1"/>
        <w:numPr>
          <w:ilvl w:val="0"/>
          <w:numId w:val="38"/>
        </w:numPr>
        <w:spacing w:before="0" w:after="0"/>
      </w:pPr>
      <w:r>
        <w:t>Variable errors</w:t>
      </w:r>
    </w:p>
    <w:p w:rsidR="004E6FF9" w:rsidRDefault="004E6FF9" w:rsidP="00D3417D">
      <w:pPr>
        <w:pStyle w:val="Bullet1"/>
        <w:numPr>
          <w:ilvl w:val="0"/>
          <w:numId w:val="38"/>
        </w:numPr>
        <w:spacing w:before="0" w:after="0"/>
      </w:pPr>
      <w:r>
        <w:t>Typographical errors</w:t>
      </w:r>
    </w:p>
    <w:p w:rsidR="004E6FF9" w:rsidRDefault="004E6FF9" w:rsidP="00D3417D">
      <w:pPr>
        <w:pStyle w:val="Bullet1"/>
        <w:numPr>
          <w:ilvl w:val="0"/>
          <w:numId w:val="38"/>
        </w:numPr>
        <w:spacing w:before="0" w:after="0"/>
      </w:pPr>
      <w:r>
        <w:t>Drafting errors</w:t>
      </w:r>
    </w:p>
    <w:p w:rsidR="004E6FF9" w:rsidRDefault="004E6FF9" w:rsidP="00D3417D">
      <w:pPr>
        <w:pStyle w:val="Bullet1"/>
        <w:numPr>
          <w:ilvl w:val="0"/>
          <w:numId w:val="0"/>
        </w:numPr>
        <w:spacing w:before="0" w:after="0"/>
        <w:ind w:left="360" w:hanging="360"/>
      </w:pPr>
      <w:r>
        <w:t>Proposer advised that he had considered the various proposals already raised and those currently</w:t>
      </w:r>
    </w:p>
    <w:p w:rsidR="004E6FF9" w:rsidRDefault="004E6FF9" w:rsidP="00D3417D">
      <w:pPr>
        <w:pStyle w:val="Bullet1"/>
        <w:numPr>
          <w:ilvl w:val="0"/>
          <w:numId w:val="0"/>
        </w:numPr>
        <w:spacing w:before="0" w:after="0"/>
        <w:ind w:left="360" w:hanging="360"/>
      </w:pPr>
      <w:r>
        <w:t>Effective on the baseline when drafting this proposal and had used the latest legal drafting including</w:t>
      </w:r>
    </w:p>
    <w:p w:rsidR="004E6FF9" w:rsidRDefault="004E6FF9" w:rsidP="00D3417D">
      <w:pPr>
        <w:pStyle w:val="Bullet1"/>
        <w:numPr>
          <w:ilvl w:val="0"/>
          <w:numId w:val="0"/>
        </w:numPr>
        <w:spacing w:before="0" w:after="0"/>
        <w:ind w:left="360" w:hanging="360"/>
      </w:pPr>
      <w:r>
        <w:t>changes for proposals already recommended for approval or implemented. Proposer also highlighted</w:t>
      </w:r>
    </w:p>
    <w:p w:rsidR="004E6FF9" w:rsidRDefault="004E6FF9" w:rsidP="00D3417D">
      <w:pPr>
        <w:pStyle w:val="Bullet1"/>
        <w:numPr>
          <w:ilvl w:val="0"/>
          <w:numId w:val="0"/>
        </w:numPr>
        <w:spacing w:before="0" w:after="0"/>
        <w:ind w:left="360" w:hanging="360"/>
      </w:pPr>
      <w:r>
        <w:t xml:space="preserve">three more significant items contained within the proposal. A question was raised in relation to one of </w:t>
      </w:r>
    </w:p>
    <w:p w:rsidR="004E6FF9" w:rsidRDefault="004E6FF9" w:rsidP="00D3417D">
      <w:pPr>
        <w:pStyle w:val="Bullet1"/>
        <w:numPr>
          <w:ilvl w:val="0"/>
          <w:numId w:val="0"/>
        </w:numPr>
        <w:spacing w:before="0" w:after="0"/>
        <w:ind w:left="360" w:hanging="360"/>
      </w:pPr>
      <w:r>
        <w:t xml:space="preserve">the more significant items which amended the granularity of Physical Notification submissions to </w:t>
      </w:r>
    </w:p>
    <w:p w:rsidR="004E6FF9" w:rsidRDefault="004E6FF9" w:rsidP="00D3417D">
      <w:pPr>
        <w:pStyle w:val="Bullet1"/>
        <w:numPr>
          <w:ilvl w:val="0"/>
          <w:numId w:val="0"/>
        </w:numPr>
        <w:spacing w:before="0" w:after="0"/>
        <w:ind w:left="360" w:hanging="360"/>
      </w:pPr>
      <w:r>
        <w:t>clarify that only a subset of units should be affected. Observer confirmed that this was already</w:t>
      </w:r>
    </w:p>
    <w:p w:rsidR="004E6FF9" w:rsidRDefault="004E6FF9" w:rsidP="00D3417D">
      <w:pPr>
        <w:pStyle w:val="Bullet1"/>
        <w:numPr>
          <w:ilvl w:val="0"/>
          <w:numId w:val="0"/>
        </w:numPr>
        <w:spacing w:before="0" w:after="0"/>
        <w:ind w:left="360" w:hanging="360"/>
      </w:pPr>
      <w:r>
        <w:t>captured as the</w:t>
      </w:r>
      <w:r w:rsidR="00817F44">
        <w:t xml:space="preserve"> </w:t>
      </w:r>
      <w:r>
        <w:t>amended sub paragraph only relates to that subset of units.</w:t>
      </w:r>
    </w:p>
    <w:p w:rsidR="004E6FF9" w:rsidRDefault="004E6FF9" w:rsidP="00D3417D">
      <w:pPr>
        <w:pStyle w:val="Bullet1"/>
        <w:numPr>
          <w:ilvl w:val="0"/>
          <w:numId w:val="0"/>
        </w:numPr>
        <w:spacing w:before="0" w:after="0"/>
        <w:ind w:left="360" w:hanging="360"/>
      </w:pPr>
    </w:p>
    <w:p w:rsidR="004E6FF9" w:rsidRDefault="004E6FF9" w:rsidP="00D3417D">
      <w:pPr>
        <w:pStyle w:val="Bullet1"/>
        <w:numPr>
          <w:ilvl w:val="0"/>
          <w:numId w:val="0"/>
        </w:numPr>
        <w:spacing w:before="0" w:after="0"/>
        <w:ind w:left="360" w:hanging="360"/>
      </w:pPr>
      <w:r>
        <w:t>Proposer noted an additional error not captured in the proposal whereby the definition of Demand</w:t>
      </w:r>
    </w:p>
    <w:p w:rsidR="004E6FF9" w:rsidRDefault="004E6FF9" w:rsidP="00D3417D">
      <w:pPr>
        <w:pStyle w:val="Bullet1"/>
        <w:numPr>
          <w:ilvl w:val="0"/>
          <w:numId w:val="0"/>
        </w:numPr>
        <w:spacing w:before="0" w:after="0"/>
        <w:ind w:left="360" w:hanging="360"/>
      </w:pPr>
      <w:r>
        <w:t xml:space="preserve">Side Non-Delivery Percentage refers to </w:t>
      </w:r>
      <w:r w:rsidRPr="00E50F64">
        <w:t>Demand Site Non</w:t>
      </w:r>
      <w:r>
        <w:t>-Delivery Percentage in error. It was agreed</w:t>
      </w:r>
    </w:p>
    <w:p w:rsidR="004E6FF9" w:rsidRDefault="00853AB1" w:rsidP="00D3417D">
      <w:pPr>
        <w:pStyle w:val="Bullet1"/>
        <w:numPr>
          <w:ilvl w:val="0"/>
          <w:numId w:val="0"/>
        </w:numPr>
        <w:spacing w:before="0" w:after="0"/>
        <w:ind w:left="360" w:hanging="360"/>
      </w:pPr>
      <w:r>
        <w:t>t</w:t>
      </w:r>
      <w:r w:rsidR="004E6FF9">
        <w:t>hat this should be corrected in the FRR.</w:t>
      </w:r>
    </w:p>
    <w:p w:rsidR="004E6FF9" w:rsidRDefault="004E6FF9" w:rsidP="00D3417D">
      <w:pPr>
        <w:pStyle w:val="Bullet1"/>
        <w:numPr>
          <w:ilvl w:val="0"/>
          <w:numId w:val="0"/>
        </w:numPr>
        <w:ind w:left="360" w:hanging="360"/>
        <w:rPr>
          <w:lang w:val="en-IE"/>
        </w:rPr>
      </w:pPr>
    </w:p>
    <w:p w:rsidR="004E6FF9" w:rsidRPr="00F1331A" w:rsidRDefault="004E6FF9" w:rsidP="00D3417D">
      <w:pPr>
        <w:pStyle w:val="Bullet1"/>
        <w:numPr>
          <w:ilvl w:val="0"/>
          <w:numId w:val="0"/>
        </w:numPr>
        <w:rPr>
          <w:lang w:val="en-IE"/>
        </w:rPr>
      </w:pPr>
      <w:r>
        <w:t>Committee were in agreement to vote on this proposal subject to legal drafting.</w:t>
      </w:r>
    </w:p>
    <w:p w:rsidR="0032219B" w:rsidRPr="003D3D96" w:rsidRDefault="0032219B" w:rsidP="004E6FF9">
      <w:pPr>
        <w:rPr>
          <w:lang w:eastAsia="en-GB"/>
        </w:rPr>
      </w:pPr>
    </w:p>
    <w:p w:rsidR="001D05B9" w:rsidRPr="00DD5D93" w:rsidRDefault="00425E05" w:rsidP="00AD60CD">
      <w:pPr>
        <w:pStyle w:val="Heading1"/>
        <w:pageBreakBefore w:val="0"/>
        <w:numPr>
          <w:ilvl w:val="0"/>
          <w:numId w:val="12"/>
        </w:numPr>
        <w:rPr>
          <w:lang w:eastAsia="en-GB"/>
        </w:rPr>
      </w:pPr>
      <w:bookmarkStart w:id="89" w:name="_Toc522894723"/>
      <w:r w:rsidRPr="00DD5D93">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9A0525" w:rsidRDefault="00815087" w:rsidP="009A0525">
      <w:pPr>
        <w:pStyle w:val="Bullet1"/>
        <w:numPr>
          <w:ilvl w:val="0"/>
          <w:numId w:val="0"/>
        </w:numPr>
        <w:spacing w:before="0" w:after="0"/>
      </w:pPr>
      <w:r w:rsidRPr="009A0525">
        <w:t>As set out in Appendix 1.</w:t>
      </w:r>
      <w:r w:rsidR="009A0525">
        <w:t xml:space="preserve"> </w:t>
      </w:r>
    </w:p>
    <w:p w:rsidR="009A0525" w:rsidRDefault="009A0525" w:rsidP="009A0525">
      <w:pPr>
        <w:pStyle w:val="Bullet1"/>
        <w:numPr>
          <w:ilvl w:val="0"/>
          <w:numId w:val="0"/>
        </w:numPr>
        <w:spacing w:before="0" w:after="0"/>
      </w:pPr>
    </w:p>
    <w:p w:rsidR="00815087" w:rsidRPr="00815087" w:rsidRDefault="009A0525" w:rsidP="009A0525">
      <w:pPr>
        <w:pStyle w:val="Bullet1"/>
        <w:numPr>
          <w:ilvl w:val="0"/>
          <w:numId w:val="0"/>
        </w:numPr>
        <w:spacing w:before="0" w:after="0"/>
      </w:pPr>
      <w:r>
        <w:t xml:space="preserve">Note that the reference in the minutes to an additional error not captured in the proposal (whereby the definition of Demand Side Non-Delivery Percentage refers to </w:t>
      </w:r>
      <w:r w:rsidRPr="00E50F64">
        <w:t>Demand Site Non</w:t>
      </w:r>
      <w:r>
        <w:t>-Delivery Percentage in error) is already captured in the legal drafting in the proposal form/Appendix 1 but rather had not been captured in the proposal explanation.</w:t>
      </w:r>
    </w:p>
    <w:p w:rsidR="00132649" w:rsidRPr="00DD5D93" w:rsidRDefault="00132649" w:rsidP="00AD60CD">
      <w:pPr>
        <w:pStyle w:val="Heading1"/>
        <w:pageBreakBefore w:val="0"/>
        <w:numPr>
          <w:ilvl w:val="0"/>
          <w:numId w:val="12"/>
        </w:numPr>
        <w:rPr>
          <w:bCs w:val="0"/>
          <w:smallCaps/>
          <w:lang w:eastAsia="en-GB"/>
        </w:rPr>
      </w:pPr>
      <w:bookmarkStart w:id="97" w:name="_Toc522894724"/>
      <w:r w:rsidRPr="00DD5D93">
        <w:rPr>
          <w:bCs w:val="0"/>
          <w:smallCaps/>
          <w:lang w:eastAsia="en-GB"/>
        </w:rPr>
        <w:t>LEGAL REVIEW</w:t>
      </w:r>
      <w:bookmarkEnd w:id="90"/>
      <w:bookmarkEnd w:id="91"/>
      <w:bookmarkEnd w:id="92"/>
      <w:bookmarkEnd w:id="93"/>
      <w:bookmarkEnd w:id="94"/>
      <w:bookmarkEnd w:id="95"/>
      <w:bookmarkEnd w:id="96"/>
      <w:bookmarkEnd w:id="97"/>
    </w:p>
    <w:p w:rsidR="00E27EE5" w:rsidRPr="003D3D96" w:rsidRDefault="00AD60CD" w:rsidP="009C65C6">
      <w:pPr>
        <w:pStyle w:val="Bullet1"/>
        <w:numPr>
          <w:ilvl w:val="0"/>
          <w:numId w:val="0"/>
        </w:numPr>
        <w:jc w:val="both"/>
        <w:rPr>
          <w:color w:val="000000"/>
        </w:rPr>
      </w:pPr>
      <w:r w:rsidRPr="00CB7A1B">
        <w:rPr>
          <w:color w:val="000000"/>
        </w:rPr>
        <w:t>N/A</w:t>
      </w:r>
    </w:p>
    <w:p w:rsidR="005726DA" w:rsidRDefault="00C32CED" w:rsidP="00AD60CD">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522894725"/>
      <w:r w:rsidRPr="003D3D96">
        <w:rPr>
          <w:lang w:eastAsia="en-GB"/>
        </w:rPr>
        <w:lastRenderedPageBreak/>
        <w:t>IMPLEMENTATION TIMESCALE</w:t>
      </w:r>
      <w:bookmarkEnd w:id="98"/>
      <w:bookmarkEnd w:id="99"/>
      <w:bookmarkEnd w:id="100"/>
      <w:bookmarkEnd w:id="101"/>
      <w:bookmarkEnd w:id="102"/>
      <w:bookmarkEnd w:id="103"/>
      <w:bookmarkEnd w:id="104"/>
    </w:p>
    <w:p w:rsidR="005D24D6" w:rsidRPr="005D24D6" w:rsidRDefault="005D24D6" w:rsidP="005D24D6">
      <w:pPr>
        <w:jc w:val="both"/>
        <w:rPr>
          <w:rFonts w:cs="Arial"/>
          <w:color w:val="000000"/>
        </w:rPr>
      </w:pPr>
      <w:r w:rsidRPr="005D24D6">
        <w:rPr>
          <w:rFonts w:cs="Arial"/>
          <w:color w:val="000000"/>
        </w:rPr>
        <w:t xml:space="preserve">It is proposed that this Modification is implemented on a Trading Day basis with effect from one Working Day after an RA Decision. </w:t>
      </w:r>
    </w:p>
    <w:p w:rsidR="00F56BDB" w:rsidRDefault="00F56BDB" w:rsidP="00A51956">
      <w:pPr>
        <w:pStyle w:val="Heading1"/>
        <w:pBdr>
          <w:right w:val="single" w:sz="24" w:space="29" w:color="4F81BD"/>
        </w:pBdr>
        <w:rPr>
          <w:lang w:eastAsia="en-GB"/>
        </w:rPr>
      </w:pPr>
      <w:bookmarkStart w:id="105" w:name="_Toc359934986"/>
      <w:bookmarkStart w:id="106" w:name="_Toc380138275"/>
      <w:bookmarkStart w:id="107" w:name="_Toc472669023"/>
      <w:bookmarkStart w:id="108" w:name="_Toc522894726"/>
      <w:r w:rsidRPr="003B0E38">
        <w:rPr>
          <w:lang w:eastAsia="en-GB"/>
        </w:rPr>
        <w:lastRenderedPageBreak/>
        <w:t xml:space="preserve">Appendix 1: </w:t>
      </w:r>
      <w:bookmarkEnd w:id="105"/>
      <w:bookmarkEnd w:id="106"/>
      <w:r w:rsidRPr="00E45BBF">
        <w:rPr>
          <w:lang w:eastAsia="en-GB"/>
        </w:rPr>
        <w:t>Mod_</w:t>
      </w:r>
      <w:bookmarkEnd w:id="107"/>
      <w:r w:rsidR="00A51956">
        <w:rPr>
          <w:lang w:eastAsia="en-GB"/>
        </w:rPr>
        <w:t>19_18 Part B Housekeeping</w:t>
      </w:r>
      <w:bookmarkEnd w:id="10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1041"/>
        <w:gridCol w:w="1501"/>
        <w:gridCol w:w="1527"/>
        <w:gridCol w:w="1420"/>
        <w:gridCol w:w="2001"/>
      </w:tblGrid>
      <w:tr w:rsidR="00C7516F" w:rsidRPr="00C7516F" w:rsidTr="00A51956">
        <w:tc>
          <w:tcPr>
            <w:tcW w:w="9747" w:type="dxa"/>
            <w:gridSpan w:val="6"/>
            <w:shd w:val="clear" w:color="auto" w:fill="548DD4"/>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b/>
                <w:lang w:val="en-IE" w:eastAsia="en-GB" w:bidi="ar-SA"/>
              </w:rPr>
              <w:t>MODIFICATION PROPOSAL FORM</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p>
        </w:tc>
      </w:tr>
      <w:tr w:rsidR="00C7516F" w:rsidRPr="00C7516F" w:rsidTr="00A51956">
        <w:tc>
          <w:tcPr>
            <w:tcW w:w="2257" w:type="dxa"/>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cs="Arial"/>
                <w:b/>
                <w:bCs/>
                <w:sz w:val="18"/>
                <w:szCs w:val="18"/>
                <w:lang w:val="en-IE" w:eastAsia="en-GB" w:bidi="ar-SA"/>
              </w:rPr>
            </w:pPr>
            <w:r w:rsidRPr="00C7516F">
              <w:rPr>
                <w:rFonts w:cs="Arial"/>
                <w:b/>
                <w:bCs/>
                <w:sz w:val="18"/>
                <w:szCs w:val="18"/>
                <w:lang w:val="en-IE" w:eastAsia="en-GB" w:bidi="ar-SA"/>
              </w:rPr>
              <w:t>Proposer</w:t>
            </w:r>
          </w:p>
          <w:p w:rsidR="00C7516F" w:rsidRPr="00C7516F" w:rsidRDefault="00C7516F" w:rsidP="00C7516F">
            <w:pPr>
              <w:overflowPunct w:val="0"/>
              <w:autoSpaceDE w:val="0"/>
              <w:autoSpaceDN w:val="0"/>
              <w:adjustRightInd w:val="0"/>
              <w:spacing w:before="0" w:after="0" w:line="240" w:lineRule="auto"/>
              <w:jc w:val="center"/>
              <w:textAlignment w:val="baseline"/>
              <w:rPr>
                <w:rFonts w:cs="Arial"/>
                <w:sz w:val="18"/>
                <w:szCs w:val="18"/>
                <w:lang w:val="en-IE" w:eastAsia="en-GB" w:bidi="ar-SA"/>
              </w:rPr>
            </w:pPr>
            <w:r w:rsidRPr="00C7516F">
              <w:rPr>
                <w:rFonts w:ascii="Calibri" w:hAnsi="Calibri" w:cs="Arial"/>
                <w:i/>
                <w:lang w:val="en-IE" w:eastAsia="en-GB" w:bidi="ar-SA"/>
              </w:rPr>
              <w:t>(Company)</w:t>
            </w:r>
          </w:p>
        </w:tc>
        <w:tc>
          <w:tcPr>
            <w:tcW w:w="2542"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t>Date of receipt</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i/>
                <w:lang w:val="en-IE" w:eastAsia="en-GB" w:bidi="ar-SA"/>
              </w:rPr>
              <w:t>(assigned by Secretariat)</w:t>
            </w:r>
          </w:p>
        </w:tc>
        <w:tc>
          <w:tcPr>
            <w:tcW w:w="2947"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t>Type of Proposal</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bCs/>
                <w:i/>
                <w:lang w:val="en-IE" w:eastAsia="en-GB" w:bidi="ar-SA"/>
              </w:rPr>
              <w:t>(delete as appropriate)</w:t>
            </w:r>
          </w:p>
        </w:tc>
        <w:tc>
          <w:tcPr>
            <w:tcW w:w="2001" w:type="dxa"/>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color w:val="000000"/>
                <w:lang w:val="en-IE" w:eastAsia="en-GB" w:bidi="ar-SA"/>
              </w:rPr>
            </w:pPr>
            <w:r w:rsidRPr="00C7516F">
              <w:rPr>
                <w:rFonts w:ascii="Calibri" w:hAnsi="Calibri" w:cs="Arial"/>
                <w:b/>
                <w:bCs/>
                <w:color w:val="000000"/>
                <w:lang w:val="en-IE" w:eastAsia="en-GB" w:bidi="ar-SA"/>
              </w:rPr>
              <w:t>Modification Proposal ID</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i/>
                <w:lang w:val="en-IE" w:eastAsia="en-GB" w:bidi="ar-SA"/>
              </w:rPr>
              <w:t>(assigned by Secretariat)</w:t>
            </w:r>
          </w:p>
        </w:tc>
      </w:tr>
      <w:tr w:rsidR="00C7516F" w:rsidRPr="00C7516F" w:rsidTr="00A51956">
        <w:tc>
          <w:tcPr>
            <w:tcW w:w="2257" w:type="dxa"/>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SEMO</w:t>
            </w:r>
          </w:p>
        </w:tc>
        <w:tc>
          <w:tcPr>
            <w:tcW w:w="2542"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07 June 2018</w:t>
            </w:r>
          </w:p>
        </w:tc>
        <w:tc>
          <w:tcPr>
            <w:tcW w:w="2947"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Standard</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p>
        </w:tc>
        <w:tc>
          <w:tcPr>
            <w:tcW w:w="2001" w:type="dxa"/>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Mod_19_18</w:t>
            </w:r>
          </w:p>
        </w:tc>
      </w:tr>
      <w:tr w:rsidR="00C7516F" w:rsidRPr="00C7516F" w:rsidTr="00A51956">
        <w:trPr>
          <w:trHeight w:val="467"/>
        </w:trPr>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b/>
                <w:bCs/>
                <w:lang w:val="en-IE" w:eastAsia="en-GB" w:bidi="ar-SA"/>
              </w:rPr>
              <w:t>Contact Details for Modification Proposal Originator</w:t>
            </w:r>
          </w:p>
        </w:tc>
      </w:tr>
      <w:tr w:rsidR="00C7516F" w:rsidRPr="00C7516F" w:rsidTr="00A51956">
        <w:tc>
          <w:tcPr>
            <w:tcW w:w="3298"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b/>
                <w:bCs/>
                <w:lang w:val="en-IE" w:eastAsia="en-GB" w:bidi="ar-SA"/>
              </w:rPr>
              <w:t>Name</w:t>
            </w:r>
          </w:p>
        </w:tc>
        <w:tc>
          <w:tcPr>
            <w:tcW w:w="3028"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b/>
                <w:bCs/>
                <w:lang w:val="en-IE" w:eastAsia="en-GB" w:bidi="ar-SA"/>
              </w:rPr>
              <w:t>Telephone number</w:t>
            </w:r>
          </w:p>
        </w:tc>
        <w:tc>
          <w:tcPr>
            <w:tcW w:w="3421"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b/>
                <w:bCs/>
                <w:lang w:val="en-IE" w:eastAsia="en-GB" w:bidi="ar-SA"/>
              </w:rPr>
              <w:t>Email address</w:t>
            </w:r>
          </w:p>
        </w:tc>
      </w:tr>
      <w:tr w:rsidR="00C7516F" w:rsidRPr="00C7516F" w:rsidTr="00A51956">
        <w:tc>
          <w:tcPr>
            <w:tcW w:w="3298" w:type="dxa"/>
            <w:gridSpan w:val="2"/>
            <w:vAlign w:val="center"/>
          </w:tcPr>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lang w:val="en-IE" w:eastAsia="en-GB" w:bidi="ar-SA"/>
              </w:rPr>
            </w:pPr>
            <w:r w:rsidRPr="00C7516F">
              <w:rPr>
                <w:rFonts w:ascii="Calibri" w:hAnsi="Calibri" w:cs="Arial"/>
                <w:b/>
                <w:lang w:val="en-IE" w:eastAsia="en-GB" w:bidi="ar-SA"/>
              </w:rPr>
              <w:t>Christopher Goodman</w:t>
            </w:r>
          </w:p>
        </w:tc>
        <w:tc>
          <w:tcPr>
            <w:tcW w:w="3028" w:type="dxa"/>
            <w:gridSpan w:val="2"/>
            <w:vAlign w:val="center"/>
          </w:tcPr>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lang w:val="en-IE" w:eastAsia="en-GB" w:bidi="ar-SA"/>
              </w:rPr>
            </w:pPr>
          </w:p>
        </w:tc>
        <w:tc>
          <w:tcPr>
            <w:tcW w:w="3421" w:type="dxa"/>
            <w:gridSpan w:val="2"/>
            <w:vAlign w:val="center"/>
          </w:tcPr>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lang w:val="en-IE" w:eastAsia="en-GB" w:bidi="ar-SA"/>
              </w:rPr>
            </w:pPr>
            <w:r w:rsidRPr="00C7516F">
              <w:rPr>
                <w:rFonts w:ascii="Calibri" w:hAnsi="Calibri" w:cs="Arial"/>
                <w:b/>
                <w:lang w:val="en-IE" w:eastAsia="en-GB" w:bidi="ar-SA"/>
              </w:rPr>
              <w:t>christopher.goodman@sem-o.com</w:t>
            </w:r>
          </w:p>
        </w:tc>
      </w:tr>
      <w:tr w:rsidR="00C7516F" w:rsidRPr="00C7516F" w:rsidTr="00A51956">
        <w:trPr>
          <w:trHeight w:val="327"/>
        </w:trPr>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t>Modification Proposal Title</w:t>
            </w:r>
          </w:p>
        </w:tc>
      </w:tr>
      <w:tr w:rsidR="00C7516F" w:rsidRPr="00C7516F" w:rsidTr="00A51956">
        <w:trPr>
          <w:trHeight w:val="323"/>
        </w:trPr>
        <w:tc>
          <w:tcPr>
            <w:tcW w:w="9747" w:type="dxa"/>
            <w:gridSpan w:val="6"/>
            <w:vAlign w:val="center"/>
          </w:tcPr>
          <w:p w:rsidR="00C7516F" w:rsidRPr="00C7516F" w:rsidRDefault="00C7516F" w:rsidP="00C7516F">
            <w:pPr>
              <w:overflowPunct w:val="0"/>
              <w:autoSpaceDE w:val="0"/>
              <w:autoSpaceDN w:val="0"/>
              <w:adjustRightInd w:val="0"/>
              <w:spacing w:before="0" w:after="0" w:line="480" w:lineRule="auto"/>
              <w:jc w:val="center"/>
              <w:textAlignment w:val="baseline"/>
              <w:rPr>
                <w:rFonts w:ascii="Calibri" w:hAnsi="Calibri" w:cs="Arial"/>
                <w:b/>
                <w:bCs/>
                <w:color w:val="000000"/>
                <w:lang w:val="en-IE" w:eastAsia="en-GB" w:bidi="ar-SA"/>
              </w:rPr>
            </w:pPr>
            <w:r w:rsidRPr="00C7516F">
              <w:rPr>
                <w:rFonts w:ascii="Calibri" w:hAnsi="Calibri" w:cs="Arial"/>
                <w:b/>
                <w:bCs/>
                <w:color w:val="000000"/>
                <w:lang w:val="en-IE" w:eastAsia="en-GB" w:bidi="ar-SA"/>
              </w:rPr>
              <w:t>Part B Housekeeping 1</w:t>
            </w:r>
          </w:p>
        </w:tc>
      </w:tr>
      <w:tr w:rsidR="00C7516F" w:rsidRPr="00C7516F" w:rsidTr="00A51956">
        <w:tc>
          <w:tcPr>
            <w:tcW w:w="3298" w:type="dxa"/>
            <w:gridSpan w:val="2"/>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t>Documents affected</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i/>
                <w:lang w:val="en-IE" w:eastAsia="en-GB" w:bidi="ar-SA"/>
              </w:rPr>
              <w:t>(delete as appropriate)</w:t>
            </w:r>
          </w:p>
        </w:tc>
        <w:tc>
          <w:tcPr>
            <w:tcW w:w="3028" w:type="dxa"/>
            <w:gridSpan w:val="2"/>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Times New Roman" w:hAnsi="Times New Roman"/>
                <w:b/>
                <w:bCs/>
                <w:i/>
                <w:iCs/>
                <w:color w:val="4F81BD"/>
                <w:lang w:val="en-IE" w:eastAsia="en-GB" w:bidi="ar-SA"/>
              </w:rPr>
            </w:pPr>
            <w:r w:rsidRPr="00C7516F">
              <w:rPr>
                <w:rFonts w:ascii="Calibri" w:hAnsi="Calibri" w:cs="Arial"/>
                <w:b/>
                <w:bCs/>
                <w:lang w:val="en-IE" w:eastAsia="en-GB" w:bidi="ar-SA"/>
              </w:rPr>
              <w:t>Section(s) Affected</w:t>
            </w:r>
          </w:p>
        </w:tc>
        <w:tc>
          <w:tcPr>
            <w:tcW w:w="3421" w:type="dxa"/>
            <w:gridSpan w:val="2"/>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Times New Roman" w:hAnsi="Times New Roman"/>
                <w:b/>
                <w:bCs/>
                <w:i/>
                <w:iCs/>
                <w:color w:val="4F81BD"/>
                <w:lang w:val="en-IE" w:eastAsia="en-GB" w:bidi="ar-SA"/>
              </w:rPr>
            </w:pPr>
            <w:r w:rsidRPr="00C7516F">
              <w:rPr>
                <w:rFonts w:ascii="Calibri" w:hAnsi="Calibri" w:cs="Arial"/>
                <w:b/>
                <w:lang w:val="en-IE" w:eastAsia="en-GB" w:bidi="ar-SA"/>
              </w:rPr>
              <w:t>Version number of T&amp;SC or AP used in Drafting</w:t>
            </w:r>
          </w:p>
        </w:tc>
      </w:tr>
      <w:tr w:rsidR="00C7516F" w:rsidRPr="00C7516F" w:rsidTr="00A51956">
        <w:tc>
          <w:tcPr>
            <w:tcW w:w="3298" w:type="dxa"/>
            <w:gridSpan w:val="2"/>
            <w:shd w:val="clear" w:color="auto" w:fill="FFFFFF"/>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T&amp;SC Part B</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Appendices Part B</w:t>
            </w:r>
          </w:p>
          <w:p w:rsidR="00C7516F" w:rsidRPr="00C7516F" w:rsidDel="00476388"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Glossary Part B</w:t>
            </w:r>
          </w:p>
        </w:tc>
        <w:tc>
          <w:tcPr>
            <w:tcW w:w="3028"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 xml:space="preserve">Part B Sections B, E, F and G </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Part B Appendices E, H and I</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Part B Glossary Definitions and List of Variables and Parameters</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p>
        </w:tc>
        <w:tc>
          <w:tcPr>
            <w:tcW w:w="3421" w:type="dxa"/>
            <w:gridSpan w:val="2"/>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C7516F">
              <w:rPr>
                <w:rFonts w:ascii="Calibri" w:hAnsi="Calibri" w:cs="Arial"/>
                <w:b/>
                <w:lang w:val="en-IE" w:eastAsia="en-GB" w:bidi="ar-SA"/>
              </w:rPr>
              <w:t>Version 20</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p>
        </w:tc>
      </w:tr>
      <w:tr w:rsidR="00C7516F" w:rsidRPr="00C7516F" w:rsidTr="00A51956">
        <w:trPr>
          <w:trHeight w:val="375"/>
        </w:trPr>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t>Explanation of Proposed Change</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i/>
                <w:spacing w:val="-3"/>
                <w:lang w:val="en-IE" w:eastAsia="en-GB" w:bidi="ar-SA"/>
              </w:rPr>
              <w:t>(mandatory by originator)</w:t>
            </w:r>
          </w:p>
        </w:tc>
      </w:tr>
      <w:tr w:rsidR="00C7516F" w:rsidRPr="00C7516F" w:rsidTr="00A51956">
        <w:trPr>
          <w:trHeight w:val="467"/>
        </w:trPr>
        <w:tc>
          <w:tcPr>
            <w:tcW w:w="9747" w:type="dxa"/>
            <w:gridSpan w:val="6"/>
            <w:vAlign w:val="center"/>
          </w:tcPr>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This proposal seeks to address a number of housekeeping items which have been identified since the I-SEM rules were designated. While there are a significant number of these items none of them are changes of approach or to the market design. These items fall broadly under four classifications as follows;</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numPr>
                <w:ilvl w:val="0"/>
                <w:numId w:val="30"/>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Incorrect References – errors in paragraph references likely due to changes in the structure of the Code as drafting progressed</w:t>
            </w:r>
          </w:p>
          <w:p w:rsidR="00C7516F" w:rsidRPr="00C7516F" w:rsidRDefault="00C7516F" w:rsidP="00C7516F">
            <w:pPr>
              <w:numPr>
                <w:ilvl w:val="0"/>
                <w:numId w:val="30"/>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Variable Errors – Variable acronyms with incorrect letters used or incorrect subscripts</w:t>
            </w:r>
          </w:p>
          <w:p w:rsidR="00C7516F" w:rsidRPr="00C7516F" w:rsidRDefault="00C7516F" w:rsidP="00C7516F">
            <w:pPr>
              <w:numPr>
                <w:ilvl w:val="0"/>
                <w:numId w:val="30"/>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Typographical errors – duplicated words, missing words or incorrect capitalisation</w:t>
            </w:r>
          </w:p>
          <w:p w:rsidR="00C7516F" w:rsidRPr="00C7516F" w:rsidRDefault="00C7516F" w:rsidP="00C7516F">
            <w:pPr>
              <w:numPr>
                <w:ilvl w:val="0"/>
                <w:numId w:val="30"/>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Drafting Errors – wording which is either unclear or incorrect</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We would like to note that the proposed change to Physical Notification From MW and To MW Times in Appendix I, corresponding to the start of a half hourly rather than fifteen minute periods (more detail below), is slightly more substantive than the other changes in proposed in this Modification. That said, this is as agreed during the working groups, is reflected in the associated technical documentation and aligns with the approach being taken in trialling activities. This is understood to essentially be a correction of a misunderstanding during rules development. We are not anticipating concerns on this item but if we are mistaken so that the committee wishes this to be removed here and brought as a separate proposal then so be it. We also propose to correct a signage issue for G.14.3.3 similar to that which was corrected for G.14.8.1 in Mod_11_18 and to correct the definition of Demand Side Non-Delivery Percentage(FNDDS) neither of which are changes to existing design decisions but both of which may be considered to be slightly more substantial than the other proposed changes.</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 xml:space="preserve">Note also that the title of ‘Part B Housekeeping </w:t>
            </w:r>
            <w:r w:rsidRPr="00C7516F">
              <w:rPr>
                <w:rFonts w:ascii="Calibri" w:hAnsi="Calibri" w:cs="Arial"/>
                <w:b/>
                <w:u w:val="single"/>
                <w:lang w:val="en-IE" w:eastAsia="en-GB" w:bidi="ar-SA"/>
              </w:rPr>
              <w:t>1</w:t>
            </w:r>
            <w:r w:rsidRPr="00C7516F">
              <w:rPr>
                <w:rFonts w:ascii="Calibri" w:hAnsi="Calibri" w:cs="Arial"/>
                <w:lang w:val="en-IE" w:eastAsia="en-GB" w:bidi="ar-SA"/>
              </w:rPr>
              <w:t>’ does not indicate that there are known housekeeping items that are not being addressed in this proposal but rather acknowledging that there may be other items identified in future that need to be addressed via subsequent proposals.</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lastRenderedPageBreak/>
              <w:t>The specific items which this proposal seeks to address, broadly in the order in which they appear in the Code, noting that there are items collated where they affect multiple paragraphs, are as follows;</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Section B:</w:t>
            </w: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B.8.2.2 refers information submitted by the Scheduling Agent of the Shipping Agent as contemplated by F.2.2.7 whereas this should reference F.2.2.4. This reference moved due to restructuring of the section during Code development but the affected reference was not updated.</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The Defined term Trading Site is used in paragraph B.9.3.2 but the word ‘Site’ was not capitalised to indicate that it is part of a defined term.</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Section E:</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 xml:space="preserve">Paragraph E.3.6.2(b) refers to the Market Back Up Price determined in accordance with section E.4.6 whereas this should reference section E.5. </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Section F:</w:t>
            </w: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F.6.4.4, which details the timing under which a notice from the Regulatory Authorities to the Market Operator to include Trade Opposite TSO Bid and Offer Acceptance Quantities in Premium and Discount Component Payment calculations takes effect, indicates that this takes effect on a Trading Day basis where it is a Settlement Day application.</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F.6.7.9, which details the derivation by the Market Operator of a ranked set of Accepted Bid Quantities for Generator Units, refers the allocation of position numbers</w:t>
            </w:r>
            <w:r w:rsidRPr="00C7516F">
              <w:rPr>
                <w:rFonts w:ascii="Calibri" w:hAnsi="Calibri" w:cs="Arial"/>
                <w:b/>
                <w:u w:val="single"/>
                <w:lang w:val="en-IE" w:eastAsia="en-GB" w:bidi="ar-SA"/>
              </w:rPr>
              <w:t xml:space="preserve"> n</w:t>
            </w:r>
            <w:r w:rsidRPr="00C7516F">
              <w:rPr>
                <w:rFonts w:ascii="Calibri" w:hAnsi="Calibri" w:cs="Arial"/>
                <w:lang w:val="en-IE" w:eastAsia="en-GB" w:bidi="ar-SA"/>
              </w:rPr>
              <w:t xml:space="preserve">=1,2,etc., where this should be </w:t>
            </w:r>
            <w:r w:rsidRPr="00C7516F">
              <w:rPr>
                <w:rFonts w:ascii="Calibri" w:hAnsi="Calibri" w:cs="Arial"/>
                <w:b/>
                <w:u w:val="single"/>
                <w:lang w:val="en-IE" w:eastAsia="en-GB" w:bidi="ar-SA"/>
              </w:rPr>
              <w:t>k</w:t>
            </w:r>
            <w:r w:rsidRPr="00C7516F">
              <w:rPr>
                <w:rFonts w:ascii="Calibri" w:hAnsi="Calibri" w:cs="Arial"/>
                <w:lang w:val="en-IE" w:eastAsia="en-GB" w:bidi="ar-SA"/>
              </w:rPr>
              <w:t xml:space="preserve">=1,2,etc. to align with the nomenclature for the same term in other paragraphs. </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 xml:space="preserve">Paragraph F.15.2.4, which details the entitlement of the Market Operator to propose revisions to the terms value, refers to the ‘Currency </w:t>
            </w:r>
            <w:r w:rsidRPr="00C7516F">
              <w:rPr>
                <w:rFonts w:ascii="Calibri" w:hAnsi="Calibri" w:cs="Arial"/>
                <w:b/>
                <w:u w:val="single"/>
                <w:lang w:val="en-IE" w:eastAsia="en-GB" w:bidi="ar-SA"/>
              </w:rPr>
              <w:t>Cost</w:t>
            </w:r>
            <w:r w:rsidRPr="00C7516F">
              <w:rPr>
                <w:rFonts w:ascii="Calibri" w:hAnsi="Calibri" w:cs="Arial"/>
                <w:lang w:val="en-IE" w:eastAsia="en-GB" w:bidi="ar-SA"/>
              </w:rPr>
              <w:t xml:space="preserve"> Charge Factor’ where this should read ‘Currency </w:t>
            </w:r>
            <w:r w:rsidRPr="00C7516F">
              <w:rPr>
                <w:rFonts w:ascii="Calibri" w:hAnsi="Calibri" w:cs="Arial"/>
                <w:b/>
                <w:u w:val="single"/>
                <w:lang w:val="en-IE" w:eastAsia="en-GB" w:bidi="ar-SA"/>
              </w:rPr>
              <w:t>Adjustment</w:t>
            </w:r>
            <w:r w:rsidRPr="00C7516F">
              <w:rPr>
                <w:rFonts w:ascii="Calibri" w:hAnsi="Calibri" w:cs="Arial"/>
                <w:lang w:val="en-IE" w:eastAsia="en-GB" w:bidi="ar-SA"/>
              </w:rPr>
              <w:t xml:space="preserve"> Charge Factor’ since this is the defined term.</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 xml:space="preserve">Paragraph F.18.2.1, which details the calculation of the Capacity Quantity Scaling Factor by the Market Operator, refers to the ‘Reserve Adjustment Capacity Quantity’ where this should read ‘Reserve Adjustment </w:t>
            </w:r>
            <w:r w:rsidRPr="00C7516F">
              <w:rPr>
                <w:rFonts w:ascii="Calibri" w:hAnsi="Calibri" w:cs="Arial"/>
                <w:b/>
                <w:u w:val="single"/>
                <w:lang w:val="en-IE" w:eastAsia="en-GB" w:bidi="ar-SA"/>
              </w:rPr>
              <w:t>Required</w:t>
            </w:r>
            <w:r w:rsidRPr="00C7516F">
              <w:rPr>
                <w:rFonts w:ascii="Calibri" w:hAnsi="Calibri" w:cs="Arial"/>
                <w:lang w:val="en-IE" w:eastAsia="en-GB" w:bidi="ar-SA"/>
              </w:rPr>
              <w:t xml:space="preserve"> Capacity Quantity’ since this is the defined term.</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F.20.3.2, which details the calculation of the Imbalance Difference Quantity by the Market Operator, utilizes Loss-Adjusted Metered Quantity for Supplier and Generator Units but omits the reference to the Loss-Adjusted Metered Quantity for Generator Unit in the ‘where’ clause in error.</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F.20.5.3, which details the calculation of the Difference Payment Reimbursement Amount by the Market Operator, has ‘where’ clauses which refer to ‘Day d’ where this should more specifically refer to ‘Settlement Day d’.</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Section G:</w:t>
            </w: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G.12.4.2, which details the obligation on Participants regarding application of  the Credit Adjustment Trigger and subsequent notification to the Market Operator for treatment as an Adjusted Participant , is imprecisely worded so that it reads as follows;</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i/>
                <w:lang w:val="en-IE" w:eastAsia="en-GB" w:bidi="ar-SA"/>
              </w:rPr>
            </w:pPr>
            <w:r w:rsidRPr="00C7516F">
              <w:rPr>
                <w:rFonts w:ascii="Calibri" w:hAnsi="Calibri" w:cs="Arial"/>
                <w:i/>
                <w:lang w:val="en-IE" w:eastAsia="en-GB" w:bidi="ar-SA"/>
              </w:rPr>
              <w:t xml:space="preserve">‘Where a Participant reasonably expects that, compared with the time-weighted average of Metered Demand across all of the four most recent Billing Periods,………the forecasted total Daily Amounts’ </w:t>
            </w: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i/>
                <w:lang w:val="en-IE" w:eastAsia="en-GB" w:bidi="ar-SA"/>
              </w:rPr>
            </w:pP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r w:rsidRPr="00C7516F">
              <w:rPr>
                <w:rFonts w:ascii="Calibri" w:hAnsi="Calibri" w:cs="Arial"/>
                <w:lang w:val="en-IE" w:eastAsia="en-GB" w:bidi="ar-SA"/>
              </w:rPr>
              <w:t>This implies that the comparison is between historic Metered Demand and Total Daily Amounts for Generator Units as opposed between historic and expected Total Daily Amounts which is what is intended. There is also a typo in that ‘Total’ is not capitalised to indicate the codified term ‘Total Daily Amounts’. See Legal Drafting Change for amended wording.</w:t>
            </w: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r w:rsidRPr="00C7516F">
              <w:rPr>
                <w:rFonts w:ascii="Calibri" w:hAnsi="Calibri" w:cs="Arial"/>
                <w:lang w:val="en-IE" w:eastAsia="en-GB" w:bidi="ar-SA"/>
              </w:rPr>
              <w:t xml:space="preserve">Paragraphs G.5.7.1, G.12.4.3 and G.14.10.1 contain the same capitalisation error for Total Daily Amounts and this Modification also proposes amendments there also. Paragraph G.14.10.1 has a summation for a </w:t>
            </w:r>
            <w:r w:rsidRPr="00C7516F">
              <w:rPr>
                <w:rFonts w:ascii="Calibri" w:hAnsi="Calibri" w:cs="Arial"/>
                <w:lang w:val="en-IE" w:eastAsia="en-GB" w:bidi="ar-SA"/>
              </w:rPr>
              <w:lastRenderedPageBreak/>
              <w:t xml:space="preserve">sample Undefined Exposure Period for which the ‘where’ clause states that the sum is over all settlement days in the sample undefined exposure period </w:t>
            </w:r>
            <w:r w:rsidRPr="00C7516F">
              <w:rPr>
                <w:rFonts w:ascii="Calibri" w:hAnsi="Calibri" w:cs="Arial"/>
                <w:i/>
                <w:lang w:val="en-IE" w:eastAsia="en-GB" w:bidi="ar-SA"/>
              </w:rPr>
              <w:t xml:space="preserve">in the Historical Assessment Period </w:t>
            </w:r>
            <w:r w:rsidRPr="00C7516F">
              <w:rPr>
                <w:rFonts w:ascii="Calibri" w:hAnsi="Calibri" w:cs="Arial"/>
                <w:lang w:val="en-IE" w:eastAsia="en-GB" w:bidi="ar-SA"/>
              </w:rPr>
              <w:t>where the words in italics are incorrect and should be removed since each individual sum is only over the sample Undefined Exposure Period. A ‘H’ is also added to preface in G.14.10.1 in line with similar changes in a separate proposal to apply corrected subscripts for Historical Assessment Periods.</w:t>
            </w: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G.14.4.1, which details that the Credit Assessment Volume for Generator Units for New and Adjusted Participants, references the forecast data submitted in accordance with G.12.4.2 where G.12.4.2 details the use of the Credit Cover Adjustment Trigger so that this reference is incorrect. Note that mod_15_17 means that paragraph G.14.4.1 refers to New and Adjusted Participants rather than new Participants only so that this is the baseline text used as opposed to that in Version 20 of the Code. As the existing reference for New Participant is incorrect this proposal seeks to amend it.</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r w:rsidRPr="00C7516F">
              <w:rPr>
                <w:rFonts w:ascii="Calibri" w:hAnsi="Calibri" w:cs="Arial"/>
                <w:lang w:val="en-IE" w:eastAsia="en-GB" w:bidi="ar-SA"/>
              </w:rPr>
              <w:t xml:space="preserve">In addition, on review of this content and its Part A equivalent it is evident that the intended reference, G.12.4.3, details the submission of forecasted volumes for Adjusted Participants only and not for New Participants as an error carried forward from Part A. This proposal seeks to address this issue also by amending G.12.4.3 to refer to New Participants as well. Note that this is also using the baseline text from mod_15_17 which amends G.12.4.3. </w:t>
            </w: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G.14.3.3, which details the calculation of New and Adjusted Participant exposure in respect of Capacity Charges for its Supplier Units for the Undefined Exposure Period, is missing the words ‘for the Undefined Exposure Period’ implying that it is for all Capacity Charge exposure (i.e. including Actual Exposure) which is not the case. As any New or Adjusted Participant will be treated as such until such times as they have a full Historical Assessment Period of Settlement Statements they will have both Actual Exposure and Undefined Exposure for Capacity for a period so that it is appropriate to reflect that this paragraph relates only to the Undefined Exposure Period element. Similar to other paragraphs which are already subject to modification since Version 20 of the Code the baseline text used here is that from mod_15_17.</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r w:rsidRPr="00C7516F">
              <w:rPr>
                <w:rFonts w:ascii="Calibri" w:hAnsi="Calibri" w:cs="Arial"/>
                <w:lang w:val="en-IE" w:eastAsia="en-GB" w:bidi="ar-SA"/>
              </w:rPr>
              <w:t>We also propose a signage correction for clause G.14.3.3 by introducing a minus sign. The same issue we propose to correct here for New and Adjusted Participants was corrected for Standard Participant (G.14.8.1) within Mod_11_18 which is recommended for approval pending a final RA decision at the time of writing; however this change was omitted.</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Paragraphs G.14.15.2, G.14.15.6 and G.15.1.1, which detail the calculation of Forecast Amount Available for Resettlement Allocation Agreement (FASRAS) and Required Credit Cover, utilise the Traded Not Delivered Exposure (ETNDp</w:t>
            </w:r>
            <w:r w:rsidRPr="00C7516F">
              <w:rPr>
                <w:rFonts w:ascii="Calibri" w:hAnsi="Calibri" w:cs="Arial"/>
                <w:b/>
                <w:lang w:val="en-IE" w:eastAsia="en-GB" w:bidi="ar-SA"/>
              </w:rPr>
              <w:t>g</w:t>
            </w:r>
            <w:r w:rsidRPr="00C7516F">
              <w:rPr>
                <w:rFonts w:ascii="Calibri" w:hAnsi="Calibri" w:cs="Arial"/>
                <w:lang w:val="en-IE" w:eastAsia="en-GB" w:bidi="ar-SA"/>
              </w:rPr>
              <w:t>) variable (calculated in paragraph G.14.13.1). These three paragraphs use incorrect subscripts as they have ETNDp</w:t>
            </w:r>
            <w:r w:rsidRPr="00C7516F">
              <w:rPr>
                <w:rFonts w:ascii="Calibri" w:hAnsi="Calibri" w:cs="Arial"/>
                <w:b/>
                <w:lang w:val="en-IE" w:eastAsia="en-GB" w:bidi="ar-SA"/>
              </w:rPr>
              <w:t>d</w:t>
            </w:r>
            <w:r w:rsidRPr="00C7516F">
              <w:rPr>
                <w:rFonts w:ascii="Calibri" w:hAnsi="Calibri" w:cs="Arial"/>
                <w:lang w:val="en-IE" w:eastAsia="en-GB" w:bidi="ar-SA"/>
              </w:rPr>
              <w:t xml:space="preserve"> where this value is for an Undefined Exposure Period g and the subscript d is used to denote Settlement Day.</w:t>
            </w:r>
            <w:r w:rsidRPr="00C7516F">
              <w:rPr>
                <w:rFonts w:ascii="Times New Roman" w:hAnsi="Times New Roman"/>
                <w:lang w:val="en-AU" w:eastAsia="en-GB" w:bidi="ar-SA"/>
              </w:rPr>
              <w:t xml:space="preserve"> </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r w:rsidRPr="00C7516F">
              <w:rPr>
                <w:rFonts w:ascii="Calibri" w:hAnsi="Calibri" w:cs="Arial"/>
                <w:lang w:val="en-IE" w:eastAsia="en-GB" w:bidi="ar-SA"/>
              </w:rPr>
              <w:t>‘Where’ clauses also refer to ETND being for a Trading Day as opposed to Undefined Exposure Period in error.In addition, the variable FASRAS has an incorrect subscript ‘a’ in G.14.15.9, G.15.1.1 and in the variable definition in the glossary. This subscript relates a variable to a single Settlement Reallocation Agreement (see correct usage for ‘FAVRA’) where FASRAS is a sum of SRAs rather than relating to a single, given SRA. The subscripts also relate it to an Undefined Exposure Period g rather than a Settlement Risk Period r in error. The Glossary definition and Code body descriptions of FASRAS are also incorrect as they refer to single Settlement Reallocation Agreements and the Undefined Exposure Period as opposed to the Settlement Risk Period.</w:t>
            </w:r>
          </w:p>
          <w:p w:rsidR="00C7516F" w:rsidRPr="00C7516F" w:rsidRDefault="00C7516F" w:rsidP="00C7516F">
            <w:pPr>
              <w:overflowPunct w:val="0"/>
              <w:autoSpaceDE w:val="0"/>
              <w:autoSpaceDN w:val="0"/>
              <w:adjustRightInd w:val="0"/>
              <w:spacing w:before="0" w:after="0" w:line="240" w:lineRule="auto"/>
              <w:ind w:left="720"/>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 xml:space="preserve">Paragraph G.17.3.2, which lists the variables set equal to zero during Administered Imbalance Settlement has a missing gamma (Imbalance Settlement Period) subscript for Imperfections Charge (CIMP). </w:t>
            </w:r>
            <w:r w:rsidRPr="00C7516F">
              <w:rPr>
                <w:rFonts w:ascii="Calibri" w:hAnsi="Calibri" w:cs="Arial"/>
                <w:b/>
                <w:lang w:val="en-IE" w:eastAsia="en-GB" w:bidi="ar-SA"/>
              </w:rPr>
              <w:t>Note</w:t>
            </w:r>
            <w:r w:rsidRPr="00C7516F">
              <w:rPr>
                <w:rFonts w:ascii="Calibri" w:hAnsi="Calibri" w:cs="Arial"/>
                <w:lang w:val="en-IE" w:eastAsia="en-GB" w:bidi="ar-SA"/>
              </w:rPr>
              <w:t xml:space="preserve"> that Mod_11_18, which is recommended for approval pending final RA decision at the time of drafting, also changes this clause by introducing four additional variables which also omit the gamma subscript so that the baseline legal drafting used is that from Mod_11_18 and these subscripts are also added.</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Paragraph G.18.1.5 fails to capitalise the defined term ‘Non-Defaulting Participant.</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Appendix E:</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 xml:space="preserve">Table 4, which details the publications to be updated daily in advance of the Trading Day, has a duplicate word as follows ‘Daily, in advance of the </w:t>
            </w:r>
            <w:r w:rsidRPr="00C7516F">
              <w:rPr>
                <w:rFonts w:ascii="Calibri" w:hAnsi="Calibri" w:cs="Arial"/>
                <w:b/>
                <w:lang w:val="en-IE" w:eastAsia="en-GB" w:bidi="ar-SA"/>
              </w:rPr>
              <w:t>the</w:t>
            </w:r>
            <w:r w:rsidRPr="00C7516F">
              <w:rPr>
                <w:rFonts w:ascii="Calibri" w:hAnsi="Calibri" w:cs="Arial"/>
                <w:lang w:val="en-IE" w:eastAsia="en-GB" w:bidi="ar-SA"/>
              </w:rPr>
              <w:t xml:space="preserve"> Trading Day’.</w:t>
            </w:r>
          </w:p>
          <w:p w:rsidR="00C7516F" w:rsidRPr="00C7516F" w:rsidRDefault="00C7516F" w:rsidP="00C7516F">
            <w:pPr>
              <w:overflowPunct w:val="0"/>
              <w:autoSpaceDE w:val="0"/>
              <w:autoSpaceDN w:val="0"/>
              <w:adjustRightInd w:val="0"/>
              <w:spacing w:before="0" w:after="0" w:line="240" w:lineRule="auto"/>
              <w:textAlignment w:val="baseline"/>
              <w:rPr>
                <w:rFonts w:ascii="Times New Roman" w:hAnsi="Times New Roman"/>
                <w:sz w:val="16"/>
                <w:szCs w:val="16"/>
                <w:lang w:val="en-AU"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Appendix G:</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Paragraph 14(a), which details the information which can be gleaned from Settlement Statements/Reports,  contains the defined term Total Daily Amounts but the word ‘Total’ is not capitalised in error similar to corrections to the same term within Section G.</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Appendix H:</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Table 1, which details the information required from a Party that is registering a new Unit, has the variable for Registered Capacity written incorrectly as q</w:t>
            </w:r>
            <w:r w:rsidRPr="00C7516F">
              <w:rPr>
                <w:rFonts w:ascii="Calibri" w:hAnsi="Calibri" w:cs="Arial"/>
                <w:b/>
                <w:lang w:val="en-IE" w:eastAsia="en-GB" w:bidi="ar-SA"/>
              </w:rPr>
              <w:t xml:space="preserve">RC </w:t>
            </w:r>
            <w:r w:rsidRPr="00C7516F">
              <w:rPr>
                <w:rFonts w:ascii="Calibri" w:hAnsi="Calibri" w:cs="Arial"/>
                <w:lang w:val="en-IE" w:eastAsia="en-GB" w:bidi="ar-SA"/>
              </w:rPr>
              <w:t>where it should be q</w:t>
            </w:r>
            <w:r w:rsidRPr="00C7516F">
              <w:rPr>
                <w:rFonts w:ascii="Calibri" w:hAnsi="Calibri" w:cs="Arial"/>
                <w:b/>
                <w:lang w:val="en-IE" w:eastAsia="en-GB" w:bidi="ar-SA"/>
              </w:rPr>
              <w:t>CR</w:t>
            </w:r>
            <w:r w:rsidRPr="00C7516F">
              <w:rPr>
                <w:rFonts w:ascii="Calibri" w:hAnsi="Calibri" w:cs="Arial"/>
                <w:lang w:val="en-IE" w:eastAsia="en-GB" w:bidi="ar-SA"/>
              </w:rPr>
              <w:t>.</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Appendix I:</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 xml:space="preserve">Paragraph 16(d)(i) , which details requirements for the From MW Time and To MW Time for Physical Notifications incorrectly states that these must be on the quarter hour where the requirement is that they must be on the half hour. </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b/>
                <w:u w:val="single"/>
                <w:lang w:val="en-IE" w:eastAsia="en-GB" w:bidi="ar-SA"/>
              </w:rPr>
              <w:t>Glossary:</w:t>
            </w: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 xml:space="preserve">The defined term Aggregated Settlement Document Amount, being that amount which is calculated in G.5.7.5, is used in a number of places (G.2.7.4, G.5.7.5, G.13.1.1, and in the glossary variable definition for SDA) where it is written as Settlement Document Aggregate </w:t>
            </w:r>
            <w:r w:rsidRPr="00C7516F">
              <w:rPr>
                <w:rFonts w:ascii="Calibri" w:hAnsi="Calibri" w:cs="Arial"/>
                <w:b/>
                <w:u w:val="single"/>
                <w:lang w:val="en-IE" w:eastAsia="en-GB" w:bidi="ar-SA"/>
              </w:rPr>
              <w:t>a</w:t>
            </w:r>
            <w:r w:rsidRPr="00C7516F">
              <w:rPr>
                <w:rFonts w:ascii="Calibri" w:hAnsi="Calibri" w:cs="Arial"/>
                <w:lang w:val="en-IE" w:eastAsia="en-GB" w:bidi="ar-SA"/>
              </w:rPr>
              <w:t xml:space="preserve">mount. This appears to be because there is a variable definition for Aggregate Settlement Document (SDA) as well as the glossary definition which is a different approach to that used for other aggregated variables where only the variable definition exists (see Total Daily Amounts – CDAY). Note that in Part A, the convention was also to define the variable term for aggregates. </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r w:rsidRPr="00C7516F">
              <w:rPr>
                <w:rFonts w:ascii="Calibri" w:hAnsi="Calibri" w:cs="Arial"/>
                <w:lang w:val="en-IE" w:eastAsia="en-GB" w:bidi="ar-SA"/>
              </w:rPr>
              <w:t xml:space="preserve">In the interest of maintaining a universal convention and avoiding confusion, we propose dropping the glossary definition for Settlement Document Aggregate Amount since retaining it results in having two defined terms for the same thing (albeit that these definitions are essentially the same but worded differently) and also breaks the convention for other similar terms. </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The Glossary definition for Market Operator Charge Account contains an incorrect reference to paragraph G.7.1.5 where this should refer paragraph G.7.1.4. G.7.1.4 is the paragraph which details the establishment and maintenance of bank accounts for the Market Operator Charge by the Market Operator.</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Some variable definitions (CMWP, CNL , COCMWP, CREVMWP and CSD) which utilise the defined term ‘Make-Whole Payment’ do not capitalise it.</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 xml:space="preserve">The definition of the variable FNDDS (Demand Side Non-Delivery Percentage) is inaccurately worded as it states that this is the quantity, as determined by the System Operator, representing the extent to which the Obligated Capacity Quantity (OCQ) ‘was not delivered </w:t>
            </w:r>
            <w:r w:rsidRPr="00C7516F">
              <w:rPr>
                <w:rFonts w:ascii="Calibri" w:hAnsi="Calibri" w:cs="Arial"/>
                <w:i/>
                <w:lang w:val="en-IE" w:eastAsia="en-GB" w:bidi="ar-SA"/>
              </w:rPr>
              <w:t>through the Demand Side Unit’s response to a Dispatch Instruction’</w:t>
            </w:r>
            <w:r w:rsidRPr="00C7516F">
              <w:rPr>
                <w:rFonts w:ascii="Calibri" w:hAnsi="Calibri" w:cs="Arial"/>
                <w:lang w:val="en-IE" w:eastAsia="en-GB" w:bidi="ar-SA"/>
              </w:rPr>
              <w:t>. This is incorrect since the variable FNDDS represents the obligated quantity that was not delivered in a more general sense (I.e. where it is not available or is otherwise non-performing when not dispatched when obliged to be so based on its OCQ as well as where there is a Non-Delivery in response to a Dispatch Instruction). As such the proposal is to remove the words in italics.</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Appendix G of Part B refers to Settlement Reports and has it capitalised reflecting a defined term; however no defined term exists in the Glossary so we propose to introduce one here.</w:t>
            </w:r>
          </w:p>
          <w:p w:rsidR="00C7516F" w:rsidRPr="00C7516F" w:rsidRDefault="00C7516F" w:rsidP="00C7516F">
            <w:pPr>
              <w:overflowPunct w:val="0"/>
              <w:autoSpaceDE w:val="0"/>
              <w:autoSpaceDN w:val="0"/>
              <w:adjustRightInd w:val="0"/>
              <w:spacing w:before="0" w:after="0" w:line="240" w:lineRule="auto"/>
              <w:ind w:left="720"/>
              <w:contextualSpacing/>
              <w:textAlignment w:val="baseline"/>
              <w:rPr>
                <w:rFonts w:ascii="Calibri" w:hAnsi="Calibri" w:cs="Arial"/>
                <w:lang w:val="en-IE" w:eastAsia="en-GB" w:bidi="ar-SA"/>
              </w:rPr>
            </w:pPr>
          </w:p>
          <w:p w:rsidR="00C7516F" w:rsidRPr="00C7516F" w:rsidRDefault="00C7516F" w:rsidP="00185D5D">
            <w:pPr>
              <w:numPr>
                <w:ilvl w:val="0"/>
                <w:numId w:val="42"/>
              </w:numPr>
              <w:overflowPunct w:val="0"/>
              <w:autoSpaceDE w:val="0"/>
              <w:autoSpaceDN w:val="0"/>
              <w:adjustRightInd w:val="0"/>
              <w:spacing w:before="0" w:after="0" w:line="240" w:lineRule="auto"/>
              <w:contextualSpacing/>
              <w:textAlignment w:val="baseline"/>
              <w:rPr>
                <w:rFonts w:ascii="Calibri" w:hAnsi="Calibri" w:cs="Arial"/>
                <w:lang w:val="en-IE" w:eastAsia="en-GB" w:bidi="ar-SA"/>
              </w:rPr>
            </w:pPr>
            <w:r w:rsidRPr="00C7516F">
              <w:rPr>
                <w:rFonts w:ascii="Calibri" w:hAnsi="Calibri" w:cs="Arial"/>
                <w:lang w:val="en-IE" w:eastAsia="en-GB" w:bidi="ar-SA"/>
              </w:rPr>
              <w:t>The Part B Glossary definition of Actual Exposure refers exposures for Billing and Capacity Periods determined under G.9.1.14; however, the correct section is G.9.1.12.</w:t>
            </w:r>
          </w:p>
        </w:tc>
      </w:tr>
      <w:tr w:rsidR="00C7516F" w:rsidRPr="00C7516F" w:rsidDel="00404964" w:rsidTr="00A51956">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iCs/>
                <w:lang w:val="en-IE" w:eastAsia="en-GB" w:bidi="ar-SA"/>
              </w:rPr>
            </w:pPr>
            <w:r w:rsidRPr="00C7516F">
              <w:rPr>
                <w:rFonts w:ascii="Calibri" w:hAnsi="Calibri" w:cs="Arial"/>
                <w:b/>
                <w:bCs/>
                <w:iCs/>
                <w:lang w:val="en-IE" w:eastAsia="en-GB" w:bidi="ar-SA"/>
              </w:rPr>
              <w:lastRenderedPageBreak/>
              <w:t>Legal Drafting Change</w:t>
            </w:r>
          </w:p>
          <w:p w:rsidR="00C7516F" w:rsidRPr="00C7516F" w:rsidDel="00404964"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i/>
                <w:iCs/>
                <w:lang w:val="en-IE" w:eastAsia="en-GB" w:bidi="ar-SA"/>
              </w:rPr>
              <w:t xml:space="preserve">(Clearly show proposed code change using </w:t>
            </w:r>
            <w:r w:rsidRPr="00C7516F">
              <w:rPr>
                <w:rFonts w:ascii="Calibri" w:hAnsi="Calibri" w:cs="Arial"/>
                <w:b/>
                <w:i/>
                <w:iCs/>
                <w:lang w:val="en-IE" w:eastAsia="en-GB" w:bidi="ar-SA"/>
              </w:rPr>
              <w:t>tracked</w:t>
            </w:r>
            <w:r w:rsidRPr="00C7516F">
              <w:rPr>
                <w:rFonts w:ascii="Calibri" w:hAnsi="Calibri" w:cs="Arial"/>
                <w:i/>
                <w:iCs/>
                <w:lang w:val="en-IE" w:eastAsia="en-GB" w:bidi="ar-SA"/>
              </w:rPr>
              <w:t xml:space="preserve"> changes, if proposer fails to identify changes, please indicate best estimate of potential changes)</w:t>
            </w:r>
          </w:p>
        </w:tc>
      </w:tr>
      <w:tr w:rsidR="00C7516F" w:rsidRPr="00C7516F" w:rsidDel="00404964" w:rsidTr="00A51956">
        <w:tc>
          <w:tcPr>
            <w:tcW w:w="9747" w:type="dxa"/>
            <w:gridSpan w:val="6"/>
            <w:vAlign w:val="center"/>
          </w:tcPr>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Section B:</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1)</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r w:rsidRPr="00817F44">
              <w:rPr>
                <w:rFonts w:eastAsiaTheme="minorEastAsia"/>
                <w:sz w:val="22"/>
                <w:szCs w:val="22"/>
                <w:lang w:val="en-IE" w:bidi="ar-SA"/>
              </w:rPr>
              <w:t>B.8.2.2 The Scheduling Agent of the Shipping Agent in respect of each Interconnector shall submit the information contemplated by paragraph F.2.2.</w:t>
            </w:r>
            <w:ins w:id="109" w:author="Author">
              <w:r w:rsidRPr="00817F44">
                <w:rPr>
                  <w:rFonts w:eastAsiaTheme="minorEastAsia"/>
                  <w:sz w:val="22"/>
                  <w:szCs w:val="22"/>
                  <w:lang w:val="en-IE" w:bidi="ar-SA"/>
                </w:rPr>
                <w:t>4</w:t>
              </w:r>
            </w:ins>
            <w:del w:id="110" w:author="Author">
              <w:r w:rsidRPr="00817F44" w:rsidDel="00D4201F">
                <w:rPr>
                  <w:rFonts w:eastAsiaTheme="minorEastAsia"/>
                  <w:sz w:val="22"/>
                  <w:szCs w:val="22"/>
                  <w:lang w:val="en-IE" w:bidi="ar-SA"/>
                </w:rPr>
                <w:delText>7</w:delText>
              </w:r>
            </w:del>
            <w:r w:rsidRPr="00817F44">
              <w:rPr>
                <w:rFonts w:eastAsiaTheme="minorEastAsia"/>
                <w:sz w:val="22"/>
                <w:szCs w:val="22"/>
                <w:lang w:val="en-IE" w:bidi="ar-SA"/>
              </w:rPr>
              <w:t xml:space="preserve"> in accordance with that paragraph.</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2)</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r w:rsidRPr="00817F44">
              <w:rPr>
                <w:rFonts w:eastAsiaTheme="minorEastAsia"/>
                <w:sz w:val="22"/>
                <w:szCs w:val="22"/>
                <w:lang w:val="en-IE" w:bidi="ar-SA"/>
              </w:rPr>
              <w:t xml:space="preserve">B.9.3.2 Where a Generation Site is, as permitted under paragraph </w:t>
            </w:r>
            <w:fldSimple w:instr=" REF _Ref451510269 \r \h  \* MERGEFORMAT ">
              <w:r w:rsidRPr="00817F44">
                <w:rPr>
                  <w:rFonts w:eastAsiaTheme="minorEastAsia"/>
                  <w:sz w:val="22"/>
                  <w:szCs w:val="22"/>
                  <w:lang w:val="en-IE" w:bidi="ar-SA"/>
                </w:rPr>
                <w:t>B.9.2.1</w:t>
              </w:r>
            </w:fldSimple>
            <w:r w:rsidRPr="00817F44">
              <w:rPr>
                <w:rFonts w:eastAsiaTheme="minorEastAsia"/>
                <w:sz w:val="22"/>
                <w:szCs w:val="22"/>
                <w:lang w:val="en-IE" w:bidi="ar-SA"/>
              </w:rPr>
              <w:t xml:space="preserve">, registered as more than one Trading </w:t>
            </w:r>
            <w:ins w:id="111" w:author="Author">
              <w:r w:rsidRPr="00817F44">
                <w:rPr>
                  <w:rFonts w:eastAsiaTheme="minorEastAsia"/>
                  <w:sz w:val="22"/>
                  <w:szCs w:val="22"/>
                  <w:lang w:val="en-IE" w:bidi="ar-SA"/>
                </w:rPr>
                <w:t>S</w:t>
              </w:r>
            </w:ins>
            <w:del w:id="112" w:author="Author">
              <w:r w:rsidRPr="00817F44" w:rsidDel="00D4201F">
                <w:rPr>
                  <w:rFonts w:eastAsiaTheme="minorEastAsia"/>
                  <w:sz w:val="22"/>
                  <w:szCs w:val="22"/>
                  <w:lang w:val="en-IE" w:bidi="ar-SA"/>
                </w:rPr>
                <w:delText>s</w:delText>
              </w:r>
            </w:del>
            <w:r w:rsidRPr="00817F44">
              <w:rPr>
                <w:rFonts w:eastAsiaTheme="minorEastAsia"/>
                <w:sz w:val="22"/>
                <w:szCs w:val="22"/>
                <w:lang w:val="en-IE" w:bidi="ar-SA"/>
              </w:rPr>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Section E:</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r w:rsidRPr="00817F44">
              <w:rPr>
                <w:rFonts w:eastAsiaTheme="minorEastAsia"/>
                <w:sz w:val="22"/>
                <w:szCs w:val="22"/>
                <w:lang w:val="en-IE" w:bidi="ar-SA"/>
              </w:rPr>
              <w:t>E.3.6.2 For each Imbalance Pricing Period, φ, the Market Operator shall calculate the Initial Imbalance Price (PIIMB</w:t>
            </w:r>
            <w:r w:rsidRPr="00817F44">
              <w:rPr>
                <w:rFonts w:eastAsiaTheme="minorEastAsia"/>
                <w:sz w:val="22"/>
                <w:szCs w:val="22"/>
                <w:vertAlign w:val="subscript"/>
                <w:lang w:val="en-IE" w:bidi="ar-SA"/>
              </w:rPr>
              <w:t>φ</w:t>
            </w:r>
            <w:r w:rsidRPr="00817F44">
              <w:rPr>
                <w:rFonts w:eastAsiaTheme="minorEastAsia"/>
                <w:sz w:val="22"/>
                <w:szCs w:val="22"/>
                <w:lang w:val="en-IE" w:bidi="ar-SA"/>
              </w:rPr>
              <w:t>) as follows:</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Except where QNIV</w:t>
            </w:r>
            <w:r w:rsidRPr="00817F44">
              <w:rPr>
                <w:rFonts w:eastAsiaTheme="minorEastAsia"/>
                <w:sz w:val="22"/>
                <w:szCs w:val="22"/>
                <w:vertAlign w:val="subscript"/>
                <w:lang w:val="en-IE" w:bidi="ar-SA"/>
              </w:rPr>
              <w:t>φ</w:t>
            </w:r>
            <w:r w:rsidRPr="00817F44">
              <w:rPr>
                <w:rFonts w:eastAsiaTheme="minorEastAsia"/>
                <w:sz w:val="22"/>
                <w:szCs w:val="22"/>
                <w:lang w:val="en-IE" w:bidi="ar-SA"/>
              </w:rPr>
              <w:t xml:space="preserve"> is equal to zero:</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PIIMB</m:t>
                    </m:r>
                  </m:e>
                  <m:sub>
                    <m:r>
                      <w:rPr>
                        <w:rFonts w:ascii="Cambria Math" w:eastAsiaTheme="minorEastAsia" w:hAnsi="Cambria Math" w:cs="Arial"/>
                        <w:sz w:val="22"/>
                        <w:szCs w:val="22"/>
                        <w:lang w:val="en-IE" w:eastAsia="en-IE" w:bidi="ar-SA"/>
                      </w:rPr>
                      <m:t>φ</m:t>
                    </m:r>
                  </m:sub>
                </m:sSub>
                <m:r>
                  <w:rPr>
                    <w:rFonts w:ascii="Cambria Math" w:eastAsiaTheme="minorEastAsia" w:hAnsi="Cambria Math" w:cs="Arial"/>
                    <w:sz w:val="22"/>
                    <w:szCs w:val="22"/>
                    <w:lang w:val="en-IE" w:eastAsia="en-IE" w:bidi="ar-SA"/>
                  </w:rPr>
                  <m:t xml:space="preserve">= </m:t>
                </m:r>
                <m:f>
                  <m:fPr>
                    <m:ctrlPr>
                      <w:rPr>
                        <w:rFonts w:ascii="Cambria Math" w:eastAsiaTheme="minorEastAsia" w:hAnsi="Cambria Math"/>
                        <w:i/>
                        <w:sz w:val="22"/>
                        <w:lang w:val="en-IE" w:eastAsia="en-IE" w:bidi="ar-SA"/>
                      </w:rPr>
                    </m:ctrlPr>
                  </m:fPr>
                  <m:num>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k</m:t>
                        </m:r>
                      </m:sub>
                      <m:sup/>
                      <m:e>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PRBO</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QAO</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TIP</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PRBO</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QAB</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TIP</m:t>
                                </m:r>
                              </m:e>
                              <m:sub>
                                <m:r>
                                  <w:rPr>
                                    <w:rFonts w:ascii="Cambria Math" w:eastAsiaTheme="minorEastAsia" w:hAnsi="Cambria Math" w:cs="Arial"/>
                                    <w:sz w:val="22"/>
                                    <w:szCs w:val="22"/>
                                    <w:lang w:val="en-IE" w:eastAsia="en-IE" w:bidi="ar-SA"/>
                                  </w:rPr>
                                  <m:t>ukφ</m:t>
                                </m:r>
                              </m:sub>
                            </m:sSub>
                          </m:e>
                        </m:d>
                      </m:e>
                    </m:nary>
                  </m:num>
                  <m:den>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k</m:t>
                        </m:r>
                      </m:sub>
                      <m:sup/>
                      <m:e>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QAO</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TIP</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QAB</m:t>
                                </m:r>
                              </m:e>
                              <m:sub>
                                <m:r>
                                  <w:rPr>
                                    <w:rFonts w:ascii="Cambria Math" w:eastAsiaTheme="minorEastAsia" w:hAnsi="Cambria Math" w:cs="Arial"/>
                                    <w:sz w:val="22"/>
                                    <w:szCs w:val="22"/>
                                    <w:lang w:val="en-IE" w:eastAsia="en-IE" w:bidi="ar-SA"/>
                                  </w:rPr>
                                  <m:t>ukφ</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TIP</m:t>
                                </m:r>
                              </m:e>
                              <m:sub>
                                <m:r>
                                  <w:rPr>
                                    <w:rFonts w:ascii="Cambria Math" w:eastAsiaTheme="minorEastAsia" w:hAnsi="Cambria Math" w:cs="Arial"/>
                                    <w:sz w:val="22"/>
                                    <w:szCs w:val="22"/>
                                    <w:lang w:val="en-IE" w:eastAsia="en-IE" w:bidi="ar-SA"/>
                                  </w:rPr>
                                  <m:t>ukφ</m:t>
                                </m:r>
                              </m:sub>
                            </m:sSub>
                          </m:e>
                        </m:d>
                      </m:e>
                    </m:nary>
                  </m:den>
                </m:f>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1253" w:firstLine="448"/>
              <w:jc w:val="both"/>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D23453" w:rsidP="00817F44">
            <w:pPr>
              <w:numPr>
                <w:ilvl w:val="5"/>
                <w:numId w:val="0"/>
              </w:numPr>
              <w:spacing w:before="120" w:after="120" w:line="240" w:lineRule="auto"/>
              <w:ind w:left="2410"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sz w:val="22"/>
                      <w:lang w:val="en-IE" w:eastAsia="en-GB" w:bidi="ar-SA"/>
                    </w:rPr>
                  </m:ctrlPr>
                </m:naryPr>
                <m:sub>
                  <m:r>
                    <m:rPr>
                      <m:sty m:val="b"/>
                    </m:rPr>
                    <w:rPr>
                      <w:rFonts w:ascii="Cambria Math" w:eastAsiaTheme="minorEastAsia" w:hAnsi="Cambria Math"/>
                      <w:sz w:val="22"/>
                      <w:szCs w:val="22"/>
                      <w:lang w:val="en-IE" w:bidi="ar-SA"/>
                    </w:rPr>
                    <m:t>k</m:t>
                  </m:r>
                </m:sub>
                <m:sup/>
                <m:e>
                  <m:r>
                    <w:rPr>
                      <w:rFonts w:ascii="Cambria Math" w:eastAsiaTheme="minorEastAsia" w:hAnsi="Cambria Math"/>
                      <w:sz w:val="22"/>
                      <w:szCs w:val="22"/>
                      <w:lang w:val="en-IE" w:bidi="ar-SA"/>
                    </w:rPr>
                    <m:t xml:space="preserve"> </m:t>
                  </m:r>
                </m:e>
              </m:nary>
            </m:oMath>
            <w:r w:rsidR="00817F44" w:rsidRPr="00817F44">
              <w:rPr>
                <w:sz w:val="22"/>
                <w:szCs w:val="22"/>
                <w:lang w:val="en-IE" w:bidi="ar-SA"/>
              </w:rPr>
              <w:t xml:space="preserve"> is the sum of values over all ranks, k;</w:t>
            </w:r>
          </w:p>
          <w:p w:rsidR="00817F44" w:rsidRPr="00817F44" w:rsidRDefault="00817F44" w:rsidP="00817F44">
            <w:pPr>
              <w:numPr>
                <w:ilvl w:val="5"/>
                <w:numId w:val="0"/>
              </w:numPr>
              <w:spacing w:before="120" w:after="120" w:line="240" w:lineRule="auto"/>
              <w:ind w:left="2410" w:hanging="709"/>
              <w:jc w:val="both"/>
              <w:rPr>
                <w:rFonts w:eastAsiaTheme="minorEastAsia"/>
                <w:sz w:val="22"/>
                <w:szCs w:val="22"/>
                <w:lang w:val="en-IE" w:bidi="ar-SA"/>
              </w:rPr>
            </w:pPr>
            <w:r w:rsidRPr="00817F44">
              <w:rPr>
                <w:rFonts w:eastAsiaTheme="minorEastAsia"/>
                <w:sz w:val="22"/>
                <w:szCs w:val="22"/>
                <w:lang w:val="en-IE" w:bidi="ar-SA"/>
              </w:rPr>
              <w:t>PRBO</w:t>
            </w:r>
            <w:r w:rsidRPr="00817F44">
              <w:rPr>
                <w:rFonts w:eastAsiaTheme="minorEastAsia"/>
                <w:sz w:val="22"/>
                <w:szCs w:val="22"/>
                <w:vertAlign w:val="subscript"/>
                <w:lang w:val="en-IE" w:bidi="ar-SA"/>
              </w:rPr>
              <w:t>ukφ</w:t>
            </w:r>
            <w:r w:rsidRPr="00817F44">
              <w:rPr>
                <w:rFonts w:eastAsiaTheme="minorEastAsia"/>
                <w:sz w:val="22"/>
                <w:szCs w:val="22"/>
                <w:lang w:val="en-IE" w:bidi="ar-SA"/>
              </w:rPr>
              <w:t xml:space="preserve"> is the Replaced Bid Offer Price for Generator Unit, u, and rank, k;</w:t>
            </w:r>
          </w:p>
          <w:p w:rsidR="00817F44" w:rsidRPr="00817F44" w:rsidRDefault="00817F44" w:rsidP="00817F44">
            <w:pPr>
              <w:numPr>
                <w:ilvl w:val="5"/>
                <w:numId w:val="0"/>
              </w:numPr>
              <w:spacing w:before="120" w:after="120" w:line="240" w:lineRule="auto"/>
              <w:ind w:left="2410" w:hanging="709"/>
              <w:jc w:val="both"/>
              <w:rPr>
                <w:rFonts w:eastAsiaTheme="minorEastAsia"/>
                <w:sz w:val="22"/>
                <w:szCs w:val="22"/>
                <w:lang w:val="en-IE" w:bidi="ar-SA"/>
              </w:rPr>
            </w:pPr>
            <w:r w:rsidRPr="00817F44">
              <w:rPr>
                <w:rFonts w:eastAsiaTheme="minorEastAsia"/>
                <w:sz w:val="22"/>
                <w:szCs w:val="22"/>
                <w:lang w:val="en-IE" w:bidi="ar-SA"/>
              </w:rPr>
              <w:t>QAO</w:t>
            </w:r>
            <w:r w:rsidRPr="00817F44">
              <w:rPr>
                <w:rFonts w:eastAsiaTheme="minorEastAsia"/>
                <w:sz w:val="22"/>
                <w:szCs w:val="22"/>
                <w:vertAlign w:val="subscript"/>
                <w:lang w:val="en-IE" w:bidi="ar-SA"/>
              </w:rPr>
              <w:t>ukφ</w:t>
            </w:r>
            <w:r w:rsidRPr="00817F44">
              <w:rPr>
                <w:rFonts w:eastAsiaTheme="minorEastAsia"/>
                <w:sz w:val="22"/>
                <w:szCs w:val="22"/>
                <w:lang w:val="en-IE" w:bidi="ar-SA"/>
              </w:rPr>
              <w:t xml:space="preserve"> is the Accepted Offer Quantity for Generator Unit, u, and rank, k;</w:t>
            </w:r>
          </w:p>
          <w:p w:rsidR="00817F44" w:rsidRPr="00817F44" w:rsidRDefault="00817F44" w:rsidP="00817F44">
            <w:pPr>
              <w:numPr>
                <w:ilvl w:val="5"/>
                <w:numId w:val="0"/>
              </w:numPr>
              <w:spacing w:before="120" w:after="120" w:line="240" w:lineRule="auto"/>
              <w:ind w:left="2410" w:hanging="709"/>
              <w:jc w:val="both"/>
              <w:rPr>
                <w:rFonts w:eastAsiaTheme="minorEastAsia"/>
                <w:sz w:val="22"/>
                <w:szCs w:val="22"/>
                <w:lang w:val="en-IE" w:bidi="ar-SA"/>
              </w:rPr>
            </w:pPr>
            <w:r w:rsidRPr="00817F44">
              <w:rPr>
                <w:rFonts w:eastAsiaTheme="minorEastAsia"/>
                <w:sz w:val="22"/>
                <w:szCs w:val="22"/>
                <w:lang w:val="en-IE" w:bidi="ar-SA"/>
              </w:rPr>
              <w:t>QAB</w:t>
            </w:r>
            <w:r w:rsidRPr="00817F44">
              <w:rPr>
                <w:rFonts w:eastAsiaTheme="minorEastAsia"/>
                <w:sz w:val="22"/>
                <w:szCs w:val="22"/>
                <w:vertAlign w:val="subscript"/>
                <w:lang w:val="en-IE" w:bidi="ar-SA"/>
              </w:rPr>
              <w:t>ukφ</w:t>
            </w:r>
            <w:r w:rsidRPr="00817F44">
              <w:rPr>
                <w:rFonts w:eastAsiaTheme="minorEastAsia"/>
                <w:sz w:val="22"/>
                <w:szCs w:val="22"/>
                <w:lang w:val="en-IE" w:bidi="ar-SA"/>
              </w:rPr>
              <w:t xml:space="preserve"> is the Accepted Bid Quantity for Generator Unit, u, and rank, k; and</w:t>
            </w:r>
          </w:p>
          <w:p w:rsidR="00817F44" w:rsidRPr="00817F44" w:rsidRDefault="00817F44" w:rsidP="00817F44">
            <w:pPr>
              <w:numPr>
                <w:ilvl w:val="5"/>
                <w:numId w:val="0"/>
              </w:numPr>
              <w:spacing w:before="120" w:after="120" w:line="240" w:lineRule="auto"/>
              <w:ind w:left="2410" w:hanging="709"/>
              <w:jc w:val="both"/>
              <w:rPr>
                <w:rFonts w:eastAsiaTheme="minorEastAsia"/>
                <w:sz w:val="22"/>
                <w:szCs w:val="22"/>
                <w:lang w:val="en-IE" w:bidi="ar-SA"/>
              </w:rPr>
            </w:pPr>
            <w:r w:rsidRPr="00817F44">
              <w:rPr>
                <w:rFonts w:eastAsiaTheme="minorEastAsia"/>
                <w:sz w:val="22"/>
                <w:szCs w:val="22"/>
                <w:lang w:val="en-IE" w:bidi="ar-SA"/>
              </w:rPr>
              <w:t>TIP</w:t>
            </w:r>
            <w:r w:rsidRPr="00817F44">
              <w:rPr>
                <w:rFonts w:eastAsiaTheme="minorEastAsia"/>
                <w:sz w:val="22"/>
                <w:szCs w:val="22"/>
                <w:vertAlign w:val="subscript"/>
                <w:lang w:val="en-IE" w:bidi="ar-SA"/>
              </w:rPr>
              <w:t>ukφ</w:t>
            </w:r>
            <w:r w:rsidRPr="00817F44">
              <w:rPr>
                <w:rFonts w:eastAsiaTheme="minorEastAsia"/>
                <w:sz w:val="22"/>
                <w:szCs w:val="22"/>
                <w:lang w:val="en-IE" w:bidi="ar-SA"/>
              </w:rPr>
              <w:t xml:space="preserve"> is the Imbalance Price Tag for Generator Unit, u, and rank, k.</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Where QNIV</w:t>
            </w:r>
            <w:r w:rsidRPr="00817F44">
              <w:rPr>
                <w:rFonts w:eastAsiaTheme="minorEastAsia"/>
                <w:sz w:val="22"/>
                <w:szCs w:val="22"/>
                <w:vertAlign w:val="subscript"/>
                <w:lang w:val="en-IE" w:bidi="ar-SA"/>
              </w:rPr>
              <w:t>φ</w:t>
            </w:r>
            <w:r w:rsidRPr="00817F44">
              <w:rPr>
                <w:rFonts w:eastAsiaTheme="minorEastAsia"/>
                <w:sz w:val="22"/>
                <w:szCs w:val="22"/>
                <w:lang w:val="en-IE" w:bidi="ar-SA"/>
              </w:rPr>
              <w:t xml:space="preserve"> is equal to zero, PIIMB</w:t>
            </w:r>
            <w:r w:rsidRPr="00817F44">
              <w:rPr>
                <w:rFonts w:eastAsiaTheme="minorEastAsia"/>
                <w:sz w:val="22"/>
                <w:szCs w:val="22"/>
                <w:vertAlign w:val="subscript"/>
                <w:lang w:val="en-IE" w:bidi="ar-SA"/>
              </w:rPr>
              <w:t>φ</w:t>
            </w:r>
            <w:r w:rsidRPr="00817F44">
              <w:rPr>
                <w:rFonts w:eastAsiaTheme="minorEastAsia"/>
                <w:sz w:val="22"/>
                <w:szCs w:val="22"/>
                <w:lang w:val="en-IE" w:bidi="ar-SA"/>
              </w:rPr>
              <w:t xml:space="preserve"> is set equal to the Market Back Up Price as determined in accordance with section</w:t>
            </w:r>
            <w:del w:id="113" w:author="Author">
              <w:r w:rsidRPr="00817F44" w:rsidDel="00CF1C95">
                <w:rPr>
                  <w:rFonts w:eastAsiaTheme="minorEastAsia"/>
                  <w:sz w:val="22"/>
                  <w:szCs w:val="22"/>
                  <w:lang w:val="en-IE" w:bidi="ar-SA"/>
                </w:rPr>
                <w:delText xml:space="preserve"> </w:delText>
              </w:r>
            </w:del>
            <w:ins w:id="114" w:author="Author">
              <w:r w:rsidRPr="00817F44">
                <w:rPr>
                  <w:rFonts w:eastAsiaTheme="minorEastAsia"/>
                  <w:sz w:val="22"/>
                  <w:szCs w:val="22"/>
                  <w:lang w:val="en-IE" w:bidi="ar-SA"/>
                </w:rPr>
                <w:t>E.5</w:t>
              </w:r>
            </w:ins>
            <w:del w:id="115" w:author="Author">
              <w:r w:rsidR="00D23453" w:rsidRPr="00817F44" w:rsidDel="00CF1C95">
                <w:rPr>
                  <w:rFonts w:eastAsiaTheme="minorEastAsia"/>
                  <w:sz w:val="22"/>
                  <w:szCs w:val="22"/>
                  <w:lang w:val="en-IE" w:bidi="ar-SA"/>
                </w:rPr>
                <w:fldChar w:fldCharType="begin"/>
              </w:r>
              <w:r w:rsidRPr="00817F44" w:rsidDel="00CF1C95">
                <w:rPr>
                  <w:rFonts w:eastAsiaTheme="minorEastAsia"/>
                  <w:sz w:val="22"/>
                  <w:szCs w:val="22"/>
                  <w:lang w:val="en-IE" w:bidi="ar-SA"/>
                </w:rPr>
                <w:delInstrText xml:space="preserve"> REF _Ref457234562 \r \h  \* MERGEFORMAT </w:delInstrText>
              </w:r>
              <w:r w:rsidR="00D23453" w:rsidRPr="00817F44" w:rsidDel="00CF1C95">
                <w:rPr>
                  <w:rFonts w:eastAsiaTheme="minorEastAsia"/>
                  <w:sz w:val="22"/>
                  <w:szCs w:val="22"/>
                  <w:lang w:val="en-IE" w:bidi="ar-SA"/>
                </w:rPr>
              </w:r>
              <w:r w:rsidR="00D23453" w:rsidRPr="00817F44" w:rsidDel="00CF1C95">
                <w:rPr>
                  <w:rFonts w:eastAsiaTheme="minorEastAsia"/>
                  <w:sz w:val="22"/>
                  <w:szCs w:val="22"/>
                  <w:lang w:val="en-IE" w:bidi="ar-SA"/>
                </w:rPr>
                <w:fldChar w:fldCharType="separate"/>
              </w:r>
              <w:r w:rsidRPr="00817F44" w:rsidDel="00CF1C95">
                <w:rPr>
                  <w:rFonts w:eastAsiaTheme="minorEastAsia"/>
                  <w:sz w:val="22"/>
                  <w:szCs w:val="22"/>
                  <w:lang w:val="en-IE" w:bidi="ar-SA"/>
                </w:rPr>
                <w:delText>E.4.6</w:delText>
              </w:r>
              <w:r w:rsidR="00D23453" w:rsidRPr="00817F44" w:rsidDel="00CF1C95">
                <w:rPr>
                  <w:rFonts w:eastAsiaTheme="minorEastAsia"/>
                  <w:sz w:val="22"/>
                  <w:szCs w:val="22"/>
                  <w:lang w:val="en-IE" w:bidi="ar-SA"/>
                </w:rPr>
                <w:fldChar w:fldCharType="end"/>
              </w:r>
            </w:del>
            <w:r w:rsidRPr="00817F44">
              <w:rPr>
                <w:rFonts w:eastAsiaTheme="minorEastAsia"/>
                <w:sz w:val="22"/>
                <w:szCs w:val="22"/>
                <w:lang w:val="en-IE" w:bidi="ar-SA"/>
              </w:rPr>
              <w:t>.</w:t>
            </w:r>
          </w:p>
          <w:p w:rsidR="00817F44" w:rsidRPr="00817F44" w:rsidRDefault="00817F44" w:rsidP="00817F44">
            <w:pPr>
              <w:spacing w:before="120" w:after="120" w:line="240" w:lineRule="auto"/>
              <w:jc w:val="both"/>
              <w:rPr>
                <w:rFonts w:eastAsiaTheme="minorEastAsia"/>
                <w:sz w:val="22"/>
                <w:szCs w:val="22"/>
                <w:lang w:val="en-IE" w:bidi="ar-SA"/>
              </w:rPr>
            </w:pPr>
          </w:p>
          <w:p w:rsidR="00817F44" w:rsidRPr="00817F44" w:rsidRDefault="00817F44" w:rsidP="00817F44">
            <w:pPr>
              <w:spacing w:before="120" w:after="120" w:line="240" w:lineRule="auto"/>
              <w:jc w:val="both"/>
              <w:rPr>
                <w:rFonts w:eastAsiaTheme="minorEastAsia"/>
                <w:sz w:val="22"/>
                <w:szCs w:val="22"/>
                <w:lang w:val="en-IE"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Section F:</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1)</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r w:rsidRPr="00817F44">
              <w:rPr>
                <w:rFonts w:eastAsiaTheme="minorEastAsia"/>
                <w:sz w:val="22"/>
                <w:szCs w:val="22"/>
                <w:lang w:val="en-IE" w:bidi="ar-SA"/>
              </w:rPr>
              <w:t xml:space="preserve">F.6.4.4  A notice under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_Ref473818106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F.6.4.2</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xml:space="preserve">, or a withdrawal under that paragraph, shall take effect </w:t>
            </w:r>
            <w:r w:rsidRPr="00817F44">
              <w:rPr>
                <w:rFonts w:eastAsiaTheme="minorEastAsia"/>
                <w:sz w:val="22"/>
                <w:szCs w:val="22"/>
                <w:lang w:val="en-IE" w:bidi="ar-SA"/>
              </w:rPr>
              <w:lastRenderedPageBreak/>
              <w:t xml:space="preserve">at the beginning of the </w:t>
            </w:r>
            <w:ins w:id="116" w:author="Author">
              <w:r w:rsidRPr="00817F44">
                <w:rPr>
                  <w:rFonts w:eastAsiaTheme="minorEastAsia"/>
                  <w:sz w:val="22"/>
                  <w:szCs w:val="22"/>
                  <w:lang w:val="en-IE" w:bidi="ar-SA"/>
                </w:rPr>
                <w:t>Settlement</w:t>
              </w:r>
            </w:ins>
            <w:del w:id="117" w:author="Author">
              <w:r w:rsidRPr="00817F44" w:rsidDel="000557EB">
                <w:rPr>
                  <w:rFonts w:eastAsiaTheme="minorEastAsia"/>
                  <w:sz w:val="22"/>
                  <w:szCs w:val="22"/>
                  <w:lang w:val="en-IE" w:bidi="ar-SA"/>
                </w:rPr>
                <w:delText>Trading</w:delText>
              </w:r>
            </w:del>
            <w:r w:rsidRPr="00817F44">
              <w:rPr>
                <w:rFonts w:eastAsiaTheme="minorEastAsia"/>
                <w:sz w:val="22"/>
                <w:szCs w:val="22"/>
                <w:lang w:val="en-IE" w:bidi="ar-SA"/>
              </w:rPr>
              <w:t xml:space="preserve"> Day which is the later of:</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That specified in the notice or withdrawal; and</w:t>
            </w:r>
          </w:p>
          <w:p w:rsidR="00817F44" w:rsidRPr="00817F44" w:rsidRDefault="00817F44" w:rsidP="00817F44">
            <w:pPr>
              <w:numPr>
                <w:ilvl w:val="4"/>
                <w:numId w:val="0"/>
              </w:numPr>
              <w:spacing w:before="120" w:after="120" w:line="240" w:lineRule="auto"/>
              <w:ind w:left="1710" w:hanging="720"/>
              <w:jc w:val="both"/>
              <w:rPr>
                <w:rFonts w:eastAsiaTheme="minorEastAsia"/>
                <w:sz w:val="22"/>
                <w:szCs w:val="22"/>
                <w:lang w:val="en-IE" w:bidi="ar-SA"/>
              </w:rPr>
            </w:pPr>
            <w:r w:rsidRPr="00817F44">
              <w:rPr>
                <w:rFonts w:eastAsiaTheme="minorEastAsia"/>
                <w:sz w:val="22"/>
                <w:szCs w:val="22"/>
                <w:lang w:val="en-IE" w:bidi="ar-SA"/>
              </w:rPr>
              <w:t>The expiration of two months after the notice was received by the Market Operator.</w:t>
            </w:r>
          </w:p>
          <w:p w:rsidR="00817F44" w:rsidRPr="00817F44" w:rsidRDefault="00817F44" w:rsidP="00817F44">
            <w:pPr>
              <w:overflowPunct w:val="0"/>
              <w:autoSpaceDE w:val="0"/>
              <w:autoSpaceDN w:val="0"/>
              <w:adjustRightInd w:val="0"/>
              <w:spacing w:before="0" w:after="0" w:line="240" w:lineRule="auto"/>
              <w:textAlignment w:val="baseline"/>
              <w:rPr>
                <w:ins w:id="118" w:author="Autho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2)</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 xml:space="preserve">F.6.7.9  The Market Operator shall derive a ranked set of all Accepted Bid Quantities for Generator Unit, u, in Imbalance Settlement Period, γ, in order of decreasing price. The Accepted Bid Quantity with the highest price shall be allocated a position number </w:t>
            </w:r>
            <w:ins w:id="119" w:author="Author">
              <w:r w:rsidRPr="00817F44">
                <w:rPr>
                  <w:rFonts w:eastAsiaTheme="minorEastAsia"/>
                  <w:sz w:val="22"/>
                  <w:szCs w:val="22"/>
                  <w:lang w:val="en-IE" w:bidi="ar-SA"/>
                </w:rPr>
                <w:t>k</w:t>
              </w:r>
            </w:ins>
            <w:del w:id="120" w:author="Author">
              <w:r w:rsidRPr="00817F44" w:rsidDel="0023456E">
                <w:rPr>
                  <w:rFonts w:eastAsiaTheme="minorEastAsia"/>
                  <w:sz w:val="22"/>
                  <w:szCs w:val="22"/>
                  <w:lang w:val="en-IE" w:bidi="ar-SA"/>
                </w:rPr>
                <w:delText>n</w:delText>
              </w:r>
            </w:del>
            <w:r w:rsidRPr="00817F44">
              <w:rPr>
                <w:rFonts w:eastAsiaTheme="minorEastAsia"/>
                <w:sz w:val="22"/>
                <w:szCs w:val="22"/>
                <w:lang w:val="en-IE" w:bidi="ar-SA"/>
              </w:rPr>
              <w:t xml:space="preserve"> = 1, the next highest priced Accepted Bid Quantity a position number </w:t>
            </w:r>
            <w:ins w:id="121" w:author="Author">
              <w:r w:rsidRPr="00817F44">
                <w:rPr>
                  <w:rFonts w:eastAsiaTheme="minorEastAsia"/>
                  <w:sz w:val="22"/>
                  <w:szCs w:val="22"/>
                  <w:lang w:val="en-IE" w:bidi="ar-SA"/>
                </w:rPr>
                <w:t>k</w:t>
              </w:r>
            </w:ins>
            <w:del w:id="122" w:author="Author">
              <w:r w:rsidRPr="00817F44" w:rsidDel="0023456E">
                <w:rPr>
                  <w:rFonts w:eastAsiaTheme="minorEastAsia"/>
                  <w:sz w:val="22"/>
                  <w:szCs w:val="22"/>
                  <w:lang w:val="en-IE" w:bidi="ar-SA"/>
                </w:rPr>
                <w:delText>n</w:delText>
              </w:r>
            </w:del>
            <w:r w:rsidRPr="00817F44">
              <w:rPr>
                <w:rFonts w:eastAsiaTheme="minorEastAsia"/>
                <w:sz w:val="22"/>
                <w:szCs w:val="22"/>
                <w:lang w:val="en-IE" w:bidi="ar-SA"/>
              </w:rPr>
              <w:t xml:space="preserve"> = 2 and so on until all Accepted Bid Quantities have been allocated a position number.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rsidR="00817F44" w:rsidRPr="00817F44" w:rsidRDefault="00817F44" w:rsidP="00817F44">
            <w:pPr>
              <w:spacing w:before="120" w:after="120" w:line="240" w:lineRule="auto"/>
              <w:ind w:left="810" w:hanging="810"/>
              <w:jc w:val="both"/>
              <w:outlineLvl w:val="4"/>
              <w:rPr>
                <w:rFonts w:asciiTheme="minorHAnsi" w:eastAsiaTheme="minorEastAsia" w:hAnsiTheme="minorHAnsi"/>
                <w:b/>
                <w:u w:val="single"/>
                <w:lang w:val="en-IE" w:bidi="ar-SA"/>
              </w:rPr>
            </w:pPr>
            <w:r w:rsidRPr="00817F44">
              <w:rPr>
                <w:rFonts w:asciiTheme="minorHAnsi" w:eastAsiaTheme="minorEastAsia" w:hAnsiTheme="minorHAnsi"/>
                <w:b/>
                <w:u w:val="single"/>
                <w:lang w:val="en-IE" w:bidi="ar-SA"/>
              </w:rPr>
              <w:t>3)</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F.15.2.4 The Market Operator may, of</w:t>
            </w:r>
            <w:r w:rsidRPr="00817F44" w:rsidDel="00BD0347">
              <w:rPr>
                <w:rFonts w:eastAsiaTheme="minorEastAsia"/>
                <w:sz w:val="22"/>
                <w:szCs w:val="22"/>
                <w:lang w:val="en-IE" w:bidi="ar-SA"/>
              </w:rPr>
              <w:t xml:space="preserve"> </w:t>
            </w:r>
            <w:r w:rsidRPr="00817F44">
              <w:rPr>
                <w:rFonts w:eastAsiaTheme="minorEastAsia"/>
                <w:sz w:val="22"/>
                <w:szCs w:val="22"/>
                <w:lang w:val="en-IE" w:bidi="ar-SA"/>
              </w:rPr>
              <w:t xml:space="preserve">its own accord or in response to a request from the Regulatory Authorities, make additional interim reports to the Regulatory Authorities during the Year, proposing revisions to the Currency </w:t>
            </w:r>
            <w:ins w:id="123" w:author="Author">
              <w:r w:rsidRPr="00817F44">
                <w:rPr>
                  <w:rFonts w:eastAsiaTheme="minorEastAsia"/>
                  <w:sz w:val="22"/>
                  <w:szCs w:val="22"/>
                  <w:lang w:val="en-IE" w:bidi="ar-SA"/>
                </w:rPr>
                <w:t>Adjustment</w:t>
              </w:r>
            </w:ins>
            <w:del w:id="124" w:author="Author">
              <w:r w:rsidRPr="00817F44" w:rsidDel="001D18B4">
                <w:rPr>
                  <w:rFonts w:eastAsiaTheme="minorEastAsia"/>
                  <w:sz w:val="22"/>
                  <w:szCs w:val="22"/>
                  <w:lang w:val="en-IE" w:bidi="ar-SA"/>
                </w:rPr>
                <w:delText>Cost</w:delText>
              </w:r>
            </w:del>
            <w:r w:rsidRPr="00817F44">
              <w:rPr>
                <w:rFonts w:eastAsiaTheme="minorEastAsia"/>
                <w:sz w:val="22"/>
                <w:szCs w:val="22"/>
                <w:lang w:val="en-IE" w:bidi="ar-SA"/>
              </w:rPr>
              <w:t xml:space="preserve"> Charge Factor in the event that the parameters as originally proposed do not provide for the adequate recovery of anticipated costs and such under recovery is such that it is not appropriate to include as an adjustment in subsequent Years.</w:t>
            </w:r>
          </w:p>
          <w:p w:rsidR="00817F44" w:rsidRPr="00817F44" w:rsidRDefault="00817F44" w:rsidP="00817F44">
            <w:pPr>
              <w:spacing w:before="120" w:after="120" w:line="240" w:lineRule="auto"/>
              <w:ind w:left="810" w:hanging="810"/>
              <w:jc w:val="both"/>
              <w:outlineLvl w:val="4"/>
              <w:rPr>
                <w:rFonts w:asciiTheme="minorHAnsi" w:eastAsiaTheme="minorEastAsia" w:hAnsiTheme="minorHAnsi"/>
                <w:b/>
                <w:u w:val="single"/>
                <w:lang w:val="en-IE" w:bidi="ar-SA"/>
              </w:rPr>
            </w:pPr>
            <w:r w:rsidRPr="00817F44">
              <w:rPr>
                <w:rFonts w:asciiTheme="minorHAnsi" w:eastAsiaTheme="minorEastAsia" w:hAnsiTheme="minorHAnsi"/>
                <w:b/>
                <w:u w:val="single"/>
                <w:lang w:val="en-IE" w:bidi="ar-SA"/>
              </w:rPr>
              <w:t>4)</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F.18.2.1 The Market Operator shall calculate the Capacity Quantity Scaling Factor (FSQC</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 xml:space="preserve">) in Imbalance Settlement Period, </w:t>
            </w:r>
            <w:r w:rsidRPr="00817F44">
              <w:rPr>
                <w:rFonts w:eastAsiaTheme="minorEastAsia" w:cs="Arial"/>
                <w:sz w:val="22"/>
                <w:szCs w:val="22"/>
                <w:lang w:val="en-IE" w:bidi="ar-SA"/>
              </w:rPr>
              <w:t>γ</w:t>
            </w:r>
            <w:r w:rsidRPr="00817F44">
              <w:rPr>
                <w:rFonts w:eastAsiaTheme="minorEastAsia"/>
                <w:sz w:val="22"/>
                <w:szCs w:val="22"/>
                <w:lang w:val="en-IE" w:bidi="ar-SA"/>
              </w:rPr>
              <w:t>,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FSQC</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 Min</m:t>
                </m:r>
                <m:d>
                  <m:dPr>
                    <m:ctrlPr>
                      <w:rPr>
                        <w:rFonts w:ascii="Cambria Math" w:eastAsiaTheme="minorEastAsia" w:hAnsi="Cambria Math"/>
                        <w:i/>
                        <w:sz w:val="22"/>
                        <w:lang w:val="en-IE" w:eastAsia="en-IE" w:bidi="ar-SA"/>
                      </w:rPr>
                    </m:ctrlPr>
                  </m:dPr>
                  <m:e>
                    <m:f>
                      <m:fPr>
                        <m:ctrlPr>
                          <w:rPr>
                            <w:rFonts w:ascii="Cambria Math" w:eastAsiaTheme="minorEastAsia" w:hAnsi="Cambria Math"/>
                            <w:i/>
                            <w:sz w:val="22"/>
                            <w:lang w:val="en-IE" w:eastAsia="en-IE" w:bidi="ar-SA"/>
                          </w:rPr>
                        </m:ctrlPr>
                      </m:fPr>
                      <m:num>
                        <m:d>
                          <m:dPr>
                            <m:begChr m:val="|"/>
                            <m:endChr m:val="|"/>
                            <m:ctrlPr>
                              <w:rPr>
                                <w:rFonts w:ascii="Cambria Math" w:eastAsiaTheme="minorEastAsia" w:hAnsi="Cambria Math"/>
                                <w:i/>
                                <w:sz w:val="22"/>
                                <w:lang w:val="en-IE" w:eastAsia="en-IE" w:bidi="ar-SA"/>
                              </w:rPr>
                            </m:ctrlPr>
                          </m:dPr>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v</m:t>
                                </m:r>
                              </m:sub>
                              <m:sup/>
                              <m:e>
                                <m:r>
                                  <w:rPr>
                                    <w:rFonts w:ascii="Cambria Math" w:eastAsiaTheme="minorEastAsia" w:hAnsi="Cambria Math" w:cs="Arial"/>
                                    <w:sz w:val="22"/>
                                    <w:szCs w:val="22"/>
                                    <w:lang w:val="en-IE" w:eastAsia="en-IE" w:bidi="ar-SA"/>
                                  </w:rPr>
                                  <m:t>Min</m:t>
                                </m:r>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QMLF</m:t>
                                        </m:r>
                                      </m:e>
                                      <m:sub>
                                        <m:r>
                                          <w:rPr>
                                            <w:rFonts w:ascii="Cambria Math" w:eastAsiaTheme="minorEastAsia" w:hAnsi="Cambria Math" w:cs="Arial"/>
                                            <w:sz w:val="22"/>
                                            <w:szCs w:val="22"/>
                                            <w:lang w:val="en-IE" w:eastAsia="en-IE" w:bidi="ar-SA"/>
                                          </w:rPr>
                                          <m:t>vγ</m:t>
                                        </m:r>
                                      </m:sub>
                                    </m:sSub>
                                    <m:r>
                                      <w:rPr>
                                        <w:rFonts w:ascii="Cambria Math" w:eastAsiaTheme="minorEastAsia" w:hAnsi="Cambria Math" w:cs="Arial"/>
                                        <w:sz w:val="22"/>
                                        <w:szCs w:val="22"/>
                                        <w:lang w:val="en-IE" w:eastAsia="en-IE" w:bidi="ar-SA"/>
                                      </w:rPr>
                                      <m:t>, 0</m:t>
                                    </m:r>
                                  </m:e>
                                </m:d>
                              </m:e>
                            </m:nary>
                          </m:e>
                        </m:d>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qCREQAR</m:t>
                            </m:r>
                          </m:e>
                          <m:sub>
                            <m:r>
                              <w:rPr>
                                <w:rFonts w:ascii="Cambria Math" w:eastAsiaTheme="minorEastAsia" w:hAnsi="Cambria Math" w:cs="Arial"/>
                                <w:sz w:val="22"/>
                                <w:szCs w:val="22"/>
                                <w:lang w:val="en-IE" w:eastAsia="en-IE" w:bidi="ar-SA"/>
                              </w:rPr>
                              <m:t>y</m:t>
                            </m:r>
                          </m:sub>
                        </m:sSub>
                        <m:r>
                          <w:rPr>
                            <w:rFonts w:ascii="Cambria Math" w:eastAsiaTheme="minorEastAsia" w:hAnsi="Cambria Math" w:cs="Arial"/>
                            <w:sz w:val="22"/>
                            <w:szCs w:val="22"/>
                            <w:lang w:val="en-IE" w:eastAsia="en-IE" w:bidi="ar-SA"/>
                          </w:rPr>
                          <m:t xml:space="preserve"> ×DISP)</m:t>
                        </m:r>
                      </m:num>
                      <m:den>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Ω</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n ∈ γ, qCCOMMISS ≠0</m:t>
                                </m:r>
                              </m:sub>
                              <m:sup/>
                              <m:e>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qCLF</m:t>
                                        </m:r>
                                      </m:e>
                                      <m:sub>
                                        <m:r>
                                          <w:rPr>
                                            <w:rFonts w:ascii="Cambria Math" w:eastAsiaTheme="minorEastAsia" w:hAnsi="Cambria Math" w:cs="Arial"/>
                                            <w:sz w:val="22"/>
                                            <w:szCs w:val="22"/>
                                            <w:lang w:val="en-IE" w:eastAsia="en-IE" w:bidi="ar-SA"/>
                                          </w:rPr>
                                          <m:t>Ωn</m:t>
                                        </m:r>
                                      </m:sub>
                                    </m:sSub>
                                  </m:e>
                                </m:d>
                              </m:e>
                            </m:nary>
                          </m:e>
                        </m:nary>
                        <m:r>
                          <w:rPr>
                            <w:rFonts w:ascii="Cambria Math" w:eastAsiaTheme="minorEastAsia" w:hAnsi="Cambria Math" w:cs="Arial"/>
                            <w:sz w:val="22"/>
                            <w:szCs w:val="22"/>
                            <w:lang w:val="en-IE" w:eastAsia="en-IE" w:bidi="ar-SA"/>
                          </w:rPr>
                          <m:t xml:space="preserve"> ×DISP</m:t>
                        </m:r>
                      </m:den>
                    </m:f>
                    <m:r>
                      <w:rPr>
                        <w:rFonts w:ascii="Cambria Math" w:eastAsiaTheme="minorEastAsia" w:hAnsi="Cambria Math" w:cs="Arial"/>
                        <w:sz w:val="22"/>
                        <w:szCs w:val="22"/>
                        <w:lang w:val="en-IE" w:eastAsia="en-IE" w:bidi="ar-SA"/>
                      </w:rPr>
                      <m:t>,</m:t>
                    </m:r>
                    <m:f>
                      <m:fPr>
                        <m:ctrlPr>
                          <w:rPr>
                            <w:rFonts w:ascii="Cambria Math" w:eastAsiaTheme="minorEastAsia" w:hAnsi="Cambria Math"/>
                            <w:i/>
                            <w:sz w:val="22"/>
                            <w:lang w:val="en-IE" w:eastAsia="en-IE" w:bidi="ar-SA"/>
                          </w:rPr>
                        </m:ctrlPr>
                      </m:fPr>
                      <m:num>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Ω</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n ∈ γ, qCCOMMISS ≠0</m:t>
                                </m:r>
                              </m:sub>
                              <m:sup/>
                              <m:e>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qCLF</m:t>
                                        </m:r>
                                      </m:e>
                                      <m:sub>
                                        <m:r>
                                          <w:rPr>
                                            <w:rFonts w:ascii="Cambria Math" w:eastAsiaTheme="minorEastAsia" w:hAnsi="Cambria Math" w:cs="Arial"/>
                                            <w:sz w:val="22"/>
                                            <w:szCs w:val="22"/>
                                            <w:lang w:val="en-IE" w:eastAsia="en-IE" w:bidi="ar-SA"/>
                                          </w:rPr>
                                          <m:t>Ωn</m:t>
                                        </m:r>
                                      </m:sub>
                                    </m:sSub>
                                  </m:e>
                                </m:d>
                              </m:e>
                            </m:nary>
                          </m:e>
                        </m:nary>
                        <m:r>
                          <w:rPr>
                            <w:rFonts w:ascii="Cambria Math" w:eastAsiaTheme="minorEastAsia" w:hAnsi="Cambria Math" w:cs="Arial"/>
                            <w:sz w:val="22"/>
                            <w:szCs w:val="22"/>
                            <w:lang w:val="en-IE" w:eastAsia="en-IE" w:bidi="ar-SA"/>
                          </w:rPr>
                          <m:t xml:space="preserve"> ×DISP</m:t>
                        </m:r>
                      </m:num>
                      <m:den>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qCREQ</m:t>
                            </m:r>
                          </m:e>
                          <m:sub>
                            <m:r>
                              <w:rPr>
                                <w:rFonts w:ascii="Cambria Math" w:eastAsiaTheme="minorEastAsia" w:hAnsi="Cambria Math" w:cs="Arial"/>
                                <w:sz w:val="22"/>
                                <w:szCs w:val="22"/>
                                <w:lang w:val="en-IE" w:eastAsia="en-IE" w:bidi="ar-SA"/>
                              </w:rPr>
                              <m:t>y</m:t>
                            </m:r>
                          </m:sub>
                        </m:sSub>
                        <m:r>
                          <w:rPr>
                            <w:rFonts w:ascii="Cambria Math" w:eastAsiaTheme="minorEastAsia" w:hAnsi="Cambria Math" w:cs="Arial"/>
                            <w:sz w:val="22"/>
                            <w:szCs w:val="22"/>
                            <w:lang w:val="en-IE" w:eastAsia="en-IE" w:bidi="ar-SA"/>
                          </w:rPr>
                          <m:t xml:space="preserve"> ×DISP</m:t>
                        </m:r>
                      </m:den>
                    </m:f>
                    <m:r>
                      <w:rPr>
                        <w:rFonts w:ascii="Cambria Math" w:eastAsiaTheme="minorEastAsia" w:hAnsi="Cambria Math" w:cs="Arial"/>
                        <w:sz w:val="22"/>
                        <w:szCs w:val="22"/>
                        <w:lang w:val="en-IE" w:eastAsia="en-IE" w:bidi="ar-SA"/>
                      </w:rPr>
                      <m:t>, 1</m:t>
                    </m:r>
                  </m:e>
                </m:d>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QMLF</w:t>
            </w:r>
            <w:r w:rsidRPr="00817F44">
              <w:rPr>
                <w:rFonts w:eastAsiaTheme="minorEastAsia"/>
                <w:sz w:val="22"/>
                <w:szCs w:val="22"/>
                <w:vertAlign w:val="subscript"/>
                <w:lang w:val="en-IE" w:bidi="ar-SA"/>
              </w:rPr>
              <w:t>vγ</w:t>
            </w:r>
            <w:r w:rsidRPr="00817F44">
              <w:rPr>
                <w:rFonts w:eastAsiaTheme="minorEastAsia"/>
                <w:sz w:val="22"/>
                <w:szCs w:val="22"/>
                <w:lang w:val="en-IE" w:bidi="ar-SA"/>
              </w:rPr>
              <w:t xml:space="preserve"> is the Loss-Adjusted Metered Quantity for Supplier Unit, v, in Imbalance Settlement Period, γ;</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qCREQ</w:t>
            </w:r>
            <w:r w:rsidRPr="00817F44">
              <w:rPr>
                <w:rFonts w:eastAsiaTheme="minorEastAsia"/>
                <w:sz w:val="22"/>
                <w:szCs w:val="22"/>
                <w:vertAlign w:val="subscript"/>
                <w:lang w:val="en-IE" w:bidi="ar-SA"/>
              </w:rPr>
              <w:t>y</w:t>
            </w:r>
            <w:r w:rsidRPr="00817F44">
              <w:rPr>
                <w:rFonts w:eastAsiaTheme="minorEastAsia"/>
                <w:sz w:val="22"/>
                <w:szCs w:val="22"/>
                <w:lang w:val="en-IE" w:bidi="ar-SA"/>
              </w:rPr>
              <w:t xml:space="preserve"> is the Required Capacity Quantity in Capacity Year, y, determined in accordance with the Capacity Market Code;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qCREQAR</w:t>
            </w:r>
            <w:r w:rsidRPr="00817F44">
              <w:rPr>
                <w:rFonts w:eastAsiaTheme="minorEastAsia"/>
                <w:sz w:val="22"/>
                <w:szCs w:val="22"/>
                <w:vertAlign w:val="subscript"/>
                <w:lang w:val="en-IE" w:bidi="ar-SA"/>
              </w:rPr>
              <w:t>y</w:t>
            </w:r>
            <w:r w:rsidRPr="00817F44">
              <w:rPr>
                <w:rFonts w:eastAsiaTheme="minorEastAsia"/>
                <w:sz w:val="22"/>
                <w:szCs w:val="22"/>
                <w:lang w:val="en-IE" w:bidi="ar-SA"/>
              </w:rPr>
              <w:t xml:space="preserve"> is the Reserve Adjustment</w:t>
            </w:r>
            <w:ins w:id="125" w:author="Author">
              <w:r w:rsidRPr="00817F44">
                <w:rPr>
                  <w:rFonts w:eastAsiaTheme="minorEastAsia"/>
                  <w:sz w:val="22"/>
                  <w:szCs w:val="22"/>
                  <w:lang w:val="en-IE" w:bidi="ar-SA"/>
                </w:rPr>
                <w:t xml:space="preserve"> Required</w:t>
              </w:r>
            </w:ins>
            <w:r w:rsidRPr="00817F44">
              <w:rPr>
                <w:rFonts w:eastAsiaTheme="minorEastAsia"/>
                <w:sz w:val="22"/>
                <w:szCs w:val="22"/>
                <w:lang w:val="en-IE" w:bidi="ar-SA"/>
              </w:rPr>
              <w:t xml:space="preserve"> Capacity Quantity, in Capacity Year, y, determined in accordance with the Capacity Market Code;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DISP is the Imbalance Settlement Period Duration.</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qCLF</w:t>
            </w:r>
            <w:r w:rsidRPr="00817F44">
              <w:rPr>
                <w:rFonts w:eastAsiaTheme="minorEastAsia" w:cs="Arial"/>
                <w:sz w:val="22"/>
                <w:szCs w:val="22"/>
                <w:vertAlign w:val="subscript"/>
                <w:lang w:val="en-IE" w:bidi="ar-SA"/>
              </w:rPr>
              <w:t>Ω</w:t>
            </w:r>
            <w:r w:rsidRPr="00817F44">
              <w:rPr>
                <w:rFonts w:eastAsiaTheme="minorEastAsia"/>
                <w:sz w:val="22"/>
                <w:szCs w:val="22"/>
                <w:vertAlign w:val="subscript"/>
                <w:lang w:val="en-IE" w:bidi="ar-SA"/>
              </w:rPr>
              <w:t>n</w:t>
            </w:r>
            <w:r w:rsidRPr="00817F44">
              <w:rPr>
                <w:rFonts w:eastAsiaTheme="minorEastAsia"/>
                <w:sz w:val="22"/>
                <w:szCs w:val="22"/>
                <w:lang w:val="en-IE" w:bidi="ar-SA"/>
              </w:rPr>
              <w:t xml:space="preserve"> is the Loss-Adjusted Capacity Quantity for Capacity Market Unit, </w:t>
            </w:r>
            <w:r w:rsidRPr="00817F44">
              <w:rPr>
                <w:rFonts w:eastAsiaTheme="minorEastAsia" w:cs="Arial"/>
                <w:sz w:val="22"/>
                <w:szCs w:val="22"/>
                <w:lang w:val="en-IE" w:bidi="ar-SA"/>
              </w:rPr>
              <w:t>Ω</w:t>
            </w:r>
            <w:r w:rsidRPr="00817F44">
              <w:rPr>
                <w:rFonts w:eastAsiaTheme="minorEastAsia"/>
                <w:sz w:val="22"/>
                <w:szCs w:val="22"/>
                <w:lang w:val="en-IE" w:bidi="ar-SA"/>
              </w:rPr>
              <w:t>, for Contract Register Entry, n, determined in accordance with the Capacity Market Code;</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v</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Supplier Units, v;</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Ω</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 xml:space="preserve">is a summation over all Capacity Market Units, </w:t>
            </w:r>
            <w:r w:rsidR="00817F44" w:rsidRPr="00817F44">
              <w:rPr>
                <w:rFonts w:eastAsiaTheme="minorEastAsia" w:cs="Arial"/>
                <w:sz w:val="22"/>
                <w:szCs w:val="22"/>
                <w:lang w:val="en-IE" w:bidi="ar-SA"/>
              </w:rPr>
              <w:t>Ω</w:t>
            </w:r>
            <w:r w:rsidR="00817F44" w:rsidRPr="00817F44">
              <w:rPr>
                <w:rFonts w:eastAsiaTheme="minorEastAsia"/>
                <w:sz w:val="22"/>
                <w:szCs w:val="22"/>
                <w:lang w:val="en-IE" w:bidi="ar-SA"/>
              </w:rPr>
              <w:t>; and</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n ∈ γ, qCCOMMISS ≠0</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 xml:space="preserve"> is a summation across all Contract Register Entries, n, for Capacity Market Unit, </w:t>
            </w:r>
            <w:r w:rsidR="00817F44" w:rsidRPr="00817F44">
              <w:rPr>
                <w:rFonts w:eastAsiaTheme="minorEastAsia" w:cs="Arial"/>
                <w:sz w:val="22"/>
                <w:szCs w:val="22"/>
                <w:lang w:val="en-IE" w:bidi="ar-SA"/>
              </w:rPr>
              <w:t>Ω</w:t>
            </w:r>
            <w:r w:rsidR="00817F44" w:rsidRPr="00817F44">
              <w:rPr>
                <w:rFonts w:eastAsiaTheme="minorEastAsia"/>
                <w:sz w:val="22"/>
                <w:szCs w:val="22"/>
                <w:lang w:val="en-IE" w:bidi="ar-SA"/>
              </w:rPr>
              <w:t>, relevant in Imbalance Settlement Period, γ,  and which has commissioned in accordance with the Capacity Market Code.</w:t>
            </w:r>
          </w:p>
          <w:p w:rsidR="00817F44" w:rsidRPr="00817F44" w:rsidRDefault="00817F44" w:rsidP="00817F44">
            <w:pPr>
              <w:spacing w:before="120" w:after="120" w:line="240" w:lineRule="auto"/>
              <w:ind w:left="810" w:hanging="810"/>
              <w:jc w:val="both"/>
              <w:outlineLvl w:val="4"/>
              <w:rPr>
                <w:rFonts w:eastAsiaTheme="minorEastAsia"/>
                <w:sz w:val="22"/>
                <w:szCs w:val="22"/>
                <w:lang w:val="en-IE" w:bidi="ar-SA"/>
              </w:rPr>
            </w:pPr>
          </w:p>
          <w:p w:rsidR="00817F44" w:rsidRPr="00817F44" w:rsidRDefault="00817F44" w:rsidP="00817F44">
            <w:pPr>
              <w:spacing w:before="120" w:after="120" w:line="240" w:lineRule="auto"/>
              <w:ind w:left="810" w:hanging="810"/>
              <w:jc w:val="both"/>
              <w:outlineLvl w:val="4"/>
              <w:rPr>
                <w:rFonts w:asciiTheme="minorHAnsi" w:eastAsiaTheme="minorEastAsia" w:hAnsiTheme="minorHAnsi"/>
                <w:b/>
                <w:u w:val="single"/>
                <w:lang w:val="en-IE" w:bidi="ar-SA"/>
              </w:rPr>
            </w:pPr>
            <w:r w:rsidRPr="00817F44">
              <w:rPr>
                <w:rFonts w:asciiTheme="minorHAnsi" w:eastAsiaTheme="minorEastAsia" w:hAnsiTheme="minorHAnsi"/>
                <w:b/>
                <w:u w:val="single"/>
                <w:lang w:val="en-IE" w:bidi="ar-SA"/>
              </w:rPr>
              <w:t>5)</w:t>
            </w:r>
          </w:p>
          <w:p w:rsidR="00817F44" w:rsidRPr="00817F44" w:rsidRDefault="00817F44" w:rsidP="00817F44">
            <w:pPr>
              <w:spacing w:before="120" w:after="120" w:line="240" w:lineRule="auto"/>
              <w:ind w:left="810" w:hanging="810"/>
              <w:jc w:val="both"/>
              <w:outlineLvl w:val="4"/>
              <w:rPr>
                <w:rFonts w:asciiTheme="minorHAnsi" w:eastAsiaTheme="minorEastAsia" w:hAnsiTheme="minorHAnsi"/>
                <w:lang w:val="en-IE"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F.20.3.2 The Market Operator shall calculate the Imbalance Difference Quantity (QDIFFPIMB</w:t>
            </w:r>
            <w:r w:rsidRPr="00817F44">
              <w:rPr>
                <w:rFonts w:eastAsiaTheme="minorEastAsia" w:cs="Arial"/>
                <w:sz w:val="22"/>
                <w:szCs w:val="22"/>
                <w:vertAlign w:val="subscript"/>
                <w:lang w:val="en-IE" w:bidi="ar-SA"/>
              </w:rPr>
              <w:t>v</w:t>
            </w:r>
            <w:r w:rsidRPr="00817F44">
              <w:rPr>
                <w:rFonts w:eastAsiaTheme="minorEastAsia"/>
                <w:sz w:val="22"/>
                <w:szCs w:val="22"/>
                <w:vertAlign w:val="subscript"/>
                <w:lang w:val="en-IE" w:bidi="ar-SA"/>
              </w:rPr>
              <w:t>γ</w:t>
            </w:r>
            <w:r w:rsidRPr="00817F44">
              <w:rPr>
                <w:rFonts w:eastAsiaTheme="minorEastAsia"/>
                <w:sz w:val="22"/>
                <w:szCs w:val="22"/>
                <w:lang w:val="en-IE" w:bidi="ar-SA"/>
              </w:rPr>
              <w:t>) for each Trading Site Supplier Unit, v, in each Imbalance Settlement Period, γ,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QDIFFPIMB</m:t>
                    </m:r>
                  </m:e>
                  <m:sub>
                    <m:r>
                      <w:rPr>
                        <w:rFonts w:ascii="Cambria Math" w:eastAsiaTheme="minorEastAsia" w:hAnsi="Cambria Math" w:cs="Arial"/>
                        <w:sz w:val="22"/>
                        <w:szCs w:val="22"/>
                        <w:lang w:val="en-IE" w:eastAsia="en-IE" w:bidi="ar-SA"/>
                      </w:rPr>
                      <m:t>vγ</m:t>
                    </m:r>
                  </m:sub>
                </m:sSub>
                <m:r>
                  <w:rPr>
                    <w:rFonts w:ascii="Cambria Math" w:eastAsiaTheme="minorEastAsia" w:hAnsi="Cambria Math" w:cs="Arial"/>
                    <w:sz w:val="22"/>
                    <w:szCs w:val="22"/>
                    <w:lang w:val="en-IE" w:eastAsia="en-IE" w:bidi="ar-SA"/>
                  </w:rPr>
                  <m:t>=Min</m:t>
                </m:r>
                <m:d>
                  <m:dPr>
                    <m:ctrlPr>
                      <w:rPr>
                        <w:rFonts w:ascii="Cambria Math" w:eastAsiaTheme="minorEastAsia" w:hAnsi="Cambria Math"/>
                        <w:i/>
                        <w:sz w:val="22"/>
                        <w:lang w:val="en-IE" w:eastAsia="en-IE" w:bidi="ar-SA"/>
                      </w:rPr>
                    </m:ctrlPr>
                  </m:dPr>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u ∈s</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QMLF</m:t>
                            </m:r>
                          </m:e>
                          <m:sub>
                            <m:r>
                              <w:rPr>
                                <w:rFonts w:ascii="Cambria Math" w:eastAsiaTheme="minorEastAsia" w:hAnsi="Cambria Math" w:cs="Arial"/>
                                <w:sz w:val="22"/>
                                <w:szCs w:val="22"/>
                                <w:lang w:val="en-IE" w:eastAsia="en-IE" w:bidi="ar-SA"/>
                              </w:rPr>
                              <m:t>uγ</m:t>
                            </m:r>
                          </m:sub>
                        </m:sSub>
                      </m:e>
                    </m:nary>
                    <m:r>
                      <w:rPr>
                        <w:rFonts w:ascii="Cambria Math" w:eastAsiaTheme="minorEastAsia" w:hAnsi="Cambria Math" w:cs="Arial"/>
                        <w:sz w:val="22"/>
                        <w:szCs w:val="22"/>
                        <w:lang w:val="en-IE" w:eastAsia="en-IE" w:bidi="ar-SA"/>
                      </w:rPr>
                      <m:t xml:space="preserve"> + </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v ∈s</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QMLF</m:t>
                            </m:r>
                          </m:e>
                          <m:sub>
                            <m:r>
                              <w:rPr>
                                <w:rFonts w:ascii="Cambria Math" w:eastAsiaTheme="minorEastAsia" w:hAnsi="Cambria Math" w:cs="Arial"/>
                                <w:sz w:val="22"/>
                                <w:szCs w:val="22"/>
                                <w:lang w:val="en-IE" w:eastAsia="en-IE" w:bidi="ar-SA"/>
                              </w:rPr>
                              <m:t>vγ</m:t>
                            </m:r>
                          </m:sub>
                        </m:sSub>
                      </m:e>
                    </m:nary>
                    <m:r>
                      <w:rPr>
                        <w:rFonts w:ascii="Cambria Math" w:eastAsiaTheme="minorEastAsia" w:hAnsi="Cambria Math" w:cs="Arial"/>
                        <w:sz w:val="22"/>
                        <w:szCs w:val="22"/>
                        <w:lang w:val="en-IE" w:eastAsia="en-IE" w:bidi="ar-SA"/>
                      </w:rPr>
                      <m:t>, 0</m:t>
                    </m:r>
                  </m:e>
                </m:d>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szCs w:val="22"/>
                      <w:lang w:val="en-IE" w:bidi="ar-SA"/>
                    </w:rPr>
                  </m:ctrlPr>
                </m:naryPr>
                <m:sub>
                  <m:r>
                    <w:rPr>
                      <w:rFonts w:ascii="Cambria Math" w:eastAsiaTheme="minorEastAsia" w:hAnsi="Cambria Math"/>
                      <w:sz w:val="22"/>
                      <w:szCs w:val="22"/>
                      <w:lang w:val="en-IE" w:bidi="ar-SA"/>
                    </w:rPr>
                    <m:t>u ∈ s</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Generator Units, u, in Trading Site, s, relevant to the Trading Site Supplier Unit;</w:t>
            </w:r>
          </w:p>
          <w:p w:rsidR="00817F44" w:rsidRPr="00817F44" w:rsidRDefault="00D23453" w:rsidP="00817F44">
            <w:pPr>
              <w:numPr>
                <w:ilvl w:val="4"/>
                <w:numId w:val="0"/>
              </w:numPr>
              <w:spacing w:before="120" w:after="120" w:line="240" w:lineRule="auto"/>
              <w:ind w:left="1701" w:hanging="709"/>
              <w:jc w:val="both"/>
              <w:rPr>
                <w:ins w:id="126" w:author="Author"/>
                <w:rFonts w:eastAsiaTheme="minorEastAsia"/>
                <w:sz w:val="22"/>
                <w:szCs w:val="22"/>
                <w:lang w:val="en-IE" w:bidi="ar-SA"/>
              </w:rPr>
            </w:pPr>
            <m:oMath>
              <m:nary>
                <m:naryPr>
                  <m:chr m:val="∑"/>
                  <m:limLoc m:val="undOvr"/>
                  <m:supHide m:val="on"/>
                  <m:ctrlPr>
                    <w:ins w:id="127" w:author="Author">
                      <w:rPr>
                        <w:rFonts w:ascii="Cambria Math" w:eastAsiaTheme="minorEastAsia" w:hAnsi="Cambria Math"/>
                        <w:i/>
                        <w:sz w:val="22"/>
                        <w:lang w:val="en-IE" w:eastAsia="en-GB" w:bidi="ar-SA"/>
                      </w:rPr>
                    </w:ins>
                  </m:ctrlPr>
                </m:naryPr>
                <m:sub>
                  <m:r>
                    <w:rPr>
                      <w:rFonts w:ascii="Cambria Math" w:eastAsiaTheme="minorEastAsia" w:hAnsi="Cambria Math"/>
                      <w:sz w:val="22"/>
                      <w:szCs w:val="22"/>
                      <w:lang w:val="en-IE" w:bidi="ar-SA"/>
                    </w:rPr>
                    <m:t>v ∈ s</m:t>
                  </m:r>
                  <m:ctrlPr>
                    <w:rPr>
                      <w:rFonts w:ascii="Cambria Math" w:eastAsiaTheme="minorEastAsia" w:hAnsi="Cambria Math"/>
                      <w:i/>
                      <w:sz w:val="22"/>
                      <w:lang w:val="en-IE" w:eastAsia="en-GB" w:bidi="ar-SA"/>
                    </w:rPr>
                  </m:ctrlPr>
                </m:sub>
                <m:sup>
                  <m:ctrlPr>
                    <w:rPr>
                      <w:rFonts w:ascii="Cambria Math" w:eastAsiaTheme="minorEastAsia" w:hAnsi="Cambria Math"/>
                      <w:i/>
                      <w:sz w:val="22"/>
                      <w:lang w:val="en-IE" w:eastAsia="en-GB" w:bidi="ar-SA"/>
                    </w:rPr>
                  </m:ctrlPr>
                </m:sup>
                <m:e>
                  <m:r>
                    <w:rPr>
                      <w:rFonts w:ascii="Cambria Math" w:eastAsiaTheme="minorEastAsia" w:hAnsi="Cambria Math"/>
                      <w:sz w:val="22"/>
                      <w:szCs w:val="22"/>
                      <w:lang w:val="en-IE" w:bidi="ar-SA"/>
                    </w:rPr>
                    <m:t xml:space="preserve"> </m:t>
                  </m:r>
                  <m:ctrlPr>
                    <w:rPr>
                      <w:rFonts w:ascii="Cambria Math" w:eastAsiaTheme="minorEastAsia" w:hAnsi="Cambria Math"/>
                      <w:i/>
                      <w:sz w:val="22"/>
                      <w:lang w:val="en-IE" w:eastAsia="en-GB" w:bidi="ar-SA"/>
                    </w:rPr>
                  </m:ctrlPr>
                </m:e>
              </m:nary>
            </m:oMath>
            <w:r w:rsidR="00817F44" w:rsidRPr="00817F44">
              <w:rPr>
                <w:rFonts w:eastAsiaTheme="minorEastAsia"/>
                <w:sz w:val="22"/>
                <w:szCs w:val="22"/>
                <w:lang w:val="en-IE" w:bidi="ar-SA"/>
              </w:rPr>
              <w:t>is the value for the single Trading Site Supplier Unit, v, in Trading Site, s, in accordance with paragraph B.9.1.2;</w:t>
            </w:r>
          </w:p>
          <w:p w:rsidR="00817F44" w:rsidRPr="00817F44" w:rsidRDefault="00817F44" w:rsidP="00817F44">
            <w:pPr>
              <w:numPr>
                <w:ilvl w:val="4"/>
                <w:numId w:val="0"/>
              </w:numPr>
              <w:spacing w:before="120" w:after="120" w:line="240" w:lineRule="auto"/>
              <w:ind w:left="1701" w:hanging="709"/>
              <w:jc w:val="both"/>
              <w:rPr>
                <w:ins w:id="128" w:author="Author"/>
                <w:rFonts w:eastAsiaTheme="minorEastAsia"/>
                <w:sz w:val="22"/>
                <w:szCs w:val="22"/>
                <w:lang w:val="en-IE" w:bidi="ar-SA"/>
              </w:rPr>
            </w:pPr>
            <w:ins w:id="129" w:author="Author">
              <w:r w:rsidRPr="00817F44">
                <w:rPr>
                  <w:rFonts w:eastAsiaTheme="minorEastAsia"/>
                  <w:sz w:val="22"/>
                  <w:szCs w:val="22"/>
                  <w:lang w:val="en-IE" w:bidi="ar-SA"/>
                </w:rPr>
                <w:t>QMLF</w:t>
              </w:r>
              <w:r w:rsidRPr="00817F44">
                <w:rPr>
                  <w:rFonts w:eastAsiaTheme="minorEastAsia"/>
                  <w:sz w:val="22"/>
                  <w:szCs w:val="22"/>
                  <w:vertAlign w:val="subscript"/>
                  <w:lang w:val="en-IE" w:bidi="ar-SA"/>
                </w:rPr>
                <w:t>uγ</w:t>
              </w:r>
              <w:r w:rsidRPr="00817F44">
                <w:rPr>
                  <w:rFonts w:eastAsiaTheme="minorEastAsia"/>
                  <w:sz w:val="22"/>
                  <w:szCs w:val="22"/>
                  <w:lang w:val="en-IE" w:bidi="ar-SA"/>
                </w:rPr>
                <w:t xml:space="preserve"> is the Loss-Adjusted Metered Quantity for Generator Unit u in Imbalance Settlement Period γ; and</w:t>
              </w:r>
            </w:ins>
          </w:p>
          <w:p w:rsidR="00817F44" w:rsidRPr="00817F44" w:rsidRDefault="00817F44" w:rsidP="00817F44">
            <w:pPr>
              <w:spacing w:before="120" w:after="120" w:line="240" w:lineRule="auto"/>
              <w:ind w:left="1701"/>
              <w:jc w:val="both"/>
              <w:rPr>
                <w:rFonts w:eastAsiaTheme="minorEastAsia"/>
                <w:sz w:val="22"/>
                <w:szCs w:val="22"/>
                <w:lang w:val="en-IE" w:bidi="ar-SA"/>
              </w:rPr>
            </w:pPr>
            <w:r w:rsidRPr="00817F44" w:rsidDel="00985AF9">
              <w:rPr>
                <w:rFonts w:eastAsiaTheme="minorEastAsia"/>
                <w:sz w:val="22"/>
                <w:szCs w:val="22"/>
                <w:lang w:val="en-IE" w:bidi="ar-SA"/>
              </w:rPr>
              <w:t xml:space="preserve"> and</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QMLF</w:t>
            </w:r>
            <w:r w:rsidRPr="00817F44">
              <w:rPr>
                <w:rFonts w:eastAsiaTheme="minorEastAsia"/>
                <w:sz w:val="22"/>
                <w:szCs w:val="22"/>
                <w:vertAlign w:val="subscript"/>
                <w:lang w:val="en-IE" w:bidi="ar-SA"/>
              </w:rPr>
              <w:t>vγ</w:t>
            </w:r>
            <w:r w:rsidRPr="00817F44">
              <w:rPr>
                <w:rFonts w:eastAsiaTheme="minorEastAsia"/>
                <w:sz w:val="22"/>
                <w:szCs w:val="22"/>
                <w:lang w:val="en-IE" w:bidi="ar-SA"/>
              </w:rPr>
              <w:t xml:space="preserve"> is the Loss-Adjusted Metered Quantity for Supplier Unit, v, in Imbalance Settlement Period, γ.</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6)</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r w:rsidRPr="00817F44">
              <w:rPr>
                <w:rFonts w:eastAsiaTheme="minorEastAsia"/>
                <w:sz w:val="22"/>
                <w:szCs w:val="22"/>
                <w:lang w:val="en-IE" w:bidi="ar-SA"/>
              </w:rPr>
              <w:t>F.20.5.3 The Market Operator shall calculate the Difference Payment Reimbursement Amount (CREIMDIFFP</w:t>
            </w:r>
            <w:r w:rsidRPr="00817F44">
              <w:rPr>
                <w:rFonts w:eastAsiaTheme="minorEastAsia"/>
                <w:sz w:val="22"/>
                <w:szCs w:val="22"/>
                <w:vertAlign w:val="subscript"/>
                <w:lang w:val="en-IE" w:bidi="ar-SA"/>
              </w:rPr>
              <w:t>vd</w:t>
            </w:r>
            <w:r w:rsidRPr="00817F44">
              <w:rPr>
                <w:rFonts w:eastAsiaTheme="minorEastAsia"/>
                <w:sz w:val="22"/>
                <w:szCs w:val="22"/>
                <w:lang w:val="en-IE" w:bidi="ar-SA"/>
              </w:rPr>
              <w:t>) for each Supplier Unit, v, in each Settlement Day, d,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CREIMDIFFP</m:t>
                    </m:r>
                  </m:e>
                  <m:sub>
                    <m:r>
                      <w:rPr>
                        <w:rFonts w:ascii="Cambria Math" w:eastAsiaTheme="minorEastAsia" w:hAnsi="Cambria Math" w:cs="Arial"/>
                        <w:sz w:val="22"/>
                        <w:szCs w:val="22"/>
                        <w:lang w:val="en-IE" w:eastAsia="en-IE" w:bidi="ar-SA"/>
                      </w:rPr>
                      <m:t>vd</m:t>
                    </m:r>
                  </m:sub>
                </m:sSub>
                <m:r>
                  <w:rPr>
                    <w:rFonts w:ascii="Cambria Math" w:eastAsiaTheme="minorEastAsia" w:hAnsi="Cambria Math" w:cs="Arial"/>
                    <w:sz w:val="22"/>
                    <w:szCs w:val="22"/>
                    <w:lang w:val="en-IE" w:eastAsia="en-IE" w:bidi="ar-SA"/>
                  </w:rPr>
                  <m:t>= Min</m:t>
                </m:r>
                <m:d>
                  <m:dPr>
                    <m:ctrlPr>
                      <w:rPr>
                        <w:rFonts w:ascii="Cambria Math" w:eastAsiaTheme="minorEastAsia" w:hAnsi="Cambria Math"/>
                        <w:i/>
                        <w:sz w:val="22"/>
                        <w:lang w:val="en-IE" w:eastAsia="en-IE" w:bidi="ar-SA"/>
                      </w:rPr>
                    </m:ctrlPr>
                  </m:dPr>
                  <m:e>
                    <m:r>
                      <w:rPr>
                        <w:rFonts w:ascii="Cambria Math" w:eastAsiaTheme="minorEastAsia" w:hAnsi="Cambria Math" w:cs="Arial"/>
                        <w:sz w:val="22"/>
                        <w:szCs w:val="22"/>
                        <w:lang w:val="en-IE" w:eastAsia="en-IE" w:bidi="ar-SA"/>
                      </w:rPr>
                      <m:t>Max</m:t>
                    </m:r>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CBSOC</m:t>
                            </m:r>
                          </m:e>
                          <m:sub>
                            <m:r>
                              <w:rPr>
                                <w:rFonts w:ascii="Cambria Math" w:eastAsiaTheme="minorEastAsia" w:hAnsi="Cambria Math" w:cs="Arial"/>
                                <w:sz w:val="22"/>
                                <w:szCs w:val="22"/>
                                <w:lang w:val="en-IE" w:eastAsia="en-IE" w:bidi="ar-SA"/>
                              </w:rPr>
                              <m:t>d</m:t>
                            </m:r>
                          </m:sub>
                        </m:sSub>
                        <m:r>
                          <w:rPr>
                            <w:rFonts w:ascii="Cambria Math" w:eastAsiaTheme="minorEastAsia" w:hAnsi="Cambria Math" w:cs="Arial"/>
                            <w:sz w:val="22"/>
                            <w:szCs w:val="22"/>
                            <w:lang w:val="en-IE" w:eastAsia="en-IE" w:bidi="ar-SA"/>
                          </w:rPr>
                          <m:t>, 0</m:t>
                        </m:r>
                      </m:e>
                    </m:d>
                    <m:r>
                      <w:rPr>
                        <w:rFonts w:ascii="Cambria Math" w:eastAsiaTheme="minorEastAsia" w:hAnsi="Cambria Math" w:cs="Arial"/>
                        <w:sz w:val="22"/>
                        <w:szCs w:val="22"/>
                        <w:lang w:val="en-IE" w:eastAsia="en-IE" w:bidi="ar-SA"/>
                      </w:rPr>
                      <m:t xml:space="preserve">, </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v</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CSHORTDIFFPTRACK</m:t>
                            </m:r>
                          </m:e>
                          <m:sub>
                            <m:r>
                              <w:rPr>
                                <w:rFonts w:ascii="Cambria Math" w:eastAsiaTheme="minorEastAsia" w:hAnsi="Cambria Math" w:cs="Arial"/>
                                <w:sz w:val="22"/>
                                <w:szCs w:val="22"/>
                                <w:lang w:val="en-IE" w:eastAsia="en-IE" w:bidi="ar-SA"/>
                              </w:rPr>
                              <m:t>vd</m:t>
                            </m:r>
                          </m:sub>
                        </m:sSub>
                      </m:e>
                    </m:nary>
                  </m:e>
                </m:d>
                <m:r>
                  <w:rPr>
                    <w:rFonts w:ascii="Cambria Math" w:eastAsiaTheme="minorEastAsia" w:hAnsi="Cambria Math" w:cs="Arial"/>
                    <w:sz w:val="22"/>
                    <w:szCs w:val="22"/>
                    <w:lang w:val="en-IE" w:eastAsia="en-IE" w:bidi="ar-SA"/>
                  </w:rPr>
                  <m:t xml:space="preserve"> × </m:t>
                </m:r>
                <m:f>
                  <m:fPr>
                    <m:ctrlPr>
                      <w:rPr>
                        <w:rFonts w:ascii="Cambria Math" w:eastAsiaTheme="minorEastAsia" w:hAnsi="Cambria Math"/>
                        <w:i/>
                        <w:sz w:val="22"/>
                        <w:lang w:val="en-IE" w:eastAsia="en-IE" w:bidi="ar-SA"/>
                      </w:rPr>
                    </m:ctrlPr>
                  </m:fPr>
                  <m:num>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CSHORTDIFFPTRACK</m:t>
                        </m:r>
                      </m:e>
                      <m:sub>
                        <m:r>
                          <w:rPr>
                            <w:rFonts w:ascii="Cambria Math" w:eastAsiaTheme="minorEastAsia" w:hAnsi="Cambria Math" w:cs="Arial"/>
                            <w:sz w:val="22"/>
                            <w:szCs w:val="22"/>
                            <w:lang w:val="en-IE" w:eastAsia="en-IE" w:bidi="ar-SA"/>
                          </w:rPr>
                          <m:t>vd</m:t>
                        </m:r>
                      </m:sub>
                    </m:sSub>
                  </m:num>
                  <m:den>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v</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CSHORTDIFFPTRACK</m:t>
                            </m:r>
                          </m:e>
                          <m:sub>
                            <m:r>
                              <w:rPr>
                                <w:rFonts w:ascii="Cambria Math" w:eastAsiaTheme="minorEastAsia" w:hAnsi="Cambria Math" w:cs="Arial"/>
                                <w:sz w:val="22"/>
                                <w:szCs w:val="22"/>
                                <w:lang w:val="en-IE" w:eastAsia="en-IE" w:bidi="ar-SA"/>
                              </w:rPr>
                              <m:t>vd</m:t>
                            </m:r>
                          </m:sub>
                        </m:sSub>
                      </m:e>
                    </m:nary>
                  </m:den>
                </m:f>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szCs w:val="22"/>
                      <w:lang w:val="en-IE" w:bidi="ar-SA"/>
                    </w:rPr>
                  </m:ctrlPr>
                </m:naryPr>
                <m:sub>
                  <m:r>
                    <w:rPr>
                      <w:rFonts w:ascii="Cambria Math" w:eastAsiaTheme="minorEastAsia" w:hAnsi="Cambria Math"/>
                      <w:sz w:val="22"/>
                      <w:szCs w:val="22"/>
                      <w:lang w:val="en-IE" w:bidi="ar-SA"/>
                    </w:rPr>
                    <m:t>v</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Supplier Units, v;</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CSHORTDIFFPTRACK</w:t>
            </w:r>
            <w:r w:rsidRPr="00817F44">
              <w:rPr>
                <w:rFonts w:eastAsiaTheme="minorEastAsia"/>
                <w:sz w:val="22"/>
                <w:szCs w:val="22"/>
                <w:vertAlign w:val="subscript"/>
                <w:lang w:val="en-IE" w:bidi="ar-SA"/>
              </w:rPr>
              <w:t>vd</w:t>
            </w:r>
            <w:r w:rsidRPr="00817F44">
              <w:rPr>
                <w:rFonts w:eastAsiaTheme="minorEastAsia"/>
                <w:sz w:val="22"/>
                <w:szCs w:val="22"/>
                <w:lang w:val="en-IE" w:bidi="ar-SA"/>
              </w:rPr>
              <w:t xml:space="preserve"> is the Tracked Difference Payment Shortfall Amount for </w:t>
            </w:r>
            <w:r w:rsidRPr="00817F44">
              <w:rPr>
                <w:rFonts w:eastAsiaTheme="minorEastAsia"/>
                <w:sz w:val="22"/>
                <w:szCs w:val="22"/>
                <w:lang w:val="en-IE" w:bidi="ar-SA"/>
              </w:rPr>
              <w:lastRenderedPageBreak/>
              <w:t xml:space="preserve">Supplier Unit, v, in </w:t>
            </w:r>
            <w:ins w:id="130" w:author="Author">
              <w:r w:rsidRPr="00817F44">
                <w:rPr>
                  <w:rFonts w:eastAsiaTheme="minorEastAsia"/>
                  <w:sz w:val="22"/>
                  <w:szCs w:val="22"/>
                  <w:lang w:val="en-IE" w:bidi="ar-SA"/>
                </w:rPr>
                <w:t xml:space="preserve">Settlement </w:t>
              </w:r>
            </w:ins>
            <w:r w:rsidRPr="00817F44">
              <w:rPr>
                <w:rFonts w:eastAsiaTheme="minorEastAsia"/>
                <w:sz w:val="22"/>
                <w:szCs w:val="22"/>
                <w:lang w:val="en-IE" w:bidi="ar-SA"/>
              </w:rPr>
              <w:t>Day, d; and</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CBSOC</w:t>
            </w:r>
            <w:r w:rsidRPr="00817F44">
              <w:rPr>
                <w:rFonts w:eastAsiaTheme="minorEastAsia"/>
                <w:sz w:val="22"/>
                <w:szCs w:val="22"/>
                <w:vertAlign w:val="subscript"/>
                <w:lang w:val="en-IE" w:bidi="ar-SA"/>
              </w:rPr>
              <w:t>d</w:t>
            </w:r>
            <w:r w:rsidRPr="00817F44">
              <w:rPr>
                <w:rFonts w:eastAsiaTheme="minorEastAsia"/>
                <w:sz w:val="22"/>
                <w:szCs w:val="22"/>
                <w:lang w:val="en-IE" w:bidi="ar-SA"/>
              </w:rPr>
              <w:t xml:space="preserve"> is the Socialisation Balance for the </w:t>
            </w:r>
            <w:ins w:id="131" w:author="Author">
              <w:r w:rsidRPr="00817F44">
                <w:rPr>
                  <w:rFonts w:eastAsiaTheme="minorEastAsia"/>
                  <w:sz w:val="22"/>
                  <w:szCs w:val="22"/>
                  <w:lang w:val="en-IE" w:bidi="ar-SA"/>
                </w:rPr>
                <w:t xml:space="preserve">Settlement </w:t>
              </w:r>
            </w:ins>
            <w:r w:rsidRPr="00817F44">
              <w:rPr>
                <w:rFonts w:eastAsiaTheme="minorEastAsia"/>
                <w:sz w:val="22"/>
                <w:szCs w:val="22"/>
                <w:lang w:val="en-IE" w:bidi="ar-SA"/>
              </w:rPr>
              <w:t>Day, d.</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Section G (NB item 4 includes a Glossary item also):</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1)</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G.5.7.1  The Market Operator shall calculate the settlement liability for Trading Payments and Trading Charges (SLE</w:t>
            </w:r>
            <w:r w:rsidRPr="00817F44">
              <w:rPr>
                <w:rFonts w:eastAsiaTheme="minorEastAsia"/>
                <w:sz w:val="22"/>
                <w:szCs w:val="22"/>
                <w:vertAlign w:val="subscript"/>
                <w:lang w:val="en-IE" w:bidi="ar-SA"/>
              </w:rPr>
              <w:t>pb</w:t>
            </w:r>
            <w:r w:rsidRPr="00817F44">
              <w:rPr>
                <w:rFonts w:eastAsiaTheme="minorEastAsia"/>
                <w:sz w:val="22"/>
                <w:szCs w:val="22"/>
                <w:lang w:val="en-IE" w:bidi="ar-SA"/>
              </w:rPr>
              <w:t>) for Participant p in Billing Period b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SLE</m:t>
                    </m:r>
                  </m:e>
                  <m:sub>
                    <m:r>
                      <w:rPr>
                        <w:rFonts w:ascii="Cambria Math" w:eastAsiaTheme="minorEastAsia" w:hAnsi="Cambria Math" w:cs="Arial"/>
                        <w:sz w:val="22"/>
                        <w:szCs w:val="22"/>
                        <w:lang w:val="en-IE" w:eastAsia="en-IE" w:bidi="ar-SA"/>
                      </w:rPr>
                      <m:t>pb</m:t>
                    </m:r>
                  </m:sub>
                </m:sSub>
                <m:r>
                  <w:rPr>
                    <w:rFonts w:ascii="Cambria Math" w:eastAsiaTheme="minorEastAsia" w:hAnsi="Cambria Math" w:cs="Arial"/>
                    <w:sz w:val="22"/>
                    <w:szCs w:val="22"/>
                    <w:lang w:val="en-IE" w:eastAsia="en-IE" w:bidi="ar-SA"/>
                  </w:rPr>
                  <m:t xml:space="preserve">= </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u in p</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d in b</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CDAY</m:t>
                            </m:r>
                          </m:e>
                          <m:sub>
                            <m:r>
                              <w:rPr>
                                <w:rFonts w:ascii="Cambria Math" w:eastAsiaTheme="minorEastAsia" w:hAnsi="Cambria Math" w:cs="Arial"/>
                                <w:sz w:val="22"/>
                                <w:szCs w:val="22"/>
                                <w:lang w:val="en-IE" w:eastAsia="en-IE" w:bidi="ar-SA"/>
                              </w:rPr>
                              <m:t>ud</m:t>
                            </m:r>
                          </m:sub>
                        </m:sSub>
                      </m:e>
                    </m:nary>
                  </m:e>
                </m:nary>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Ω in p</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d in b</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CDAY</m:t>
                            </m:r>
                          </m:e>
                          <m:sub>
                            <m:r>
                              <m:rPr>
                                <m:sty m:val="p"/>
                              </m:rPr>
                              <w:rPr>
                                <w:rFonts w:ascii="Cambria Math" w:eastAsiaTheme="minorEastAsia" w:hAnsi="Cambria Math" w:cs="Arial"/>
                                <w:sz w:val="22"/>
                                <w:szCs w:val="22"/>
                                <w:lang w:val="en-IE" w:eastAsia="en-IE" w:bidi="ar-SA"/>
                              </w:rPr>
                              <m:t>Ω</m:t>
                            </m:r>
                            <m:r>
                              <w:rPr>
                                <w:rFonts w:ascii="Cambria Math" w:eastAsiaTheme="minorEastAsia" w:hAnsi="Cambria Math" w:cs="Arial"/>
                                <w:sz w:val="22"/>
                                <w:szCs w:val="22"/>
                                <w:lang w:val="en-IE" w:eastAsia="en-IE" w:bidi="ar-SA"/>
                              </w:rPr>
                              <m:t>d</m:t>
                            </m:r>
                          </m:sub>
                        </m:sSub>
                      </m:e>
                    </m:nary>
                  </m:e>
                </m:nary>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v in p</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d in b</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CDAY</m:t>
                            </m:r>
                          </m:e>
                          <m:sub>
                            <m:r>
                              <w:rPr>
                                <w:rFonts w:ascii="Cambria Math" w:eastAsiaTheme="minorEastAsia" w:hAnsi="Cambria Math" w:cs="Arial"/>
                                <w:sz w:val="22"/>
                                <w:szCs w:val="22"/>
                                <w:lang w:val="en-IE" w:eastAsia="en-IE" w:bidi="ar-SA"/>
                              </w:rPr>
                              <m:t>vd</m:t>
                            </m:r>
                          </m:sub>
                        </m:sSub>
                      </m:e>
                    </m:nary>
                  </m:e>
                </m:nary>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u in p</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CFC</m:t>
                        </m:r>
                      </m:e>
                      <m:sub>
                        <m:r>
                          <w:rPr>
                            <w:rFonts w:ascii="Cambria Math" w:eastAsiaTheme="minorEastAsia" w:hAnsi="Cambria Math" w:cs="Arial"/>
                            <w:sz w:val="22"/>
                            <w:szCs w:val="22"/>
                            <w:lang w:val="en-IE" w:eastAsia="en-IE" w:bidi="ar-SA"/>
                          </w:rPr>
                          <m:t>ub</m:t>
                        </m:r>
                      </m:sub>
                    </m:sSub>
                  </m:e>
                </m:nary>
                <m:r>
                  <w:rPr>
                    <w:rFonts w:ascii="Cambria Math" w:eastAsiaTheme="minorEastAsia" w:hAnsi="Cambria Math" w:cs="Arial"/>
                    <w:sz w:val="22"/>
                    <w:szCs w:val="22"/>
                    <w:lang w:val="en-IE" w:eastAsia="en-IE" w:bidi="ar-SA"/>
                  </w:rPr>
                  <m:t> </m:t>
                </m:r>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CDAY</w:t>
            </w:r>
            <w:r w:rsidRPr="00817F44">
              <w:rPr>
                <w:rFonts w:eastAsiaTheme="minorEastAsia"/>
                <w:sz w:val="22"/>
                <w:szCs w:val="22"/>
                <w:vertAlign w:val="subscript"/>
                <w:lang w:val="en-IE" w:bidi="ar-SA"/>
              </w:rPr>
              <w:t>ud</w:t>
            </w:r>
            <w:r w:rsidRPr="00817F44">
              <w:rPr>
                <w:rFonts w:eastAsiaTheme="minorEastAsia"/>
                <w:sz w:val="22"/>
                <w:szCs w:val="22"/>
                <w:lang w:val="en-IE" w:bidi="ar-SA"/>
              </w:rPr>
              <w:t xml:space="preserve"> is the </w:t>
            </w:r>
            <w:ins w:id="132" w:author="Author">
              <w:r w:rsidRPr="00817F44">
                <w:rPr>
                  <w:rFonts w:eastAsiaTheme="minorEastAsia"/>
                  <w:sz w:val="22"/>
                  <w:szCs w:val="22"/>
                  <w:lang w:val="en-IE" w:bidi="ar-SA"/>
                </w:rPr>
                <w:t>T</w:t>
              </w:r>
            </w:ins>
            <w:del w:id="133" w:author="Author">
              <w:r w:rsidRPr="00817F44" w:rsidDel="001908C2">
                <w:rPr>
                  <w:rFonts w:eastAsiaTheme="minorEastAsia"/>
                  <w:sz w:val="22"/>
                  <w:szCs w:val="22"/>
                  <w:lang w:val="en-IE" w:bidi="ar-SA"/>
                </w:rPr>
                <w:delText>t</w:delText>
              </w:r>
            </w:del>
            <w:r w:rsidRPr="00817F44">
              <w:rPr>
                <w:rFonts w:eastAsiaTheme="minorEastAsia"/>
                <w:sz w:val="22"/>
                <w:szCs w:val="22"/>
                <w:lang w:val="en-IE" w:bidi="ar-SA"/>
              </w:rPr>
              <w:t xml:space="preserve">otal Daily Amounts, for (as applicable) Generator Unit u or Assetless Unit u for Settlement Day d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_Ref462916092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G.4.11.1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CDAY</w:t>
            </w:r>
            <w:r w:rsidRPr="00817F44">
              <w:rPr>
                <w:rFonts w:eastAsiaTheme="minorEastAsia" w:cs="Arial"/>
                <w:sz w:val="22"/>
                <w:szCs w:val="16"/>
                <w:vertAlign w:val="subscript"/>
                <w:lang w:val="en-IE" w:bidi="ar-SA"/>
              </w:rPr>
              <w:t>Ω</w:t>
            </w:r>
            <w:r w:rsidRPr="00817F44">
              <w:rPr>
                <w:rFonts w:eastAsiaTheme="minorEastAsia"/>
                <w:sz w:val="22"/>
                <w:szCs w:val="22"/>
                <w:vertAlign w:val="subscript"/>
                <w:lang w:val="en-IE" w:bidi="ar-SA"/>
              </w:rPr>
              <w:t>d</w:t>
            </w:r>
            <w:r w:rsidRPr="00817F44">
              <w:rPr>
                <w:rFonts w:eastAsiaTheme="minorEastAsia"/>
                <w:sz w:val="22"/>
                <w:szCs w:val="22"/>
                <w:lang w:val="en-IE" w:bidi="ar-SA"/>
              </w:rPr>
              <w:t xml:space="preserve"> is the </w:t>
            </w:r>
            <w:ins w:id="134" w:author="Author">
              <w:r w:rsidRPr="00817F44">
                <w:rPr>
                  <w:rFonts w:eastAsiaTheme="minorEastAsia"/>
                  <w:sz w:val="22"/>
                  <w:szCs w:val="22"/>
                  <w:lang w:val="en-IE" w:bidi="ar-SA"/>
                </w:rPr>
                <w:t>T</w:t>
              </w:r>
            </w:ins>
            <w:del w:id="135" w:author="Author">
              <w:r w:rsidRPr="00817F44" w:rsidDel="001908C2">
                <w:rPr>
                  <w:rFonts w:eastAsiaTheme="minorEastAsia"/>
                  <w:sz w:val="22"/>
                  <w:szCs w:val="22"/>
                  <w:lang w:val="en-IE" w:bidi="ar-SA"/>
                </w:rPr>
                <w:delText>t</w:delText>
              </w:r>
            </w:del>
            <w:r w:rsidRPr="00817F44">
              <w:rPr>
                <w:rFonts w:eastAsiaTheme="minorEastAsia"/>
                <w:sz w:val="22"/>
                <w:szCs w:val="22"/>
                <w:lang w:val="en-IE" w:bidi="ar-SA"/>
              </w:rPr>
              <w:t xml:space="preserve">otal Daily Amounts on Capacity Market Unit </w:t>
            </w:r>
            <w:r w:rsidRPr="00817F44">
              <w:rPr>
                <w:rFonts w:eastAsiaTheme="minorEastAsia" w:cs="Arial"/>
                <w:sz w:val="22"/>
                <w:szCs w:val="16"/>
                <w:lang w:val="en-IE" w:bidi="ar-SA"/>
              </w:rPr>
              <w:t>Ω</w:t>
            </w:r>
            <w:r w:rsidRPr="00817F44">
              <w:rPr>
                <w:rFonts w:eastAsiaTheme="minorEastAsia"/>
                <w:sz w:val="22"/>
                <w:szCs w:val="22"/>
                <w:lang w:val="en-IE" w:bidi="ar-SA"/>
              </w:rPr>
              <w:t xml:space="preserve"> for Settlement Day d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_Ref462916139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G.4.12</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CDAY</w:t>
            </w:r>
            <w:r w:rsidRPr="00817F44">
              <w:rPr>
                <w:rFonts w:eastAsiaTheme="minorEastAsia"/>
                <w:sz w:val="22"/>
                <w:szCs w:val="22"/>
                <w:vertAlign w:val="subscript"/>
                <w:lang w:val="en-IE" w:bidi="ar-SA"/>
              </w:rPr>
              <w:t>vd</w:t>
            </w:r>
            <w:r w:rsidRPr="00817F44">
              <w:rPr>
                <w:rFonts w:eastAsiaTheme="minorEastAsia"/>
                <w:sz w:val="22"/>
                <w:szCs w:val="22"/>
                <w:lang w:val="en-IE" w:bidi="ar-SA"/>
              </w:rPr>
              <w:t xml:space="preserve"> is the </w:t>
            </w:r>
            <w:ins w:id="136" w:author="Author">
              <w:r w:rsidRPr="00817F44">
                <w:rPr>
                  <w:rFonts w:eastAsiaTheme="minorEastAsia"/>
                  <w:sz w:val="22"/>
                  <w:szCs w:val="22"/>
                  <w:lang w:val="en-IE" w:bidi="ar-SA"/>
                </w:rPr>
                <w:t>T</w:t>
              </w:r>
            </w:ins>
            <w:del w:id="137" w:author="Author">
              <w:r w:rsidRPr="00817F44" w:rsidDel="001908C2">
                <w:rPr>
                  <w:rFonts w:eastAsiaTheme="minorEastAsia"/>
                  <w:sz w:val="22"/>
                  <w:szCs w:val="22"/>
                  <w:lang w:val="en-IE" w:bidi="ar-SA"/>
                </w:rPr>
                <w:delText>t</w:delText>
              </w:r>
            </w:del>
            <w:r w:rsidRPr="00817F44">
              <w:rPr>
                <w:rFonts w:eastAsiaTheme="minorEastAsia"/>
                <w:sz w:val="22"/>
                <w:szCs w:val="22"/>
                <w:lang w:val="en-IE" w:bidi="ar-SA"/>
              </w:rPr>
              <w:t xml:space="preserve">otal Daily Amounts for Supplier Unit v for Settlement Day d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_Ref449385590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G.5.6.1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xml:space="preserve">; </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CFC</w:t>
            </w:r>
            <w:r w:rsidRPr="00817F44">
              <w:rPr>
                <w:rFonts w:eastAsiaTheme="minorEastAsia"/>
                <w:sz w:val="22"/>
                <w:szCs w:val="22"/>
                <w:vertAlign w:val="subscript"/>
                <w:lang w:val="en-IE" w:bidi="ar-SA"/>
              </w:rPr>
              <w:t>ub</w:t>
            </w:r>
            <w:r w:rsidRPr="00817F44">
              <w:rPr>
                <w:rFonts w:eastAsiaTheme="minorEastAsia"/>
                <w:sz w:val="22"/>
                <w:szCs w:val="22"/>
                <w:lang w:val="en-IE" w:bidi="ar-SA"/>
              </w:rPr>
              <w:t xml:space="preserve"> is the Fixed Cost Payment or Charge for Generator Unit u calculated for the Billing Period b calculated in accordance with section F.11;</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v in 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Supplier Units v registered in respect of Participant p;</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u in 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Generator Units u and Assetless Units u registered in respect of Participant p;</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m:rPr>
                      <m:sty m:val="p"/>
                    </m:rPr>
                    <w:rPr>
                      <w:rFonts w:ascii="Cambria Math" w:eastAsiaTheme="minorEastAsia" w:hAnsi="Cambria Math"/>
                      <w:sz w:val="22"/>
                      <w:szCs w:val="22"/>
                      <w:lang w:val="en-IE" w:bidi="ar-SA"/>
                    </w:rPr>
                    <m:t>Ω</m:t>
                  </m:r>
                  <m:r>
                    <w:rPr>
                      <w:rFonts w:ascii="Cambria Math" w:eastAsiaTheme="minorEastAsia" w:hAnsi="Cambria Math"/>
                      <w:sz w:val="22"/>
                      <w:szCs w:val="22"/>
                      <w:lang w:val="en-IE" w:bidi="ar-SA"/>
                    </w:rPr>
                    <m:t xml:space="preserve"> in 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 xml:space="preserve">is a summation over all Capacity Market Units </w:t>
            </w:r>
            <w:r w:rsidR="00817F44" w:rsidRPr="00817F44">
              <w:rPr>
                <w:rFonts w:eastAsiaTheme="minorEastAsia" w:cs="Arial"/>
                <w:sz w:val="22"/>
                <w:szCs w:val="22"/>
                <w:lang w:val="en-IE" w:bidi="ar-SA"/>
              </w:rPr>
              <w:t>Ω</w:t>
            </w:r>
            <w:r w:rsidR="00817F44" w:rsidRPr="00817F44">
              <w:rPr>
                <w:rFonts w:eastAsiaTheme="minorEastAsia"/>
                <w:sz w:val="22"/>
                <w:szCs w:val="22"/>
                <w:lang w:val="en-IE" w:bidi="ar-SA"/>
              </w:rPr>
              <w:t xml:space="preserve"> registered in respect of Participant p; and</w:t>
            </w:r>
          </w:p>
          <w:p w:rsidR="00817F44" w:rsidRPr="00817F44" w:rsidRDefault="00817F44" w:rsidP="00817F44">
            <w:pPr>
              <w:numPr>
                <w:ilvl w:val="4"/>
                <w:numId w:val="0"/>
              </w:numPr>
              <w:spacing w:before="120" w:after="120" w:line="240" w:lineRule="auto"/>
              <w:ind w:left="1700" w:hanging="706"/>
              <w:jc w:val="both"/>
              <w:rPr>
                <w:rFonts w:eastAsiaTheme="minorEastAsia"/>
                <w:sz w:val="22"/>
                <w:szCs w:val="22"/>
                <w:lang w:val="en-IE" w:bidi="ar-SA"/>
              </w:rPr>
            </w:pPr>
            <w:r w:rsidRPr="00817F44">
              <w:rPr>
                <w:rFonts w:eastAsiaTheme="minorEastAsia"/>
                <w:sz w:val="22"/>
                <w:szCs w:val="22"/>
                <w:lang w:val="en-IE" w:bidi="ar-SA"/>
              </w:rPr>
              <w:t xml:space="preserve"> </w:t>
            </w: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d in b</m:t>
                  </m:r>
                </m:sub>
                <m:sup/>
                <m:e>
                  <m:r>
                    <w:rPr>
                      <w:rFonts w:ascii="Cambria Math" w:eastAsiaTheme="minorEastAsia" w:hAnsi="Cambria Math"/>
                      <w:sz w:val="22"/>
                      <w:szCs w:val="22"/>
                      <w:lang w:val="en-IE" w:bidi="ar-SA"/>
                    </w:rPr>
                    <m:t xml:space="preserve"> </m:t>
                  </m:r>
                </m:e>
              </m:nary>
            </m:oMath>
            <w:r w:rsidRPr="00817F44">
              <w:rPr>
                <w:rFonts w:eastAsiaTheme="minorEastAsia"/>
                <w:sz w:val="22"/>
                <w:szCs w:val="22"/>
                <w:lang w:val="en-IE" w:bidi="ar-SA"/>
              </w:rPr>
              <w:t>is a summation over Settlement Days d in Billing Period b.</w:t>
            </w:r>
          </w:p>
          <w:p w:rsidR="00817F44" w:rsidRPr="00817F44" w:rsidRDefault="00817F44" w:rsidP="00817F44">
            <w:pPr>
              <w:overflowPunct w:val="0"/>
              <w:autoSpaceDE w:val="0"/>
              <w:autoSpaceDN w:val="0"/>
              <w:adjustRightInd w:val="0"/>
              <w:spacing w:before="0" w:after="0" w:line="240" w:lineRule="auto"/>
              <w:textAlignment w:val="baseline"/>
              <w:rPr>
                <w:ins w:id="138" w:author="Author"/>
                <w:rFonts w:ascii="Calibri" w:hAnsi="Calibri" w:cs="Arial"/>
                <w:lang w:val="en-IE" w:eastAsia="en-GB" w:bidi="ar-SA"/>
              </w:rPr>
            </w:pP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r w:rsidRPr="00817F44">
              <w:rPr>
                <w:rFonts w:eastAsiaTheme="minorEastAsia"/>
                <w:sz w:val="22"/>
                <w:szCs w:val="22"/>
                <w:lang w:val="en-IE" w:bidi="ar-SA"/>
              </w:rPr>
              <w:t>G.14.10.1 The Billing Period Cashflow (CUB</w:t>
            </w:r>
            <w:r w:rsidRPr="00817F44">
              <w:rPr>
                <w:rFonts w:eastAsiaTheme="minorEastAsia"/>
                <w:sz w:val="22"/>
                <w:szCs w:val="22"/>
                <w:vertAlign w:val="subscript"/>
                <w:lang w:val="en-IE" w:bidi="ar-SA"/>
              </w:rPr>
              <w:t>pgω</w:t>
            </w:r>
            <w:r w:rsidRPr="00817F44">
              <w:rPr>
                <w:rFonts w:eastAsiaTheme="minorEastAsia"/>
                <w:sz w:val="22"/>
                <w:szCs w:val="22"/>
                <w:lang w:val="en-IE" w:bidi="ar-SA"/>
              </w:rPr>
              <w:t>) for Standard Participant p in respect of its Generator Units</w:t>
            </w:r>
            <w:r w:rsidRPr="00817F44" w:rsidDel="00174567">
              <w:rPr>
                <w:rFonts w:eastAsiaTheme="minorEastAsia"/>
                <w:sz w:val="22"/>
                <w:szCs w:val="22"/>
                <w:lang w:val="en-IE" w:bidi="ar-SA"/>
              </w:rPr>
              <w:t xml:space="preserve"> </w:t>
            </w:r>
            <w:r w:rsidRPr="00817F44">
              <w:rPr>
                <w:rFonts w:eastAsiaTheme="minorEastAsia"/>
                <w:sz w:val="22"/>
                <w:szCs w:val="22"/>
                <w:lang w:val="en-IE" w:bidi="ar-SA"/>
              </w:rPr>
              <w:t>for each Sample Undefined Exposure Period ω in the Historical Assessment Period</w:t>
            </w:r>
            <w:ins w:id="139" w:author="Author">
              <w:r w:rsidRPr="00817F44">
                <w:rPr>
                  <w:rFonts w:eastAsiaTheme="minorEastAsia"/>
                  <w:sz w:val="22"/>
                  <w:szCs w:val="22"/>
                  <w:lang w:val="en-IE" w:bidi="ar-SA"/>
                </w:rPr>
                <w:t xml:space="preserve"> H</w:t>
              </w:r>
            </w:ins>
            <w:r w:rsidRPr="00817F44">
              <w:rPr>
                <w:rFonts w:eastAsiaTheme="minorEastAsia"/>
                <w:sz w:val="22"/>
                <w:szCs w:val="22"/>
                <w:lang w:val="en-IE" w:bidi="ar-SA"/>
              </w:rPr>
              <w:t xml:space="preserve"> to be applied for the Undefined Exposure Period g shall be calculated by the Market Operator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tabs>
                <w:tab w:val="num" w:pos="851"/>
              </w:tabs>
              <w:spacing w:before="120" w:after="120" w:line="240" w:lineRule="auto"/>
              <w:ind w:left="992" w:hanging="851"/>
              <w:jc w:val="both"/>
              <w:rPr>
                <w:rFonts w:eastAsiaTheme="minorEastAsia" w:cs="Arial"/>
                <w:sz w:val="22"/>
                <w:szCs w:val="22"/>
                <w:lang w:val="en-IE" w:eastAsia="en-IE" w:bidi="ar-SA"/>
              </w:rPr>
            </w:pPr>
            <m:oMathPara>
              <m:oMathParaPr>
                <m:jc m:val="left"/>
              </m:oMathParaPr>
              <m:oMath>
                <m:r>
                  <w:rPr>
                    <w:rFonts w:ascii="Cambria Math" w:eastAsiaTheme="minorEastAsia" w:hAnsi="Cambria Math" w:cs="Arial"/>
                    <w:sz w:val="22"/>
                    <w:szCs w:val="22"/>
                    <w:lang w:val="en-IE" w:eastAsia="en-IE" w:bidi="ar-SA"/>
                  </w:rPr>
                  <m:t>for each Sample Undefined Exposure Period in the Historical Assessment Period</m:t>
                </m:r>
              </m:oMath>
            </m:oMathPara>
          </w:p>
          <w:p w:rsidR="00817F44" w:rsidRPr="00817F44" w:rsidRDefault="00817F44"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r>
                  <w:rPr>
                    <w:rFonts w:ascii="Cambria Math" w:eastAsiaTheme="minorEastAsia" w:hAnsi="Cambria Math" w:cs="Arial"/>
                    <w:sz w:val="22"/>
                    <w:szCs w:val="22"/>
                    <w:lang w:val="en-IE" w:eastAsia="en-IE" w:bidi="ar-SA"/>
                  </w:rPr>
                  <m:t xml:space="preserve">defined by </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BPHAP</m:t>
                    </m:r>
                  </m:e>
                  <m:sub>
                    <m:r>
                      <w:rPr>
                        <w:rFonts w:ascii="Cambria Math" w:eastAsiaTheme="minorEastAsia" w:hAnsi="Cambria Math" w:cs="Arial"/>
                        <w:sz w:val="22"/>
                        <w:szCs w:val="22"/>
                        <w:lang w:val="en-IE" w:eastAsia="en-IE" w:bidi="ar-SA"/>
                      </w:rPr>
                      <m:t>g</m:t>
                    </m:r>
                  </m:sub>
                </m:sSub>
              </m:oMath>
            </m:oMathPara>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CUB</m:t>
                    </m:r>
                  </m:e>
                  <m:sub>
                    <m:r>
                      <w:rPr>
                        <w:rFonts w:ascii="Cambria Math" w:eastAsiaTheme="minorEastAsia" w:hAnsi="Cambria Math" w:cs="Arial"/>
                        <w:sz w:val="22"/>
                        <w:szCs w:val="22"/>
                        <w:lang w:val="en-IE" w:eastAsia="en-IE" w:bidi="ar-SA"/>
                      </w:rPr>
                      <m:t>pgω</m:t>
                    </m:r>
                  </m:sub>
                </m:sSub>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d in ω</m:t>
                    </m:r>
                  </m:sub>
                  <m:sup/>
                  <m:e>
                    <m:d>
                      <m:dPr>
                        <m:ctrlPr>
                          <w:rPr>
                            <w:rFonts w:ascii="Cambria Math" w:eastAsiaTheme="minorEastAsia" w:hAnsi="Cambria Math"/>
                            <w:i/>
                            <w:sz w:val="22"/>
                            <w:lang w:val="en-IE" w:eastAsia="en-IE" w:bidi="ar-SA"/>
                          </w:rPr>
                        </m:ctrlPr>
                      </m:dPr>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u in p</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CDAY</m:t>
                                </m:r>
                              </m:e>
                              <m:sub>
                                <m:r>
                                  <w:rPr>
                                    <w:rFonts w:ascii="Cambria Math" w:eastAsiaTheme="minorEastAsia" w:hAnsi="Cambria Math" w:cs="Arial"/>
                                    <w:sz w:val="22"/>
                                    <w:szCs w:val="22"/>
                                    <w:lang w:val="en-IE" w:eastAsia="en-IE" w:bidi="ar-SA"/>
                                  </w:rPr>
                                  <m:t>ud</m:t>
                                </m:r>
                              </m:sub>
                            </m:sSub>
                          </m:e>
                        </m:nary>
                        <m:r>
                          <w:rPr>
                            <w:rFonts w:ascii="Cambria Math" w:eastAsiaTheme="minorEastAsia" w:hAnsi="Cambria Math" w:cs="Arial"/>
                            <w:sz w:val="22"/>
                            <w:szCs w:val="22"/>
                            <w:lang w:val="en-IE" w:eastAsia="en-IE" w:bidi="ar-SA"/>
                          </w:rPr>
                          <m:t xml:space="preserve">+ </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Ω in p</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CDAY</m:t>
                                </m:r>
                              </m:e>
                              <m:sub>
                                <m:r>
                                  <w:rPr>
                                    <w:rFonts w:ascii="Cambria Math" w:eastAsiaTheme="minorEastAsia" w:hAnsi="Cambria Math" w:cs="Arial"/>
                                    <w:sz w:val="22"/>
                                    <w:szCs w:val="22"/>
                                    <w:lang w:val="en-IE" w:eastAsia="en-IE" w:bidi="ar-SA"/>
                                  </w:rPr>
                                  <m:t>Ωd</m:t>
                                </m:r>
                              </m:sub>
                            </m:sSub>
                          </m:e>
                        </m:nary>
                      </m:e>
                    </m:d>
                  </m:e>
                </m:nary>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lastRenderedPageBreak/>
              <w:t>CDAY</w:t>
            </w:r>
            <w:r w:rsidRPr="00817F44">
              <w:rPr>
                <w:rFonts w:eastAsiaTheme="minorEastAsia"/>
                <w:sz w:val="22"/>
                <w:szCs w:val="22"/>
                <w:vertAlign w:val="subscript"/>
                <w:lang w:val="en-IE" w:bidi="ar-SA"/>
              </w:rPr>
              <w:t>ud</w:t>
            </w:r>
            <w:r w:rsidRPr="00817F44">
              <w:rPr>
                <w:rFonts w:eastAsiaTheme="minorEastAsia"/>
                <w:sz w:val="22"/>
                <w:szCs w:val="22"/>
                <w:lang w:val="en-IE" w:bidi="ar-SA"/>
              </w:rPr>
              <w:t xml:space="preserve"> is the </w:t>
            </w:r>
            <w:ins w:id="140" w:author="Author">
              <w:r w:rsidRPr="00817F44">
                <w:rPr>
                  <w:rFonts w:eastAsiaTheme="minorEastAsia"/>
                  <w:sz w:val="22"/>
                  <w:szCs w:val="22"/>
                  <w:lang w:val="en-IE" w:bidi="ar-SA"/>
                </w:rPr>
                <w:t>T</w:t>
              </w:r>
            </w:ins>
            <w:del w:id="141" w:author="Author">
              <w:r w:rsidRPr="00817F44" w:rsidDel="001908C2">
                <w:rPr>
                  <w:rFonts w:eastAsiaTheme="minorEastAsia"/>
                  <w:sz w:val="22"/>
                  <w:szCs w:val="22"/>
                  <w:lang w:val="en-IE" w:bidi="ar-SA"/>
                </w:rPr>
                <w:delText>t</w:delText>
              </w:r>
            </w:del>
            <w:r w:rsidRPr="00817F44">
              <w:rPr>
                <w:rFonts w:eastAsiaTheme="minorEastAsia"/>
                <w:sz w:val="22"/>
                <w:szCs w:val="22"/>
                <w:lang w:val="en-IE" w:bidi="ar-SA"/>
              </w:rPr>
              <w:t>otal Daily Amounts</w:t>
            </w:r>
            <w:r w:rsidRPr="00817F44" w:rsidDel="00293EB4">
              <w:rPr>
                <w:rFonts w:eastAsiaTheme="minorEastAsia"/>
                <w:sz w:val="22"/>
                <w:szCs w:val="22"/>
                <w:lang w:val="en-IE" w:bidi="ar-SA"/>
              </w:rPr>
              <w:t xml:space="preserve"> </w:t>
            </w:r>
            <w:r w:rsidRPr="00817F44">
              <w:rPr>
                <w:rFonts w:eastAsiaTheme="minorEastAsia"/>
                <w:sz w:val="22"/>
                <w:szCs w:val="22"/>
                <w:lang w:val="en-IE" w:bidi="ar-SA"/>
              </w:rPr>
              <w:t xml:space="preserve">on Generator Unit u for Settlement Day d, as calculated in accordance with section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_Ref476148139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G.4.11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CDAY</w:t>
            </w:r>
            <w:r w:rsidRPr="00817F44">
              <w:rPr>
                <w:rFonts w:eastAsiaTheme="minorEastAsia" w:cs="Arial"/>
                <w:sz w:val="22"/>
                <w:szCs w:val="16"/>
                <w:vertAlign w:val="subscript"/>
                <w:lang w:val="en-IE" w:bidi="ar-SA"/>
              </w:rPr>
              <w:t>Ω</w:t>
            </w:r>
            <w:r w:rsidRPr="00817F44">
              <w:rPr>
                <w:rFonts w:eastAsiaTheme="minorEastAsia"/>
                <w:sz w:val="22"/>
                <w:szCs w:val="22"/>
                <w:vertAlign w:val="subscript"/>
                <w:lang w:val="en-IE" w:bidi="ar-SA"/>
              </w:rPr>
              <w:t>d</w:t>
            </w:r>
            <w:r w:rsidRPr="00817F44">
              <w:rPr>
                <w:rFonts w:eastAsiaTheme="minorEastAsia"/>
                <w:sz w:val="22"/>
                <w:szCs w:val="22"/>
                <w:lang w:val="en-IE" w:bidi="ar-SA"/>
              </w:rPr>
              <w:t xml:space="preserve"> is the </w:t>
            </w:r>
            <w:ins w:id="142" w:author="Author">
              <w:r w:rsidRPr="00817F44">
                <w:rPr>
                  <w:rFonts w:eastAsiaTheme="minorEastAsia"/>
                  <w:sz w:val="22"/>
                  <w:szCs w:val="22"/>
                  <w:lang w:val="en-IE" w:bidi="ar-SA"/>
                </w:rPr>
                <w:t>T</w:t>
              </w:r>
            </w:ins>
            <w:del w:id="143" w:author="Author">
              <w:r w:rsidRPr="00817F44" w:rsidDel="001908C2">
                <w:rPr>
                  <w:rFonts w:eastAsiaTheme="minorEastAsia"/>
                  <w:sz w:val="22"/>
                  <w:szCs w:val="22"/>
                  <w:lang w:val="en-IE" w:bidi="ar-SA"/>
                </w:rPr>
                <w:delText>t</w:delText>
              </w:r>
            </w:del>
            <w:r w:rsidRPr="00817F44">
              <w:rPr>
                <w:rFonts w:eastAsiaTheme="minorEastAsia"/>
                <w:sz w:val="22"/>
                <w:szCs w:val="22"/>
                <w:lang w:val="en-IE" w:bidi="ar-SA"/>
              </w:rPr>
              <w:t>otal Daily Amounts</w:t>
            </w:r>
            <w:r w:rsidRPr="00817F44" w:rsidDel="00293EB4">
              <w:rPr>
                <w:rFonts w:eastAsiaTheme="minorEastAsia"/>
                <w:sz w:val="22"/>
                <w:szCs w:val="22"/>
                <w:lang w:val="en-IE" w:bidi="ar-SA"/>
              </w:rPr>
              <w:t xml:space="preserve"> </w:t>
            </w:r>
            <w:r w:rsidRPr="00817F44">
              <w:rPr>
                <w:rFonts w:eastAsiaTheme="minorEastAsia"/>
                <w:sz w:val="22"/>
                <w:szCs w:val="22"/>
                <w:lang w:val="en-IE" w:bidi="ar-SA"/>
              </w:rPr>
              <w:t xml:space="preserve">on Capacity Market Unit </w:t>
            </w:r>
            <w:r w:rsidRPr="00817F44">
              <w:rPr>
                <w:rFonts w:eastAsiaTheme="minorEastAsia" w:cs="Arial"/>
                <w:sz w:val="22"/>
                <w:szCs w:val="16"/>
                <w:lang w:val="en-IE" w:bidi="ar-SA"/>
              </w:rPr>
              <w:t>Ω</w:t>
            </w:r>
            <w:r w:rsidRPr="00817F44">
              <w:rPr>
                <w:rFonts w:eastAsiaTheme="minorEastAsia"/>
                <w:sz w:val="22"/>
                <w:szCs w:val="22"/>
                <w:lang w:val="en-IE" w:bidi="ar-SA"/>
              </w:rPr>
              <w:t xml:space="preserve"> for Settlement Day d, as calculated in accordance with section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_Ref462916139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G.4.12</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d in ω</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Settlement Days d in each Sample Undefined Exposure Period ω</w:t>
            </w:r>
            <w:del w:id="144" w:author="Author">
              <w:r w:rsidR="00817F44" w:rsidRPr="00817F44" w:rsidDel="000354EA">
                <w:rPr>
                  <w:rFonts w:eastAsiaTheme="minorEastAsia"/>
                  <w:sz w:val="22"/>
                  <w:szCs w:val="22"/>
                  <w:lang w:val="en-IE" w:bidi="ar-SA"/>
                </w:rPr>
                <w:delText xml:space="preserve"> in the Historical Assessment Period</w:delText>
              </w:r>
            </w:del>
            <w:r w:rsidR="00817F44" w:rsidRPr="00817F44">
              <w:rPr>
                <w:rFonts w:eastAsiaTheme="minorEastAsia"/>
                <w:sz w:val="22"/>
                <w:szCs w:val="22"/>
                <w:lang w:val="en-IE" w:bidi="ar-SA"/>
              </w:rPr>
              <w:t>;</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u in 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Generator Units registered in respect of Participant p; and</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Ω in 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 all Capacity Market Units registered in respect of Participant p.</w:t>
            </w: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G.12.4.2 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ins w:id="145" w:author="Author">
              <w:r w:rsidRPr="00817F44">
                <w:rPr>
                  <w:rFonts w:eastAsiaTheme="minorEastAsia"/>
                  <w:sz w:val="22"/>
                  <w:szCs w:val="22"/>
                  <w:lang w:val="en-IE" w:bidi="ar-SA"/>
                </w:rPr>
                <w:t>, compared with the average Total Daily Amounts across all of the four most recent Billing Periods</w:t>
              </w:r>
            </w:ins>
            <w:r w:rsidRPr="00817F44">
              <w:rPr>
                <w:rFonts w:eastAsiaTheme="minorEastAsia"/>
                <w:sz w:val="22"/>
                <w:szCs w:val="22"/>
                <w:lang w:val="en-IE" w:bidi="ar-SA"/>
              </w:rPr>
              <w:t xml:space="preserve"> the forecasted</w:t>
            </w:r>
            <w:ins w:id="146" w:author="Author">
              <w:r w:rsidRPr="00817F44">
                <w:rPr>
                  <w:rFonts w:eastAsiaTheme="minorEastAsia"/>
                  <w:sz w:val="22"/>
                  <w:szCs w:val="22"/>
                  <w:lang w:val="en-IE" w:bidi="ar-SA"/>
                </w:rPr>
                <w:t xml:space="preserve"> average</w:t>
              </w:r>
            </w:ins>
            <w:r w:rsidRPr="00817F44">
              <w:rPr>
                <w:rFonts w:eastAsiaTheme="minorEastAsia"/>
                <w:sz w:val="22"/>
                <w:szCs w:val="22"/>
                <w:lang w:val="en-IE" w:bidi="ar-SA"/>
              </w:rPr>
              <w:t xml:space="preserve"> </w:t>
            </w:r>
            <w:ins w:id="147" w:author="Author">
              <w:r w:rsidRPr="00817F44">
                <w:rPr>
                  <w:rFonts w:eastAsiaTheme="minorEastAsia"/>
                  <w:sz w:val="22"/>
                  <w:szCs w:val="22"/>
                  <w:lang w:val="en-IE" w:bidi="ar-SA"/>
                </w:rPr>
                <w:t>T</w:t>
              </w:r>
            </w:ins>
            <w:del w:id="148" w:author="Author">
              <w:r w:rsidRPr="00817F44" w:rsidDel="000356FB">
                <w:rPr>
                  <w:rFonts w:eastAsiaTheme="minorEastAsia"/>
                  <w:sz w:val="22"/>
                  <w:szCs w:val="22"/>
                  <w:lang w:val="en-IE" w:bidi="ar-SA"/>
                </w:rPr>
                <w:delText>t</w:delText>
              </w:r>
            </w:del>
            <w:r w:rsidRPr="00817F44">
              <w:rPr>
                <w:rFonts w:eastAsiaTheme="minorEastAsia"/>
                <w:sz w:val="22"/>
                <w:szCs w:val="22"/>
                <w:lang w:val="en-IE" w:bidi="ar-SA"/>
              </w:rPr>
              <w:t xml:space="preserve">otal Daily Amounts </w:t>
            </w:r>
            <w:r w:rsidRPr="00817F44">
              <w:rPr>
                <w:rFonts w:eastAsiaTheme="minorEastAsia" w:cs="Arial"/>
                <w:sz w:val="22"/>
                <w:szCs w:val="22"/>
                <w:lang w:val="en-IE" w:bidi="ar-SA"/>
              </w:rPr>
              <w:t>with respect to its Generator Units in any of the next four Billing Periods will increase or decrease in absolute terms by more than the Credit Cover Adjustment Trigger,</w:t>
            </w:r>
            <w:r w:rsidRPr="00817F44">
              <w:rPr>
                <w:rFonts w:eastAsiaTheme="minorEastAsia"/>
                <w:sz w:val="22"/>
                <w:szCs w:val="22"/>
                <w:lang w:val="en-IE" w:bidi="ar-SA"/>
              </w:rPr>
              <w:t xml:space="preserve"> then it shall notify the Market Operator as soon as reasonably possible. Such a Participant shall be called an Adjusted Participant.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r w:rsidRPr="00817F44">
              <w:rPr>
                <w:rFonts w:eastAsiaTheme="minorEastAsia"/>
                <w:sz w:val="22"/>
                <w:szCs w:val="22"/>
                <w:lang w:val="en-IE" w:bidi="ar-SA"/>
              </w:rPr>
              <w:t xml:space="preserve">G.12.4.3 Where a Participant becomes an Adjusted Participant, it shall notify the Market Operator of its forecast value of its Credit Assessment Adjustment Factor. This forecast value notified by an Adjusted Participant shall represent the forecasted percentage change of its average Metered Demand or forecasted </w:t>
            </w:r>
            <w:ins w:id="149" w:author="Author">
              <w:r w:rsidRPr="00817F44">
                <w:rPr>
                  <w:rFonts w:eastAsiaTheme="minorEastAsia"/>
                  <w:sz w:val="22"/>
                  <w:szCs w:val="22"/>
                  <w:lang w:val="en-IE" w:bidi="ar-SA"/>
                </w:rPr>
                <w:t>T</w:t>
              </w:r>
            </w:ins>
            <w:del w:id="150" w:author="Author">
              <w:r w:rsidRPr="00817F44" w:rsidDel="001908C2">
                <w:rPr>
                  <w:rFonts w:eastAsiaTheme="minorEastAsia"/>
                  <w:sz w:val="22"/>
                  <w:szCs w:val="22"/>
                  <w:lang w:val="en-IE" w:bidi="ar-SA"/>
                </w:rPr>
                <w:delText>t</w:delText>
              </w:r>
            </w:del>
            <w:r w:rsidRPr="00817F44">
              <w:rPr>
                <w:rFonts w:eastAsiaTheme="minorEastAsia"/>
                <w:sz w:val="22"/>
                <w:szCs w:val="22"/>
                <w:lang w:val="en-IE" w:bidi="ar-SA"/>
              </w:rPr>
              <w:t>otal Daily Amounts which will be applied in the calculations for Required Credit Cover. 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2)</w:t>
            </w: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G.12.4.3 Where a Participant</w:t>
            </w:r>
            <w:ins w:id="151" w:author="Author">
              <w:r w:rsidRPr="00817F44">
                <w:rPr>
                  <w:rFonts w:eastAsiaTheme="minorEastAsia"/>
                  <w:sz w:val="22"/>
                  <w:szCs w:val="22"/>
                  <w:lang w:val="en-IE" w:bidi="ar-SA"/>
                </w:rPr>
                <w:t xml:space="preserve"> is a New Participant or</w:t>
              </w:r>
            </w:ins>
            <w:r w:rsidRPr="00817F44">
              <w:rPr>
                <w:rFonts w:eastAsiaTheme="minorEastAsia"/>
                <w:sz w:val="22"/>
                <w:szCs w:val="22"/>
                <w:lang w:val="en-IE" w:bidi="ar-SA"/>
              </w:rPr>
              <w:t xml:space="preserve"> becomes an Adjusted Participant, it shall notify the Market Operator of its forecast value of its Metered Demand and/or Imbalance for its Supplier Units and/or Generator Units respectively. The forecast values notified by an Adjusted Participant shall represent the forecast</w:t>
            </w:r>
            <w:ins w:id="152" w:author="Author">
              <w:r w:rsidRPr="00817F44">
                <w:rPr>
                  <w:rFonts w:eastAsiaTheme="minorEastAsia"/>
                  <w:sz w:val="22"/>
                  <w:szCs w:val="22"/>
                  <w:lang w:val="en-IE" w:bidi="ar-SA"/>
                </w:rPr>
                <w:t xml:space="preserve"> </w:t>
              </w:r>
            </w:ins>
            <w:r w:rsidRPr="00817F44">
              <w:rPr>
                <w:rFonts w:eastAsiaTheme="minorEastAsia"/>
                <w:sz w:val="22"/>
                <w:szCs w:val="22"/>
                <w:lang w:val="en-IE" w:bidi="ar-SA"/>
              </w:rPr>
              <w:t>of its average Metered Demand or forecasted Imbalance which will be applied in the calculations for Required Credit Cover. 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G.14.4.1 The Credit Assessment Volume (VCAG</w:t>
            </w:r>
            <w:r w:rsidRPr="00817F44">
              <w:rPr>
                <w:rFonts w:eastAsiaTheme="minorEastAsia"/>
                <w:sz w:val="22"/>
                <w:szCs w:val="22"/>
                <w:vertAlign w:val="subscript"/>
                <w:lang w:val="en-IE" w:bidi="ar-SA"/>
              </w:rPr>
              <w:t>pγ</w:t>
            </w:r>
            <w:r w:rsidRPr="00817F44">
              <w:rPr>
                <w:rFonts w:eastAsiaTheme="minorEastAsia"/>
                <w:sz w:val="22"/>
                <w:szCs w:val="22"/>
                <w:lang w:val="en-IE" w:bidi="ar-SA"/>
              </w:rPr>
              <w:t xml:space="preserve">) for a New or Adjusted Participant p in Imbalance Settlement Period </w:t>
            </w:r>
            <w:r w:rsidRPr="00817F44">
              <w:rPr>
                <w:rFonts w:eastAsiaTheme="minorEastAsia" w:cs="Arial"/>
                <w:sz w:val="22"/>
                <w:szCs w:val="22"/>
                <w:lang w:val="en-IE" w:bidi="ar-SA"/>
              </w:rPr>
              <w:t>γ</w:t>
            </w:r>
            <w:r w:rsidRPr="00817F44">
              <w:rPr>
                <w:rFonts w:eastAsiaTheme="minorEastAsia"/>
                <w:sz w:val="22"/>
                <w:szCs w:val="22"/>
                <w:lang w:val="en-IE" w:bidi="ar-SA"/>
              </w:rPr>
              <w:t xml:space="preserve"> shall be a forecast of Imbalance relating to Daily Amounts in respect of the Participant's Generator Units based upon information provided by the Participant in accordance with paragraph </w:t>
            </w:r>
            <w:del w:id="153" w:author="Author">
              <w:r w:rsidR="00D23453" w:rsidRPr="00817F44" w:rsidDel="006E741B">
                <w:rPr>
                  <w:rFonts w:eastAsiaTheme="minorEastAsia"/>
                  <w:sz w:val="22"/>
                  <w:szCs w:val="22"/>
                  <w:lang w:val="en-IE" w:bidi="ar-SA"/>
                </w:rPr>
                <w:fldChar w:fldCharType="begin"/>
              </w:r>
              <w:r w:rsidRPr="00817F44" w:rsidDel="006E741B">
                <w:rPr>
                  <w:rFonts w:eastAsiaTheme="minorEastAsia"/>
                  <w:sz w:val="22"/>
                  <w:szCs w:val="22"/>
                  <w:lang w:val="en-IE" w:bidi="ar-SA"/>
                </w:rPr>
                <w:delInstrText xml:space="preserve"> REF _Ref449103528 \r \h </w:delInstrText>
              </w:r>
            </w:del>
            <w:r w:rsidRPr="00817F44">
              <w:rPr>
                <w:rFonts w:eastAsiaTheme="minorEastAsia"/>
                <w:sz w:val="22"/>
                <w:szCs w:val="22"/>
                <w:lang w:val="en-IE" w:bidi="ar-SA"/>
              </w:rPr>
              <w:instrText xml:space="preserve"> \* MERGEFORMAT </w:instrText>
            </w:r>
            <w:del w:id="154" w:author="Author">
              <w:r w:rsidR="00D23453" w:rsidRPr="00817F44" w:rsidDel="006E741B">
                <w:rPr>
                  <w:rFonts w:eastAsiaTheme="minorEastAsia"/>
                  <w:sz w:val="22"/>
                  <w:szCs w:val="22"/>
                  <w:lang w:val="en-IE" w:bidi="ar-SA"/>
                </w:rPr>
              </w:r>
              <w:r w:rsidR="00D23453" w:rsidRPr="00817F44" w:rsidDel="006E741B">
                <w:rPr>
                  <w:rFonts w:eastAsiaTheme="minorEastAsia"/>
                  <w:sz w:val="22"/>
                  <w:szCs w:val="22"/>
                  <w:lang w:val="en-IE" w:bidi="ar-SA"/>
                </w:rPr>
                <w:fldChar w:fldCharType="separate"/>
              </w:r>
              <w:r w:rsidRPr="00817F44" w:rsidDel="006E741B">
                <w:rPr>
                  <w:rFonts w:eastAsiaTheme="minorEastAsia"/>
                  <w:sz w:val="22"/>
                  <w:szCs w:val="22"/>
                  <w:lang w:val="en-IE" w:bidi="ar-SA"/>
                </w:rPr>
                <w:delText>G.12.4.2</w:delText>
              </w:r>
              <w:r w:rsidR="00D23453" w:rsidRPr="00817F44" w:rsidDel="006E741B">
                <w:rPr>
                  <w:rFonts w:eastAsiaTheme="minorEastAsia"/>
                  <w:sz w:val="22"/>
                  <w:szCs w:val="22"/>
                  <w:lang w:val="en-IE" w:bidi="ar-SA"/>
                </w:rPr>
                <w:fldChar w:fldCharType="end"/>
              </w:r>
              <w:r w:rsidRPr="00817F44" w:rsidDel="006E741B">
                <w:rPr>
                  <w:rFonts w:eastAsiaTheme="minorEastAsia"/>
                  <w:sz w:val="22"/>
                  <w:szCs w:val="22"/>
                  <w:lang w:val="en-IE" w:bidi="ar-SA"/>
                </w:rPr>
                <w:delText xml:space="preserve"> </w:delText>
              </w:r>
            </w:del>
            <w:r w:rsidRPr="00817F44">
              <w:rPr>
                <w:rFonts w:eastAsiaTheme="minorEastAsia"/>
                <w:sz w:val="22"/>
                <w:szCs w:val="22"/>
                <w:lang w:val="en-IE" w:bidi="ar-SA"/>
              </w:rPr>
              <w:t>G.12.4.3 and used in the calculation of the Participant's Required Credit Cover.</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3)</w:t>
            </w:r>
          </w:p>
          <w:p w:rsidR="00817F44" w:rsidRPr="00817F44" w:rsidRDefault="00817F44" w:rsidP="00817F44">
            <w:pPr>
              <w:spacing w:before="120" w:after="120" w:line="240" w:lineRule="auto"/>
              <w:ind w:left="900" w:hanging="900"/>
              <w:jc w:val="both"/>
              <w:outlineLvl w:val="4"/>
              <w:rPr>
                <w:rFonts w:eastAsiaTheme="minorEastAsia"/>
                <w:sz w:val="22"/>
                <w:szCs w:val="22"/>
                <w:lang w:val="en-IE" w:bidi="ar-SA"/>
              </w:rPr>
            </w:pPr>
            <w:r w:rsidRPr="00817F44">
              <w:rPr>
                <w:rFonts w:eastAsiaTheme="minorEastAsia"/>
                <w:sz w:val="22"/>
                <w:szCs w:val="22"/>
                <w:lang w:val="en-IE" w:bidi="ar-SA"/>
              </w:rPr>
              <w:t>G.14.3.3 A New or Adjusted Participant’s Exposure in respect of its Capacity Charges for its Supplier Units (EUPECC</w:t>
            </w:r>
            <w:r w:rsidRPr="00817F44">
              <w:rPr>
                <w:rFonts w:eastAsiaTheme="minorEastAsia"/>
                <w:sz w:val="22"/>
                <w:szCs w:val="22"/>
                <w:vertAlign w:val="subscript"/>
                <w:lang w:val="en-IE" w:bidi="ar-SA"/>
              </w:rPr>
              <w:t>pg</w:t>
            </w:r>
            <w:r w:rsidRPr="00817F44">
              <w:rPr>
                <w:rFonts w:eastAsiaTheme="minorEastAsia"/>
                <w:sz w:val="22"/>
                <w:szCs w:val="22"/>
                <w:lang w:val="en-IE" w:bidi="ar-SA"/>
              </w:rPr>
              <w:t>)</w:t>
            </w:r>
            <w:ins w:id="155" w:author="Author">
              <w:r w:rsidRPr="00817F44">
                <w:rPr>
                  <w:rFonts w:eastAsiaTheme="minorEastAsia"/>
                  <w:sz w:val="22"/>
                  <w:szCs w:val="22"/>
                  <w:lang w:val="en-IE" w:bidi="ar-SA"/>
                </w:rPr>
                <w:t xml:space="preserve"> for Undefined Exposure Period g</w:t>
              </w:r>
            </w:ins>
            <w:r w:rsidRPr="00817F44">
              <w:rPr>
                <w:rFonts w:eastAsiaTheme="minorEastAsia"/>
                <w:sz w:val="22"/>
                <w:szCs w:val="22"/>
                <w:lang w:val="en-IE" w:bidi="ar-SA"/>
              </w:rPr>
              <w:t xml:space="preserve"> shall be calculated by the Market Operator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EUPECC</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γ in g</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Ω</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CCP</m:t>
                            </m:r>
                          </m:e>
                          <m:sub>
                            <m:r>
                              <w:rPr>
                                <w:rFonts w:ascii="Cambria Math" w:eastAsiaTheme="minorEastAsia" w:hAnsi="Cambria Math" w:cs="Arial"/>
                                <w:sz w:val="22"/>
                                <w:szCs w:val="22"/>
                                <w:lang w:val="en-IE" w:eastAsia="en-IE" w:bidi="ar-SA"/>
                              </w:rPr>
                              <m:t>Ωγ</m:t>
                            </m:r>
                          </m:sub>
                        </m:sSub>
                      </m:e>
                    </m:nary>
                  </m:e>
                </m:nary>
                <m:r>
                  <w:rPr>
                    <w:rFonts w:ascii="Cambria Math" w:eastAsiaTheme="minorEastAsia" w:hAnsi="Cambria Math" w:cs="Arial"/>
                    <w:sz w:val="22"/>
                    <w:szCs w:val="22"/>
                    <w:lang w:val="en-IE" w:eastAsia="en-IE" w:bidi="ar-SA"/>
                  </w:rPr>
                  <m:t>×</m:t>
                </m:r>
                <m:f>
                  <m:fPr>
                    <m:ctrlPr>
                      <w:rPr>
                        <w:rFonts w:ascii="Cambria Math" w:eastAsiaTheme="minorEastAsia" w:hAnsi="Cambria Math"/>
                        <w:i/>
                        <w:sz w:val="22"/>
                        <w:lang w:val="en-IE" w:eastAsia="en-IE" w:bidi="ar-SA"/>
                      </w:rPr>
                    </m:ctrlPr>
                  </m:fPr>
                  <m:num>
                    <w:ins w:id="156" w:author="Author">
                      <m:r>
                        <w:rPr>
                          <w:rFonts w:ascii="Cambria Math" w:eastAsiaTheme="minorEastAsia" w:hAnsi="Cambria Math"/>
                          <w:sz w:val="22"/>
                          <w:lang w:val="en-IE" w:eastAsia="en-IE" w:bidi="ar-SA"/>
                        </w:rPr>
                        <m:t>-</m:t>
                      </m:r>
                    </w:ins>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γ in g</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VCAS</m:t>
                            </m:r>
                          </m:e>
                          <m:sub>
                            <m:r>
                              <w:rPr>
                                <w:rFonts w:ascii="Cambria Math" w:eastAsiaTheme="minorEastAsia" w:hAnsi="Cambria Math" w:cs="Arial"/>
                                <w:sz w:val="22"/>
                                <w:szCs w:val="22"/>
                                <w:lang w:val="en-IE" w:eastAsia="en-IE" w:bidi="ar-SA"/>
                              </w:rPr>
                              <m:t>pγ</m:t>
                            </m:r>
                          </m:sub>
                        </m:sSub>
                      </m:e>
                    </m:nary>
                  </m:num>
                  <m:den>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p</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QUPEB</m:t>
                            </m:r>
                          </m:e>
                          <m:sub>
                            <m:r>
                              <w:rPr>
                                <w:rFonts w:ascii="Cambria Math" w:eastAsiaTheme="minorEastAsia" w:hAnsi="Cambria Math" w:cs="Arial"/>
                                <w:sz w:val="22"/>
                                <w:szCs w:val="22"/>
                                <w:lang w:val="en-IE" w:eastAsia="en-IE" w:bidi="ar-SA"/>
                              </w:rPr>
                              <m:t>pg</m:t>
                            </m:r>
                          </m:sub>
                        </m:sSub>
                      </m:e>
                    </m:nary>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p</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γ in g</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VCAS</m:t>
                                </m:r>
                              </m:e>
                              <m:sub>
                                <m:r>
                                  <w:rPr>
                                    <w:rFonts w:ascii="Cambria Math" w:eastAsiaTheme="minorEastAsia" w:hAnsi="Cambria Math" w:cs="Arial"/>
                                    <w:sz w:val="22"/>
                                    <w:szCs w:val="22"/>
                                    <w:lang w:val="en-IE" w:eastAsia="en-IE" w:bidi="ar-SA"/>
                                  </w:rPr>
                                  <m:t>pγ</m:t>
                                </m:r>
                              </m:sub>
                            </m:sSub>
                          </m:e>
                        </m:nary>
                      </m:e>
                    </m:nary>
                    <m:r>
                      <w:rPr>
                        <w:rFonts w:ascii="Cambria Math" w:eastAsiaTheme="minorEastAsia" w:hAnsi="Cambria Math" w:cs="Arial"/>
                        <w:sz w:val="22"/>
                        <w:szCs w:val="22"/>
                        <w:lang w:val="en-IE" w:eastAsia="en-IE" w:bidi="ar-SA"/>
                      </w:rPr>
                      <m:t xml:space="preserve">) </m:t>
                    </m:r>
                  </m:den>
                </m:f>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 xml:space="preserve">where: </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CCP</w:t>
            </w:r>
            <w:r w:rsidRPr="00817F44">
              <w:rPr>
                <w:rFonts w:eastAsiaTheme="minorEastAsia" w:cs="Arial"/>
                <w:sz w:val="22"/>
                <w:szCs w:val="16"/>
                <w:vertAlign w:val="subscript"/>
                <w:lang w:val="en-IE" w:bidi="ar-SA"/>
              </w:rPr>
              <w:t>Ω</w:t>
            </w:r>
            <w:r w:rsidRPr="00817F44">
              <w:rPr>
                <w:rFonts w:eastAsiaTheme="minorEastAsia"/>
                <w:sz w:val="22"/>
                <w:szCs w:val="22"/>
                <w:vertAlign w:val="subscript"/>
                <w:lang w:val="en-IE" w:bidi="ar-SA"/>
              </w:rPr>
              <w:t>γ</w:t>
            </w:r>
            <w:r w:rsidRPr="00817F44">
              <w:rPr>
                <w:rFonts w:eastAsiaTheme="minorEastAsia"/>
                <w:sz w:val="22"/>
                <w:szCs w:val="22"/>
                <w:lang w:val="en-IE" w:bidi="ar-SA"/>
              </w:rPr>
              <w:t xml:space="preserve"> is the Capacity Payment for Capacity Market Unit </w:t>
            </w:r>
            <w:r w:rsidRPr="00817F44">
              <w:rPr>
                <w:rFonts w:eastAsiaTheme="minorEastAsia" w:cs="Arial"/>
                <w:sz w:val="22"/>
                <w:szCs w:val="16"/>
                <w:lang w:val="en-IE" w:bidi="ar-SA"/>
              </w:rPr>
              <w:t>Ω</w:t>
            </w:r>
            <w:r w:rsidRPr="00817F44">
              <w:rPr>
                <w:rFonts w:eastAsiaTheme="minorEastAsia"/>
                <w:sz w:val="22"/>
                <w:szCs w:val="22"/>
                <w:lang w:val="en-IE" w:bidi="ar-SA"/>
              </w:rPr>
              <w:t xml:space="preserve"> in Imbalance Settlement Period γ;</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VCAS</w:t>
            </w:r>
            <w:r w:rsidRPr="00817F44">
              <w:rPr>
                <w:rFonts w:eastAsiaTheme="minorEastAsia"/>
                <w:sz w:val="22"/>
                <w:szCs w:val="22"/>
                <w:vertAlign w:val="subscript"/>
                <w:lang w:val="en-IE" w:bidi="ar-SA"/>
              </w:rPr>
              <w:t>pγ</w:t>
            </w:r>
            <w:r w:rsidRPr="00817F44">
              <w:rPr>
                <w:rFonts w:eastAsiaTheme="minorEastAsia"/>
                <w:sz w:val="22"/>
                <w:szCs w:val="22"/>
                <w:lang w:val="en-IE" w:bidi="ar-SA"/>
              </w:rPr>
              <w:t xml:space="preserve"> is the Credit Assessment Volume for each New or Adjusted Participant in respect of its Supplier Units for the Imbalance Settlement Periods γ; </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QUPEB</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Billing Period Undefined Potential Exposure Quantity for Standard Participant p in respect of all its Supplier Units v in Undefined Exposure Period g calculated in accordance with section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_Ref456192216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G.14.7</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γ in g</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the summation across all Imbalance Settlement Periods γ in Undefined Exposure Period g;</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Ω</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 xml:space="preserve">is the summation across all Capacity Market Units </w:t>
            </w:r>
            <w:r w:rsidR="00817F44" w:rsidRPr="00817F44">
              <w:rPr>
                <w:rFonts w:eastAsiaTheme="minorEastAsia" w:cs="Arial"/>
                <w:sz w:val="22"/>
                <w:szCs w:val="22"/>
                <w:lang w:val="en-IE" w:bidi="ar-SA"/>
              </w:rPr>
              <w:t>Ω</w:t>
            </w:r>
            <w:r w:rsidR="00817F44" w:rsidRPr="00817F44">
              <w:rPr>
                <w:rFonts w:eastAsiaTheme="minorEastAsia"/>
                <w:sz w:val="22"/>
                <w:szCs w:val="22"/>
                <w:lang w:val="en-IE" w:bidi="ar-SA"/>
              </w:rPr>
              <w:t xml:space="preserve">; and </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the summation across all Participants p.</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4)</w:t>
            </w:r>
          </w:p>
          <w:p w:rsidR="00817F44" w:rsidRPr="00817F44" w:rsidRDefault="00817F44" w:rsidP="00817F44">
            <w:pPr>
              <w:spacing w:before="120" w:after="120" w:line="240" w:lineRule="auto"/>
              <w:ind w:left="1170" w:hanging="1170"/>
              <w:jc w:val="both"/>
              <w:outlineLvl w:val="4"/>
              <w:rPr>
                <w:rFonts w:eastAsiaTheme="minorEastAsia"/>
                <w:sz w:val="22"/>
                <w:szCs w:val="22"/>
                <w:lang w:val="en-IE" w:bidi="ar-SA"/>
              </w:rPr>
            </w:pPr>
            <w:r w:rsidRPr="00817F44">
              <w:rPr>
                <w:rFonts w:eastAsiaTheme="minorEastAsia"/>
                <w:sz w:val="22"/>
                <w:szCs w:val="22"/>
                <w:lang w:val="en-IE" w:bidi="ar-SA"/>
              </w:rPr>
              <w:t>G.14.15.2 The Market Operator shall procure that the Forecast Amount Available for Settlement Reallocation Agreements (FAVRA</w:t>
            </w:r>
            <w:r w:rsidRPr="00817F44">
              <w:rPr>
                <w:rFonts w:eastAsiaTheme="minorEastAsia"/>
                <w:sz w:val="22"/>
                <w:szCs w:val="22"/>
                <w:vertAlign w:val="subscript"/>
                <w:lang w:val="en-IE" w:bidi="ar-SA"/>
              </w:rPr>
              <w:t>apr</w:t>
            </w:r>
            <w:r w:rsidRPr="00817F44">
              <w:rPr>
                <w:rFonts w:eastAsiaTheme="minorEastAsia"/>
                <w:sz w:val="22"/>
                <w:szCs w:val="22"/>
                <w:lang w:val="en-IE" w:bidi="ar-SA"/>
              </w:rPr>
              <w:t>) that apply to a Participant for Settlement Reallocation Agreement a that falls within Settlement Risk Period r shall be calculated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FAVRA</m:t>
                    </m:r>
                  </m:e>
                  <m:sub>
                    <m:r>
                      <w:rPr>
                        <w:rFonts w:ascii="Cambria Math" w:eastAsiaTheme="minorEastAsia" w:hAnsi="Cambria Math" w:cs="Arial"/>
                        <w:sz w:val="22"/>
                        <w:szCs w:val="22"/>
                        <w:lang w:val="en-IE" w:eastAsia="en-IE" w:bidi="ar-SA"/>
                      </w:rPr>
                      <m:t>apr</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FCR</m:t>
                    </m:r>
                  </m:e>
                  <m:sub>
                    <m:r>
                      <w:rPr>
                        <w:rFonts w:ascii="Cambria Math" w:eastAsiaTheme="minorEastAsia" w:hAnsi="Cambria Math" w:cs="Arial"/>
                        <w:sz w:val="22"/>
                        <w:szCs w:val="22"/>
                        <w:lang w:val="en-IE" w:eastAsia="en-IE" w:bidi="ar-SA"/>
                      </w:rPr>
                      <m:t>py</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EA</m:t>
                    </m:r>
                  </m:e>
                  <m:sub>
                    <m:r>
                      <w:rPr>
                        <w:rFonts w:ascii="Cambria Math" w:eastAsiaTheme="minorEastAsia" w:hAnsi="Cambria Math" w:cs="Arial"/>
                        <w:sz w:val="22"/>
                        <w:szCs w:val="22"/>
                        <w:lang w:val="en-IE" w:eastAsia="en-IE" w:bidi="ar-SA"/>
                      </w:rPr>
                      <m:t>pr</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ETND</m:t>
                    </m:r>
                  </m:e>
                  <m:sub>
                    <m:r>
                      <w:rPr>
                        <w:rFonts w:ascii="Cambria Math" w:eastAsiaTheme="minorEastAsia" w:hAnsi="Cambria Math" w:cs="Arial"/>
                        <w:sz w:val="22"/>
                        <w:szCs w:val="22"/>
                        <w:lang w:val="en-IE" w:eastAsia="en-IE" w:bidi="ar-SA"/>
                      </w:rPr>
                      <m:t>p</m:t>
                    </m:r>
                    <w:ins w:id="157" w:author="Author">
                      <m:r>
                        <w:rPr>
                          <w:rFonts w:ascii="Cambria Math" w:eastAsiaTheme="minorEastAsia" w:hAnsi="Cambria Math" w:cs="Arial"/>
                          <w:sz w:val="22"/>
                          <w:szCs w:val="22"/>
                          <w:lang w:val="en-IE" w:eastAsia="en-IE" w:bidi="ar-SA"/>
                        </w:rPr>
                        <m:t>g</m:t>
                      </m:r>
                    </w:ins>
                    <w:del w:id="158" w:author="Author">
                      <m:r>
                        <w:rPr>
                          <w:rFonts w:ascii="Cambria Math" w:eastAsiaTheme="minorEastAsia" w:hAnsi="Cambria Math" w:cs="Arial"/>
                          <w:sz w:val="22"/>
                          <w:szCs w:val="22"/>
                          <w:lang w:val="en-IE" w:eastAsia="en-IE" w:bidi="ar-SA"/>
                        </w:rPr>
                        <m:t>d</m:t>
                      </m:r>
                    </w:del>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EUPES</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EUPEG</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EUPECC</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EUPECP</m:t>
                    </m:r>
                  </m:e>
                  <m:sub>
                    <m:r>
                      <w:rPr>
                        <w:rFonts w:ascii="Cambria Math" w:eastAsiaTheme="minorEastAsia" w:hAnsi="Cambria Math" w:cs="Arial"/>
                        <w:sz w:val="22"/>
                        <w:szCs w:val="22"/>
                        <w:lang w:val="en-IE" w:eastAsia="en-IE" w:bidi="ar-SA"/>
                      </w:rPr>
                      <m:t>pg</m:t>
                    </m:r>
                  </m:sub>
                </m:sSub>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lastRenderedPageBreak/>
              <w:t>FCR</w:t>
            </w:r>
            <w:r w:rsidRPr="00817F44">
              <w:rPr>
                <w:rFonts w:eastAsiaTheme="minorEastAsia"/>
                <w:sz w:val="22"/>
                <w:szCs w:val="22"/>
                <w:vertAlign w:val="subscript"/>
                <w:lang w:val="en-IE" w:bidi="ar-SA"/>
              </w:rPr>
              <w:t>py</w:t>
            </w:r>
            <w:r w:rsidRPr="00817F44">
              <w:rPr>
                <w:rFonts w:eastAsiaTheme="minorEastAsia"/>
                <w:sz w:val="22"/>
                <w:szCs w:val="22"/>
                <w:lang w:val="en-IE" w:bidi="ar-SA"/>
              </w:rPr>
              <w:t xml:space="preserve"> is the Fixed Credit Requirement for Participant p in Year y, as determined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_Ref459654455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G.10.1.1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EA</w:t>
            </w:r>
            <w:r w:rsidRPr="00817F44">
              <w:rPr>
                <w:rFonts w:eastAsiaTheme="minorEastAsia"/>
                <w:sz w:val="22"/>
                <w:szCs w:val="22"/>
                <w:vertAlign w:val="subscript"/>
                <w:lang w:val="en-IE" w:bidi="ar-SA"/>
              </w:rPr>
              <w:t>pr</w:t>
            </w:r>
            <w:r w:rsidRPr="00817F44">
              <w:rPr>
                <w:rFonts w:eastAsiaTheme="minorEastAsia"/>
                <w:sz w:val="22"/>
                <w:szCs w:val="22"/>
                <w:lang w:val="en-IE" w:bidi="ar-SA"/>
              </w:rPr>
              <w:t xml:space="preserve"> is the Actual Exposure in respect of actual liabilities for participant p across Settlement Risk Period r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_Ref456192397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G.13.1.1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ETND</w:t>
            </w:r>
            <w:r w:rsidRPr="00817F44">
              <w:rPr>
                <w:rFonts w:eastAsiaTheme="minorEastAsia"/>
                <w:sz w:val="22"/>
                <w:szCs w:val="22"/>
                <w:vertAlign w:val="subscript"/>
                <w:lang w:val="en-IE" w:bidi="ar-SA"/>
              </w:rPr>
              <w:t>p</w:t>
            </w:r>
            <w:ins w:id="159" w:author="Author">
              <w:r w:rsidRPr="00817F44">
                <w:rPr>
                  <w:rFonts w:eastAsiaTheme="minorEastAsia"/>
                  <w:sz w:val="22"/>
                  <w:szCs w:val="22"/>
                  <w:vertAlign w:val="subscript"/>
                  <w:lang w:val="en-IE" w:bidi="ar-SA"/>
                </w:rPr>
                <w:t>g</w:t>
              </w:r>
            </w:ins>
            <w:del w:id="160" w:author="Author">
              <w:r w:rsidRPr="00817F44" w:rsidDel="00363425">
                <w:rPr>
                  <w:rFonts w:eastAsiaTheme="minorEastAsia"/>
                  <w:sz w:val="22"/>
                  <w:szCs w:val="22"/>
                  <w:vertAlign w:val="subscript"/>
                  <w:lang w:val="en-IE" w:bidi="ar-SA"/>
                </w:rPr>
                <w:delText>d</w:delText>
              </w:r>
            </w:del>
            <w:r w:rsidRPr="00817F44">
              <w:rPr>
                <w:rFonts w:eastAsiaTheme="minorEastAsia"/>
                <w:sz w:val="22"/>
                <w:szCs w:val="22"/>
                <w:lang w:val="en-IE" w:bidi="ar-SA"/>
              </w:rPr>
              <w:t xml:space="preserve"> is the Traded Not Delivered Exposure for Participant p in </w:t>
            </w:r>
            <w:ins w:id="161" w:author="Author">
              <w:r w:rsidRPr="00817F44">
                <w:rPr>
                  <w:rFonts w:eastAsiaTheme="minorEastAsia"/>
                  <w:sz w:val="22"/>
                  <w:szCs w:val="22"/>
                  <w:lang w:val="en-IE" w:bidi="ar-SA"/>
                </w:rPr>
                <w:t>Undefined Exposure Period g</w:t>
              </w:r>
            </w:ins>
            <w:del w:id="162" w:author="Author">
              <w:r w:rsidRPr="00817F44" w:rsidDel="00363425">
                <w:rPr>
                  <w:rFonts w:eastAsiaTheme="minorEastAsia"/>
                  <w:sz w:val="22"/>
                  <w:szCs w:val="22"/>
                  <w:lang w:val="en-IE" w:bidi="ar-SA"/>
                </w:rPr>
                <w:delText>Trading Day d</w:delText>
              </w:r>
            </w:del>
            <w:r w:rsidRPr="00817F44">
              <w:rPr>
                <w:rFonts w:eastAsiaTheme="minorEastAsia"/>
                <w:sz w:val="22"/>
                <w:szCs w:val="22"/>
                <w:lang w:val="en-IE" w:bidi="ar-SA"/>
              </w:rPr>
              <w:t xml:space="preserve"> as calculated in accordance with section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_Ref456192448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G.14.13</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EUPES</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exposure for Trading Charges for Undefined Exposure Period g for Participant p in respect of its Supplier Units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_Ref456192689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G.14.7.7</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EUPEG</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Billing Period Undefined Potential Exposure for Trading Payments for Undefined Exposure Period g for Participant p in respect of its Generator Units and Assetless Units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_Ref452541573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G.14.10.4</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EUPECC</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exposure in respect of its Capacity Charges for Undefined Exposure Period g for Participant p in respect of its Supplier Units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_Ref456192738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G.14.8.1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and</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EUPECP</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Undefined Exposure in respect of its Capacity Payments for Undefined Exposure Period g for Participant p in respect of its Capacity Market Units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_Ref456192758 \w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G.14.14.1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spacing w:before="120" w:after="120" w:line="240" w:lineRule="auto"/>
              <w:ind w:left="1701"/>
              <w:jc w:val="both"/>
              <w:rPr>
                <w:rFonts w:eastAsiaTheme="minorEastAsia"/>
                <w:sz w:val="22"/>
                <w:szCs w:val="22"/>
                <w:lang w:val="en-IE" w:bidi="ar-SA"/>
              </w:rPr>
            </w:pP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r w:rsidRPr="00817F44">
              <w:rPr>
                <w:rFonts w:eastAsiaTheme="minorEastAsia"/>
                <w:sz w:val="22"/>
                <w:szCs w:val="22"/>
                <w:lang w:val="en-IE" w:bidi="ar-SA"/>
              </w:rPr>
              <w:t>G.14.15.6 For each Settlement Document that will include calculated amounts of Trading Payments and Trading Charges associated with any Settlement Reallocation Agreement a, in Settlement Risk Period r, determine Energy Credit, EC_UNBIMB</w:t>
            </w:r>
            <w:r w:rsidRPr="00817F44">
              <w:rPr>
                <w:rFonts w:eastAsiaTheme="minorEastAsia"/>
                <w:sz w:val="22"/>
                <w:szCs w:val="22"/>
                <w:vertAlign w:val="subscript"/>
                <w:lang w:val="en-IE" w:bidi="ar-SA"/>
              </w:rPr>
              <w:t>apr</w:t>
            </w:r>
            <w:r w:rsidRPr="00817F44">
              <w:rPr>
                <w:rFonts w:eastAsiaTheme="minorEastAsia"/>
                <w:sz w:val="22"/>
                <w:szCs w:val="22"/>
                <w:lang w:val="en-IE" w:bidi="ar-SA"/>
              </w:rPr>
              <w:t>, relating to Settlement Days for which Settlement Statements have not issued in accordance with paragraphs G.2.5.1(a) or G.2.5.1(b) for each Secondary Participant for each Settlement Reallocation Agreement a as follows:</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EC_UNBIMB</m:t>
                    </m:r>
                  </m:e>
                  <m:sub>
                    <m:r>
                      <w:rPr>
                        <w:rFonts w:ascii="Cambria Math" w:eastAsiaTheme="minorEastAsia" w:hAnsi="Cambria Math" w:cs="Arial"/>
                        <w:sz w:val="22"/>
                        <w:szCs w:val="22"/>
                        <w:lang w:val="en-IE" w:eastAsia="en-IE" w:bidi="ar-SA"/>
                      </w:rPr>
                      <m:t>apr</m:t>
                    </m:r>
                  </m:sub>
                </m:sSub>
                <m:r>
                  <w:rPr>
                    <w:rFonts w:ascii="Cambria Math" w:eastAsiaTheme="minorEastAsia" w:hAnsi="Cambria Math" w:cs="Arial"/>
                    <w:sz w:val="22"/>
                    <w:szCs w:val="22"/>
                    <w:lang w:val="en-IE" w:eastAsia="en-IE" w:bidi="ar-SA"/>
                  </w:rPr>
                  <m:t>=</m:t>
                </m:r>
                <m:d>
                  <m:dPr>
                    <m:ctrlPr>
                      <w:rPr>
                        <w:rFonts w:ascii="Cambria Math" w:eastAsiaTheme="minorEastAsia" w:hAnsi="Cambria Math"/>
                        <w:i/>
                        <w:sz w:val="22"/>
                        <w:lang w:val="en-IE" w:eastAsia="en-IE" w:bidi="ar-SA"/>
                      </w:rPr>
                    </m:ctrlPr>
                  </m:dPr>
                  <m:e>
                    <m:d>
                      <m:dPr>
                        <m:ctrlPr>
                          <w:rPr>
                            <w:rFonts w:ascii="Cambria Math" w:eastAsiaTheme="minorEastAsia" w:hAnsi="Cambria Math"/>
                            <w:i/>
                            <w:sz w:val="22"/>
                            <w:lang w:val="en-IE" w:eastAsia="en-IE" w:bidi="ar-SA"/>
                          </w:rPr>
                        </m:ctrlPr>
                      </m:dPr>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EUPES</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EUPEG</m:t>
                            </m:r>
                          </m:e>
                          <m:sub>
                            <m:r>
                              <w:rPr>
                                <w:rFonts w:ascii="Cambria Math" w:eastAsiaTheme="minorEastAsia" w:hAnsi="Cambria Math" w:cs="Arial"/>
                                <w:sz w:val="22"/>
                                <w:szCs w:val="22"/>
                                <w:lang w:val="en-IE" w:eastAsia="en-IE" w:bidi="ar-SA"/>
                              </w:rPr>
                              <m:t>pg</m:t>
                            </m:r>
                          </m:sub>
                        </m:sSub>
                      </m:e>
                    </m:d>
                    <m:r>
                      <w:rPr>
                        <w:rFonts w:ascii="Cambria Math" w:eastAsiaTheme="minorEastAsia" w:hAnsi="Cambria Math" w:cs="Arial" w:hint="eastAsia"/>
                        <w:sz w:val="22"/>
                        <w:szCs w:val="22"/>
                        <w:lang w:val="en-IE" w:eastAsia="en-IE" w:bidi="ar-SA"/>
                      </w:rPr>
                      <m:t>×</m:t>
                    </m:r>
                    <m:f>
                      <m:fPr>
                        <m:ctrlPr>
                          <w:rPr>
                            <w:rFonts w:ascii="Cambria Math" w:eastAsiaTheme="minorEastAsia" w:hAnsi="Cambria Math"/>
                            <w:i/>
                            <w:sz w:val="22"/>
                            <w:lang w:val="en-IE" w:eastAsia="en-IE" w:bidi="ar-SA"/>
                          </w:rPr>
                        </m:ctrlPr>
                      </m:fPr>
                      <m:num>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DUNBIMB</m:t>
                            </m:r>
                          </m:e>
                          <m:sub>
                            <m:r>
                              <w:rPr>
                                <w:rFonts w:ascii="Cambria Math" w:eastAsiaTheme="minorEastAsia" w:hAnsi="Cambria Math" w:cs="Arial"/>
                                <w:sz w:val="22"/>
                                <w:szCs w:val="22"/>
                                <w:lang w:val="en-IE" w:eastAsia="en-IE" w:bidi="ar-SA"/>
                              </w:rPr>
                              <m:t>a</m:t>
                            </m:r>
                          </m:sub>
                        </m:sSub>
                      </m:num>
                      <m:den>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UEPBD</m:t>
                            </m:r>
                          </m:e>
                          <m:sub>
                            <m:r>
                              <w:rPr>
                                <w:rFonts w:ascii="Cambria Math" w:eastAsiaTheme="minorEastAsia" w:hAnsi="Cambria Math" w:cs="Arial"/>
                                <w:sz w:val="22"/>
                                <w:szCs w:val="22"/>
                                <w:lang w:val="en-IE" w:eastAsia="en-IE" w:bidi="ar-SA"/>
                              </w:rPr>
                              <m:t>g</m:t>
                            </m:r>
                          </m:sub>
                        </m:sSub>
                      </m:den>
                    </m:f>
                  </m:e>
                </m:d>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b in a</m:t>
                    </m:r>
                  </m:sub>
                  <m:sup/>
                  <m:e>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d in b</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ETND</m:t>
                            </m:r>
                          </m:e>
                          <m:sub>
                            <m:r>
                              <w:rPr>
                                <w:rFonts w:ascii="Cambria Math" w:eastAsiaTheme="minorEastAsia" w:hAnsi="Cambria Math" w:cs="Arial"/>
                                <w:sz w:val="22"/>
                                <w:szCs w:val="22"/>
                                <w:lang w:val="en-IE" w:eastAsia="en-IE" w:bidi="ar-SA"/>
                              </w:rPr>
                              <m:t>p</m:t>
                            </m:r>
                            <w:ins w:id="163" w:author="Author">
                              <m:r>
                                <w:rPr>
                                  <w:rFonts w:ascii="Cambria Math" w:eastAsiaTheme="minorEastAsia" w:hAnsi="Cambria Math" w:cs="Arial"/>
                                  <w:sz w:val="22"/>
                                  <w:szCs w:val="22"/>
                                  <w:lang w:val="en-IE" w:eastAsia="en-IE" w:bidi="ar-SA"/>
                                </w:rPr>
                                <m:t>g</m:t>
                              </m:r>
                            </w:ins>
                            <w:del w:id="164" w:author="Author">
                              <m:r>
                                <w:rPr>
                                  <w:rFonts w:ascii="Cambria Math" w:eastAsiaTheme="minorEastAsia" w:hAnsi="Cambria Math" w:cs="Arial"/>
                                  <w:sz w:val="22"/>
                                  <w:szCs w:val="22"/>
                                  <w:lang w:val="en-IE" w:eastAsia="en-IE" w:bidi="ar-SA"/>
                                </w:rPr>
                                <m:t>d</m:t>
                              </m:r>
                            </w:del>
                          </m:sub>
                        </m:sSub>
                      </m:e>
                    </m:nary>
                  </m:e>
                </m:nary>
              </m:oMath>
            </m:oMathPara>
          </w:p>
          <w:p w:rsidR="00817F44" w:rsidRPr="00817F44" w:rsidRDefault="00817F44" w:rsidP="00817F44">
            <w:pPr>
              <w:tabs>
                <w:tab w:val="num" w:pos="851"/>
              </w:tabs>
              <w:spacing w:before="120" w:after="120" w:line="240" w:lineRule="auto"/>
              <w:ind w:left="851" w:hanging="851"/>
              <w:jc w:val="both"/>
              <w:rPr>
                <w:rFonts w:eastAsiaTheme="minorEastAsia" w:cs="Arial"/>
                <w:color w:val="FF0000"/>
                <w:sz w:val="22"/>
                <w:szCs w:val="22"/>
                <w:lang w:eastAsia="en-IE" w:bidi="ar-SA"/>
              </w:rPr>
            </w:pPr>
            <w:r w:rsidRPr="00817F44">
              <w:rPr>
                <w:rFonts w:eastAsiaTheme="minorEastAsia" w:cs="Arial"/>
                <w:color w:val="FF0000"/>
                <w:sz w:val="22"/>
                <w:szCs w:val="22"/>
                <w:lang w:eastAsia="en-IE" w:bidi="ar-SA"/>
              </w:rPr>
              <w:tab/>
            </w: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US" w:bidi="ar-SA"/>
              </w:rPr>
            </w:pPr>
            <w:r w:rsidRPr="00817F44">
              <w:rPr>
                <w:rFonts w:eastAsiaTheme="minorEastAsia"/>
                <w:sz w:val="22"/>
                <w:szCs w:val="22"/>
                <w:lang w:val="en-US" w:bidi="ar-SA"/>
              </w:rPr>
              <w:t>EUPES</w:t>
            </w:r>
            <w:r w:rsidRPr="00817F44">
              <w:rPr>
                <w:rFonts w:eastAsiaTheme="minorEastAsia"/>
                <w:sz w:val="22"/>
                <w:szCs w:val="22"/>
                <w:vertAlign w:val="subscript"/>
                <w:lang w:val="en-US" w:bidi="ar-SA"/>
              </w:rPr>
              <w:t>pg</w:t>
            </w:r>
            <w:r w:rsidRPr="00817F44">
              <w:rPr>
                <w:rFonts w:eastAsiaTheme="minorEastAsia"/>
                <w:sz w:val="22"/>
                <w:szCs w:val="22"/>
                <w:lang w:val="en-US" w:bidi="ar-SA"/>
              </w:rPr>
              <w:t xml:space="preserve"> is the exposure for Trading Charges for Undefined Exposure Period g for Participant p in respect of its Supplier Units, as calculated in accordance with paragraph </w:t>
            </w:r>
            <w:fldSimple w:instr=" REF _Ref476319101 \r \h  \* MERGEFORMAT ">
              <w:r w:rsidRPr="00817F44">
                <w:rPr>
                  <w:rFonts w:eastAsiaTheme="minorEastAsia"/>
                  <w:sz w:val="22"/>
                  <w:szCs w:val="22"/>
                  <w:lang w:val="en-US" w:bidi="ar-SA"/>
                </w:rPr>
                <w:t>G.14.3.2</w:t>
              </w:r>
            </w:fldSimple>
            <w:r w:rsidRPr="00817F44">
              <w:rPr>
                <w:rFonts w:eastAsiaTheme="minorEastAsia"/>
                <w:sz w:val="22"/>
                <w:szCs w:val="22"/>
                <w:lang w:val="en-US" w:bidi="ar-SA"/>
              </w:rPr>
              <w:t xml:space="preserve"> or paragraph </w:t>
            </w:r>
            <w:fldSimple w:instr=" REF _Ref477457443 \r \h  \* MERGEFORMAT ">
              <w:r w:rsidRPr="00817F44">
                <w:rPr>
                  <w:rFonts w:eastAsiaTheme="minorEastAsia"/>
                  <w:sz w:val="22"/>
                  <w:szCs w:val="22"/>
                  <w:lang w:val="en-US" w:bidi="ar-SA"/>
                </w:rPr>
                <w:t>G.14.5.1</w:t>
              </w:r>
            </w:fldSimple>
            <w:r w:rsidRPr="00817F44">
              <w:rPr>
                <w:rFonts w:eastAsiaTheme="minorEastAsia"/>
                <w:sz w:val="22"/>
                <w:szCs w:val="22"/>
                <w:lang w:val="en-US" w:bidi="ar-SA"/>
              </w:rPr>
              <w:t xml:space="preserve"> or paragraph </w:t>
            </w:r>
            <w:fldSimple w:instr=" REF _Ref456192689 \r \h  \* MERGEFORMAT ">
              <w:r w:rsidRPr="00817F44">
                <w:rPr>
                  <w:rFonts w:eastAsiaTheme="minorEastAsia"/>
                  <w:sz w:val="22"/>
                  <w:szCs w:val="22"/>
                  <w:lang w:val="en-US" w:bidi="ar-SA"/>
                </w:rPr>
                <w:t>G.14.7.7</w:t>
              </w:r>
            </w:fldSimple>
            <w:r w:rsidRPr="00817F44">
              <w:rPr>
                <w:rFonts w:eastAsiaTheme="minorEastAsia"/>
                <w:sz w:val="22"/>
                <w:szCs w:val="22"/>
                <w:lang w:val="en-US"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US" w:bidi="ar-SA"/>
              </w:rPr>
            </w:pPr>
            <w:r w:rsidRPr="00817F44">
              <w:rPr>
                <w:rFonts w:eastAsiaTheme="minorEastAsia"/>
                <w:sz w:val="22"/>
                <w:szCs w:val="22"/>
                <w:lang w:val="en-US" w:bidi="ar-SA"/>
              </w:rPr>
              <w:t>EUPEG</w:t>
            </w:r>
            <w:r w:rsidRPr="00817F44">
              <w:rPr>
                <w:rFonts w:eastAsiaTheme="minorEastAsia"/>
                <w:sz w:val="22"/>
                <w:szCs w:val="22"/>
                <w:vertAlign w:val="subscript"/>
                <w:lang w:val="en-US" w:bidi="ar-SA"/>
              </w:rPr>
              <w:t>pg</w:t>
            </w:r>
            <w:r w:rsidRPr="00817F44">
              <w:rPr>
                <w:rFonts w:eastAsiaTheme="minorEastAsia"/>
                <w:sz w:val="22"/>
                <w:szCs w:val="22"/>
                <w:lang w:val="en-US" w:bidi="ar-SA"/>
              </w:rPr>
              <w:t xml:space="preserve"> is the Billing Period Undefined Potential Exposure for Trading Payments for Undefined Exposure Period g for Participant p in respect of its Generator Units and Assetless Units, as calculated in accordance with paragraph </w:t>
            </w:r>
            <w:fldSimple w:instr=" REF _Ref476319166 \r \h  \* MERGEFORMAT ">
              <w:r w:rsidRPr="00817F44">
                <w:rPr>
                  <w:rFonts w:eastAsiaTheme="minorEastAsia"/>
                  <w:sz w:val="22"/>
                  <w:szCs w:val="22"/>
                  <w:lang w:val="en-US" w:bidi="ar-SA"/>
                </w:rPr>
                <w:t>G.14.4.2</w:t>
              </w:r>
            </w:fldSimple>
            <w:r w:rsidRPr="00817F44">
              <w:rPr>
                <w:rFonts w:eastAsiaTheme="minorEastAsia"/>
                <w:sz w:val="22"/>
                <w:szCs w:val="22"/>
                <w:lang w:val="en-US" w:bidi="ar-SA"/>
              </w:rPr>
              <w:t xml:space="preserve"> or paragraph </w:t>
            </w:r>
            <w:fldSimple w:instr=" REF _Ref476319178 \r \h  \* MERGEFORMAT ">
              <w:r w:rsidRPr="00817F44">
                <w:rPr>
                  <w:rFonts w:eastAsiaTheme="minorEastAsia"/>
                  <w:sz w:val="22"/>
                  <w:szCs w:val="22"/>
                  <w:lang w:val="en-US" w:bidi="ar-SA"/>
                </w:rPr>
                <w:t>G.14.6.1</w:t>
              </w:r>
            </w:fldSimple>
            <w:r w:rsidRPr="00817F44">
              <w:rPr>
                <w:rFonts w:eastAsiaTheme="minorEastAsia"/>
                <w:sz w:val="22"/>
                <w:szCs w:val="22"/>
                <w:lang w:val="en-US" w:bidi="ar-SA"/>
              </w:rPr>
              <w:t xml:space="preserve"> or paragraph </w:t>
            </w:r>
            <w:fldSimple w:instr=" REF _Ref452541573 \r \h  \* MERGEFORMAT ">
              <w:r w:rsidRPr="00817F44">
                <w:rPr>
                  <w:rFonts w:eastAsiaTheme="minorEastAsia"/>
                  <w:sz w:val="22"/>
                  <w:szCs w:val="22"/>
                  <w:lang w:val="en-US" w:bidi="ar-SA"/>
                </w:rPr>
                <w:t>G.14.10.4</w:t>
              </w:r>
            </w:fldSimple>
            <w:r w:rsidRPr="00817F44">
              <w:rPr>
                <w:rFonts w:eastAsiaTheme="minorEastAsia"/>
                <w:sz w:val="22"/>
                <w:szCs w:val="22"/>
                <w:lang w:val="en-US" w:bidi="ar-SA"/>
              </w:rPr>
              <w:t xml:space="preserve"> or paragraph </w:t>
            </w:r>
            <w:fldSimple w:instr=" REF _Ref449480395 \r \h  \* MERGEFORMAT ">
              <w:r w:rsidRPr="00817F44">
                <w:rPr>
                  <w:rFonts w:eastAsiaTheme="minorEastAsia"/>
                  <w:sz w:val="22"/>
                  <w:szCs w:val="22"/>
                  <w:lang w:val="en-US" w:bidi="ar-SA"/>
                </w:rPr>
                <w:t>G.14.12.4</w:t>
              </w:r>
            </w:fldSimple>
            <w:r w:rsidRPr="00817F44">
              <w:rPr>
                <w:rFonts w:eastAsiaTheme="minorEastAsia"/>
                <w:sz w:val="22"/>
                <w:szCs w:val="22"/>
                <w:lang w:val="en-US"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US" w:bidi="ar-SA"/>
              </w:rPr>
            </w:pPr>
            <w:r w:rsidRPr="00817F44">
              <w:rPr>
                <w:rFonts w:eastAsiaTheme="minorEastAsia"/>
                <w:sz w:val="22"/>
                <w:szCs w:val="22"/>
                <w:lang w:val="en-US" w:bidi="ar-SA"/>
              </w:rPr>
              <w:t>DUMBIMB</w:t>
            </w:r>
            <w:r w:rsidRPr="00817F44">
              <w:rPr>
                <w:rFonts w:eastAsiaTheme="minorEastAsia"/>
                <w:sz w:val="22"/>
                <w:szCs w:val="22"/>
                <w:vertAlign w:val="subscript"/>
                <w:lang w:val="en-US" w:bidi="ar-SA"/>
              </w:rPr>
              <w:t>a</w:t>
            </w:r>
            <w:r w:rsidRPr="00817F44">
              <w:rPr>
                <w:rFonts w:eastAsiaTheme="minorEastAsia"/>
                <w:sz w:val="22"/>
                <w:szCs w:val="22"/>
                <w:lang w:val="en-US" w:bidi="ar-SA"/>
              </w:rPr>
              <w:t xml:space="preserve"> is the number days of unbilled imbalance settlement in Undefined Exposure Period g for each Settlement Document associated with Settlement Reallocation Agreement a; </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US" w:bidi="ar-SA"/>
              </w:rPr>
            </w:pPr>
            <w:r w:rsidRPr="00817F44">
              <w:rPr>
                <w:rFonts w:eastAsiaTheme="minorEastAsia"/>
                <w:sz w:val="22"/>
                <w:szCs w:val="22"/>
                <w:lang w:val="en-US" w:bidi="ar-SA"/>
              </w:rPr>
              <w:t>UEPBD</w:t>
            </w:r>
            <w:r w:rsidRPr="00817F44">
              <w:rPr>
                <w:rFonts w:eastAsiaTheme="minorEastAsia"/>
                <w:sz w:val="22"/>
                <w:szCs w:val="22"/>
                <w:vertAlign w:val="subscript"/>
                <w:lang w:val="en-US" w:bidi="ar-SA"/>
              </w:rPr>
              <w:t>g</w:t>
            </w:r>
            <w:r w:rsidRPr="00817F44">
              <w:rPr>
                <w:rFonts w:eastAsiaTheme="minorEastAsia"/>
                <w:sz w:val="22"/>
                <w:szCs w:val="22"/>
                <w:lang w:val="en-US" w:bidi="ar-SA"/>
              </w:rPr>
              <w:t xml:space="preserve"> is the number of days in the Undefined Exposure Period g; </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US" w:bidi="ar-SA"/>
              </w:rPr>
            </w:pPr>
            <w:r w:rsidRPr="00817F44">
              <w:rPr>
                <w:rFonts w:eastAsiaTheme="minorEastAsia"/>
                <w:sz w:val="22"/>
                <w:szCs w:val="22"/>
                <w:lang w:val="en-US" w:bidi="ar-SA"/>
              </w:rPr>
              <w:t>ETND</w:t>
            </w:r>
            <w:r w:rsidRPr="00817F44">
              <w:rPr>
                <w:rFonts w:eastAsiaTheme="minorEastAsia"/>
                <w:sz w:val="22"/>
                <w:szCs w:val="22"/>
                <w:vertAlign w:val="subscript"/>
                <w:lang w:val="en-US" w:bidi="ar-SA"/>
              </w:rPr>
              <w:t>p</w:t>
            </w:r>
            <w:ins w:id="165" w:author="Author">
              <w:r w:rsidRPr="00817F44">
                <w:rPr>
                  <w:rFonts w:eastAsiaTheme="minorEastAsia"/>
                  <w:sz w:val="22"/>
                  <w:szCs w:val="22"/>
                  <w:vertAlign w:val="subscript"/>
                  <w:lang w:val="en-US" w:bidi="ar-SA"/>
                </w:rPr>
                <w:t>g</w:t>
              </w:r>
            </w:ins>
            <w:del w:id="166" w:author="Author">
              <w:r w:rsidRPr="00817F44" w:rsidDel="00735888">
                <w:rPr>
                  <w:rFonts w:eastAsiaTheme="minorEastAsia"/>
                  <w:sz w:val="22"/>
                  <w:szCs w:val="22"/>
                  <w:vertAlign w:val="subscript"/>
                  <w:lang w:val="en-US" w:bidi="ar-SA"/>
                </w:rPr>
                <w:delText>d</w:delText>
              </w:r>
            </w:del>
            <w:r w:rsidRPr="00817F44">
              <w:rPr>
                <w:rFonts w:eastAsiaTheme="minorEastAsia"/>
                <w:sz w:val="22"/>
                <w:szCs w:val="22"/>
                <w:lang w:val="en-US" w:bidi="ar-SA"/>
              </w:rPr>
              <w:t xml:space="preserve"> is the Traded Not Delivered Exposure for Participant p in </w:t>
            </w:r>
            <w:ins w:id="167" w:author="Author">
              <w:r w:rsidRPr="00817F44">
                <w:rPr>
                  <w:rFonts w:eastAsiaTheme="minorEastAsia"/>
                  <w:sz w:val="22"/>
                  <w:szCs w:val="22"/>
                  <w:lang w:val="en-US" w:bidi="ar-SA"/>
                </w:rPr>
                <w:t>Undefined Exposure Period g</w:t>
              </w:r>
            </w:ins>
            <w:del w:id="168" w:author="Author">
              <w:r w:rsidRPr="00817F44" w:rsidDel="00735888">
                <w:rPr>
                  <w:rFonts w:eastAsiaTheme="minorEastAsia"/>
                  <w:sz w:val="22"/>
                  <w:szCs w:val="22"/>
                  <w:lang w:val="en-US" w:bidi="ar-SA"/>
                </w:rPr>
                <w:delText>Trading Day d</w:delText>
              </w:r>
            </w:del>
            <w:r w:rsidRPr="00817F44">
              <w:rPr>
                <w:rFonts w:eastAsiaTheme="minorEastAsia"/>
                <w:sz w:val="22"/>
                <w:szCs w:val="22"/>
                <w:lang w:val="en-US" w:bidi="ar-SA"/>
              </w:rPr>
              <w:t xml:space="preserve">, as calculated in accordance with section </w:t>
            </w:r>
            <w:fldSimple w:instr=" REF _Ref456192448 \r \h  \* MERGEFORMAT ">
              <w:r w:rsidRPr="00817F44">
                <w:rPr>
                  <w:rFonts w:eastAsiaTheme="minorEastAsia"/>
                  <w:sz w:val="22"/>
                  <w:szCs w:val="22"/>
                  <w:lang w:val="en-US" w:bidi="ar-SA"/>
                </w:rPr>
                <w:t>G.14.13</w:t>
              </w:r>
            </w:fldSimple>
            <w:r w:rsidRPr="00817F44">
              <w:rPr>
                <w:rFonts w:eastAsiaTheme="minorEastAsia"/>
                <w:sz w:val="22"/>
                <w:szCs w:val="22"/>
                <w:lang w:val="en-US" w:bidi="ar-SA"/>
              </w:rPr>
              <w:t>;</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US" w:bidi="ar-SA"/>
              </w:rPr>
            </w:pPr>
            <m:oMath>
              <m:nary>
                <m:naryPr>
                  <m:chr m:val="∑"/>
                  <m:limLoc m:val="undOvr"/>
                  <m:supHide m:val="on"/>
                  <m:ctrlPr>
                    <w:rPr>
                      <w:rFonts w:ascii="Cambria Math" w:eastAsiaTheme="minorEastAsia" w:hAnsi="Cambria Math"/>
                      <w:sz w:val="22"/>
                      <w:lang w:val="en-US" w:eastAsia="en-GB" w:bidi="ar-SA"/>
                    </w:rPr>
                  </m:ctrlPr>
                </m:naryPr>
                <m:sub>
                  <m:r>
                    <w:rPr>
                      <w:rFonts w:ascii="Cambria Math" w:eastAsiaTheme="minorEastAsia" w:hAnsi="Cambria Math"/>
                      <w:sz w:val="22"/>
                      <w:szCs w:val="22"/>
                      <w:lang w:val="en-US" w:bidi="ar-SA"/>
                    </w:rPr>
                    <m:t>d</m:t>
                  </m:r>
                  <m:r>
                    <m:rPr>
                      <m:sty m:val="p"/>
                    </m:rPr>
                    <w:rPr>
                      <w:rFonts w:ascii="Cambria Math" w:eastAsiaTheme="minorEastAsia" w:hAnsi="Cambria Math"/>
                      <w:sz w:val="22"/>
                      <w:szCs w:val="22"/>
                      <w:lang w:val="en-US" w:bidi="ar-SA"/>
                    </w:rPr>
                    <m:t xml:space="preserve"> </m:t>
                  </m:r>
                  <m:r>
                    <w:rPr>
                      <w:rFonts w:ascii="Cambria Math" w:eastAsiaTheme="minorEastAsia" w:hAnsi="Cambria Math"/>
                      <w:sz w:val="22"/>
                      <w:szCs w:val="22"/>
                      <w:lang w:val="en-US" w:bidi="ar-SA"/>
                    </w:rPr>
                    <m:t>in</m:t>
                  </m:r>
                  <m:r>
                    <m:rPr>
                      <m:sty m:val="p"/>
                    </m:rPr>
                    <w:rPr>
                      <w:rFonts w:ascii="Cambria Math" w:eastAsiaTheme="minorEastAsia" w:hAnsi="Cambria Math"/>
                      <w:sz w:val="22"/>
                      <w:szCs w:val="22"/>
                      <w:lang w:val="en-US" w:bidi="ar-SA"/>
                    </w:rPr>
                    <m:t xml:space="preserve"> </m:t>
                  </m:r>
                  <m:r>
                    <w:rPr>
                      <w:rFonts w:ascii="Cambria Math" w:eastAsiaTheme="minorEastAsia" w:hAnsi="Cambria Math"/>
                      <w:sz w:val="22"/>
                      <w:szCs w:val="22"/>
                      <w:lang w:val="en-US" w:bidi="ar-SA"/>
                    </w:rPr>
                    <m:t>b</m:t>
                  </m:r>
                </m:sub>
                <m:sup/>
                <m:e>
                  <m:r>
                    <m:rPr>
                      <m:sty m:val="p"/>
                    </m:rPr>
                    <w:rPr>
                      <w:rFonts w:ascii="Cambria Math" w:eastAsiaTheme="minorEastAsia" w:hAnsi="Cambria Math"/>
                      <w:sz w:val="22"/>
                      <w:szCs w:val="22"/>
                      <w:lang w:val="en-US" w:bidi="ar-SA"/>
                    </w:rPr>
                    <m:t xml:space="preserve"> </m:t>
                  </m:r>
                </m:e>
              </m:nary>
            </m:oMath>
            <w:r w:rsidR="00817F44" w:rsidRPr="00817F44">
              <w:rPr>
                <w:rFonts w:eastAsiaTheme="minorEastAsia"/>
                <w:sz w:val="22"/>
                <w:szCs w:val="22"/>
                <w:lang w:val="en-US" w:bidi="ar-SA"/>
              </w:rPr>
              <w:t>is the summation across all Settlement Days d in Billing Period b; and</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US" w:bidi="ar-SA"/>
              </w:rPr>
            </w:pPr>
            <m:oMath>
              <m:nary>
                <m:naryPr>
                  <m:chr m:val="∑"/>
                  <m:limLoc m:val="undOvr"/>
                  <m:supHide m:val="on"/>
                  <m:ctrlPr>
                    <w:rPr>
                      <w:rFonts w:ascii="Cambria Math" w:eastAsiaTheme="minorEastAsia" w:hAnsi="Cambria Math"/>
                      <w:sz w:val="22"/>
                      <w:lang w:val="en-US" w:eastAsia="en-GB" w:bidi="ar-SA"/>
                    </w:rPr>
                  </m:ctrlPr>
                </m:naryPr>
                <m:sub>
                  <m:r>
                    <w:rPr>
                      <w:rFonts w:ascii="Cambria Math" w:eastAsiaTheme="minorEastAsia" w:hAnsi="Cambria Math"/>
                      <w:sz w:val="22"/>
                      <w:szCs w:val="22"/>
                      <w:lang w:val="en-US" w:bidi="ar-SA"/>
                    </w:rPr>
                    <m:t>b</m:t>
                  </m:r>
                  <m:r>
                    <m:rPr>
                      <m:sty m:val="p"/>
                    </m:rPr>
                    <w:rPr>
                      <w:rFonts w:ascii="Cambria Math" w:eastAsiaTheme="minorEastAsia" w:hAnsi="Cambria Math"/>
                      <w:sz w:val="22"/>
                      <w:szCs w:val="22"/>
                      <w:lang w:val="en-US" w:bidi="ar-SA"/>
                    </w:rPr>
                    <m:t xml:space="preserve"> </m:t>
                  </m:r>
                  <m:r>
                    <w:rPr>
                      <w:rFonts w:ascii="Cambria Math" w:eastAsiaTheme="minorEastAsia" w:hAnsi="Cambria Math"/>
                      <w:sz w:val="22"/>
                      <w:szCs w:val="22"/>
                      <w:lang w:val="en-US" w:bidi="ar-SA"/>
                    </w:rPr>
                    <m:t>in</m:t>
                  </m:r>
                  <m:r>
                    <m:rPr>
                      <m:sty m:val="p"/>
                    </m:rPr>
                    <w:rPr>
                      <w:rFonts w:ascii="Cambria Math" w:eastAsiaTheme="minorEastAsia" w:hAnsi="Cambria Math"/>
                      <w:sz w:val="22"/>
                      <w:szCs w:val="22"/>
                      <w:lang w:val="en-US" w:bidi="ar-SA"/>
                    </w:rPr>
                    <m:t xml:space="preserve"> </m:t>
                  </m:r>
                  <m:r>
                    <w:rPr>
                      <w:rFonts w:ascii="Cambria Math" w:eastAsiaTheme="minorEastAsia" w:hAnsi="Cambria Math"/>
                      <w:sz w:val="22"/>
                      <w:szCs w:val="22"/>
                      <w:lang w:val="en-US" w:bidi="ar-SA"/>
                    </w:rPr>
                    <m:t>a</m:t>
                  </m:r>
                </m:sub>
                <m:sup/>
                <m:e>
                  <m:r>
                    <m:rPr>
                      <m:sty m:val="p"/>
                    </m:rPr>
                    <w:rPr>
                      <w:rFonts w:ascii="Cambria Math" w:eastAsiaTheme="minorEastAsia" w:hAnsi="Cambria Math"/>
                      <w:sz w:val="22"/>
                      <w:szCs w:val="22"/>
                      <w:lang w:val="en-US" w:bidi="ar-SA"/>
                    </w:rPr>
                    <m:t xml:space="preserve"> </m:t>
                  </m:r>
                </m:e>
              </m:nary>
            </m:oMath>
            <w:r w:rsidR="00817F44" w:rsidRPr="00817F44">
              <w:rPr>
                <w:rFonts w:eastAsiaTheme="minorEastAsia"/>
                <w:sz w:val="22"/>
                <w:szCs w:val="22"/>
                <w:lang w:val="en-US" w:bidi="ar-SA"/>
              </w:rPr>
              <w:t>is the summation across all Billing Periods b related to Settlement Reallocation Agreement a.</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1080" w:hanging="1080"/>
              <w:jc w:val="both"/>
              <w:outlineLvl w:val="4"/>
              <w:rPr>
                <w:rFonts w:eastAsiaTheme="minorEastAsia"/>
                <w:sz w:val="22"/>
                <w:szCs w:val="22"/>
                <w:lang w:val="en-IE" w:bidi="ar-SA"/>
              </w:rPr>
            </w:pPr>
            <w:r w:rsidRPr="00817F44">
              <w:rPr>
                <w:rFonts w:eastAsiaTheme="minorEastAsia"/>
                <w:sz w:val="22"/>
                <w:szCs w:val="22"/>
                <w:lang w:val="en-IE" w:bidi="ar-SA"/>
              </w:rPr>
              <w:t>G.14.15.9 The Market Operator shall procure that the Forecast Amount for Settlement Reallocation Agreement</w:t>
            </w:r>
            <w:ins w:id="169" w:author="Author">
              <w:r w:rsidRPr="00817F44">
                <w:rPr>
                  <w:rFonts w:eastAsiaTheme="minorEastAsia"/>
                  <w:sz w:val="22"/>
                  <w:szCs w:val="22"/>
                  <w:lang w:val="en-IE" w:bidi="ar-SA"/>
                </w:rPr>
                <w:t>(s)</w:t>
              </w:r>
            </w:ins>
            <w:r w:rsidRPr="00817F44">
              <w:rPr>
                <w:rFonts w:eastAsiaTheme="minorEastAsia"/>
                <w:sz w:val="22"/>
                <w:szCs w:val="22"/>
                <w:lang w:val="en-IE" w:bidi="ar-SA"/>
              </w:rPr>
              <w:t xml:space="preserve"> (FASRAS</w:t>
            </w:r>
            <w:del w:id="170" w:author="Author">
              <w:r w:rsidRPr="00817F44" w:rsidDel="00AC35B4">
                <w:rPr>
                  <w:rFonts w:eastAsiaTheme="minorEastAsia"/>
                  <w:sz w:val="22"/>
                  <w:szCs w:val="22"/>
                  <w:vertAlign w:val="subscript"/>
                  <w:lang w:val="en-IE" w:bidi="ar-SA"/>
                </w:rPr>
                <w:delText>a</w:delText>
              </w:r>
            </w:del>
            <w:r w:rsidRPr="00817F44">
              <w:rPr>
                <w:rFonts w:eastAsiaTheme="minorEastAsia"/>
                <w:sz w:val="22"/>
                <w:szCs w:val="22"/>
                <w:vertAlign w:val="subscript"/>
                <w:lang w:val="en-IE" w:bidi="ar-SA"/>
              </w:rPr>
              <w:t>pr</w:t>
            </w:r>
            <w:r w:rsidRPr="00817F44">
              <w:rPr>
                <w:rFonts w:eastAsiaTheme="minorEastAsia"/>
                <w:sz w:val="22"/>
                <w:szCs w:val="22"/>
                <w:lang w:val="en-IE" w:bidi="ar-SA"/>
              </w:rPr>
              <w:t>) for any Participant that is the Secondary Participant p to</w:t>
            </w:r>
            <w:del w:id="171" w:author="Author">
              <w:r w:rsidRPr="00817F44" w:rsidDel="00B01A39">
                <w:rPr>
                  <w:rFonts w:eastAsiaTheme="minorEastAsia"/>
                  <w:sz w:val="22"/>
                  <w:szCs w:val="22"/>
                  <w:lang w:val="en-IE" w:bidi="ar-SA"/>
                </w:rPr>
                <w:delText xml:space="preserve"> a</w:delText>
              </w:r>
            </w:del>
            <w:r w:rsidRPr="00817F44">
              <w:rPr>
                <w:rFonts w:eastAsiaTheme="minorEastAsia"/>
                <w:sz w:val="22"/>
                <w:szCs w:val="22"/>
                <w:lang w:val="en-IE" w:bidi="ar-SA"/>
              </w:rPr>
              <w:t xml:space="preserve"> Settlement Reallocation Agreement</w:t>
            </w:r>
            <w:ins w:id="172" w:author="Author">
              <w:r w:rsidRPr="00817F44">
                <w:rPr>
                  <w:rFonts w:eastAsiaTheme="minorEastAsia"/>
                  <w:sz w:val="22"/>
                  <w:szCs w:val="22"/>
                  <w:lang w:val="en-IE" w:bidi="ar-SA"/>
                </w:rPr>
                <w:t>(s)</w:t>
              </w:r>
            </w:ins>
            <w:r w:rsidRPr="00817F44">
              <w:rPr>
                <w:rFonts w:eastAsiaTheme="minorEastAsia"/>
                <w:sz w:val="22"/>
                <w:szCs w:val="22"/>
                <w:lang w:val="en-IE" w:bidi="ar-SA"/>
              </w:rPr>
              <w:t>, a,</w:t>
            </w:r>
            <w:ins w:id="173" w:author="Author">
              <w:r w:rsidRPr="00817F44">
                <w:rPr>
                  <w:rFonts w:eastAsiaTheme="minorEastAsia"/>
                  <w:sz w:val="22"/>
                  <w:szCs w:val="22"/>
                  <w:lang w:val="en-IE" w:bidi="ar-SA"/>
                </w:rPr>
                <w:t xml:space="preserve"> for Settlement Risk Period r</w:t>
              </w:r>
            </w:ins>
            <w:r w:rsidRPr="00817F44">
              <w:rPr>
                <w:rFonts w:eastAsiaTheme="minorEastAsia"/>
                <w:sz w:val="22"/>
                <w:szCs w:val="22"/>
                <w:lang w:val="en-IE" w:bidi="ar-SA"/>
              </w:rPr>
              <w:t xml:space="preserve"> shall be calculated as follows: </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FASRAS</m:t>
                    </m:r>
                  </m:e>
                  <m:sub>
                    <w:del w:id="174" w:author="Author">
                      <m:r>
                        <w:rPr>
                          <w:rFonts w:ascii="Cambria Math" w:eastAsiaTheme="minorEastAsia" w:hAnsi="Cambria Math" w:cs="Arial"/>
                          <w:sz w:val="22"/>
                          <w:szCs w:val="22"/>
                          <w:lang w:val="en-IE" w:eastAsia="en-IE" w:bidi="ar-SA"/>
                        </w:rPr>
                        <m:t>a</m:t>
                      </m:r>
                    </w:del>
                    <m:r>
                      <w:rPr>
                        <w:rFonts w:ascii="Cambria Math" w:eastAsiaTheme="minorEastAsia" w:hAnsi="Cambria Math" w:cs="Arial"/>
                        <w:sz w:val="22"/>
                        <w:szCs w:val="22"/>
                        <w:lang w:val="en-IE" w:eastAsia="en-IE" w:bidi="ar-SA"/>
                      </w:rPr>
                      <m:t>pr</m:t>
                    </m:r>
                  </m:sub>
                </m:sSub>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a in r</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FAVRA</m:t>
                        </m:r>
                      </m:e>
                      <m:sub>
                        <m:r>
                          <w:rPr>
                            <w:rFonts w:ascii="Cambria Math" w:eastAsiaTheme="minorEastAsia" w:hAnsi="Cambria Math" w:cs="Arial"/>
                            <w:sz w:val="22"/>
                            <w:szCs w:val="22"/>
                            <w:lang w:val="en-IE" w:eastAsia="en-IE" w:bidi="ar-SA"/>
                          </w:rPr>
                          <m:t>apr</m:t>
                        </m:r>
                      </m:sub>
                    </m:sSub>
                  </m:e>
                </m:nary>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FAVRA</w:t>
            </w:r>
            <w:r w:rsidRPr="00817F44">
              <w:rPr>
                <w:rFonts w:eastAsiaTheme="minorEastAsia"/>
                <w:sz w:val="22"/>
                <w:szCs w:val="22"/>
                <w:vertAlign w:val="subscript"/>
                <w:lang w:val="en-IE" w:bidi="ar-SA"/>
              </w:rPr>
              <w:t>apr</w:t>
            </w:r>
            <w:r w:rsidRPr="00817F44">
              <w:rPr>
                <w:rFonts w:eastAsiaTheme="minorEastAsia"/>
                <w:sz w:val="22"/>
                <w:szCs w:val="22"/>
                <w:lang w:val="en-IE" w:bidi="ar-SA"/>
              </w:rPr>
              <w:t xml:space="preserve"> is the Forecast Amount available for Settlement Reallocation Agreements for Participant p in Settlement Risk Period r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_Ref462940078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G.14.15.2</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xml:space="preserve"> or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_Ref479330738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G.14.15.8</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and</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US" w:bidi="ar-SA"/>
              </w:rPr>
            </w:pPr>
            <m:oMath>
              <m:nary>
                <m:naryPr>
                  <m:chr m:val="∑"/>
                  <m:limLoc m:val="undOvr"/>
                  <m:supHide m:val="on"/>
                  <m:ctrlPr>
                    <w:rPr>
                      <w:rFonts w:ascii="Cambria Math" w:eastAsiaTheme="minorEastAsia" w:hAnsi="Cambria Math"/>
                      <w:sz w:val="22"/>
                      <w:lang w:val="en-US" w:eastAsia="en-GB" w:bidi="ar-SA"/>
                    </w:rPr>
                  </m:ctrlPr>
                </m:naryPr>
                <m:sub>
                  <m:r>
                    <w:rPr>
                      <w:rFonts w:ascii="Cambria Math" w:eastAsiaTheme="minorEastAsia" w:hAnsi="Cambria Math"/>
                      <w:sz w:val="22"/>
                      <w:szCs w:val="22"/>
                      <w:lang w:val="en-US" w:bidi="ar-SA"/>
                    </w:rPr>
                    <m:t>a</m:t>
                  </m:r>
                  <m:r>
                    <m:rPr>
                      <m:sty m:val="p"/>
                    </m:rPr>
                    <w:rPr>
                      <w:rFonts w:ascii="Cambria Math" w:eastAsiaTheme="minorEastAsia" w:hAnsi="Cambria Math"/>
                      <w:sz w:val="22"/>
                      <w:szCs w:val="22"/>
                      <w:lang w:val="en-US" w:bidi="ar-SA"/>
                    </w:rPr>
                    <m:t xml:space="preserve"> </m:t>
                  </m:r>
                  <m:r>
                    <w:rPr>
                      <w:rFonts w:ascii="Cambria Math" w:eastAsiaTheme="minorEastAsia" w:hAnsi="Cambria Math"/>
                      <w:sz w:val="22"/>
                      <w:szCs w:val="22"/>
                      <w:lang w:val="en-US" w:bidi="ar-SA"/>
                    </w:rPr>
                    <m:t>in</m:t>
                  </m:r>
                  <m:r>
                    <m:rPr>
                      <m:sty m:val="p"/>
                    </m:rPr>
                    <w:rPr>
                      <w:rFonts w:ascii="Cambria Math" w:eastAsiaTheme="minorEastAsia" w:hAnsi="Cambria Math"/>
                      <w:sz w:val="22"/>
                      <w:szCs w:val="22"/>
                      <w:lang w:val="en-US" w:bidi="ar-SA"/>
                    </w:rPr>
                    <m:t xml:space="preserve"> </m:t>
                  </m:r>
                  <m:r>
                    <w:rPr>
                      <w:rFonts w:ascii="Cambria Math" w:eastAsiaTheme="minorEastAsia" w:hAnsi="Cambria Math"/>
                      <w:sz w:val="22"/>
                      <w:szCs w:val="22"/>
                      <w:lang w:val="en-US" w:bidi="ar-SA"/>
                    </w:rPr>
                    <m:t>r</m:t>
                  </m:r>
                </m:sub>
                <m:sup/>
                <m:e>
                  <m:r>
                    <m:rPr>
                      <m:sty m:val="p"/>
                    </m:rPr>
                    <w:rPr>
                      <w:rFonts w:ascii="Cambria Math" w:eastAsiaTheme="minorEastAsia" w:hAnsi="Cambria Math"/>
                      <w:sz w:val="22"/>
                      <w:szCs w:val="22"/>
                      <w:lang w:val="en-US" w:bidi="ar-SA"/>
                    </w:rPr>
                    <m:t xml:space="preserve"> </m:t>
                  </m:r>
                </m:e>
              </m:nary>
            </m:oMath>
            <w:r w:rsidR="00817F44" w:rsidRPr="00817F44">
              <w:rPr>
                <w:rFonts w:eastAsiaTheme="minorEastAsia"/>
                <w:sz w:val="22"/>
                <w:szCs w:val="22"/>
                <w:lang w:val="en-US" w:bidi="ar-SA"/>
              </w:rPr>
              <w:t>is the summation over all Settlement Reallocation Agreements a in Settlement Risk Period r.</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r w:rsidRPr="00817F44">
              <w:rPr>
                <w:rFonts w:eastAsiaTheme="minorEastAsia"/>
                <w:sz w:val="22"/>
                <w:szCs w:val="22"/>
                <w:lang w:val="en-IE" w:bidi="ar-SA"/>
              </w:rPr>
              <w:t>G.15.1.1  The Market Operator shall procure that the Required Credit Cover (RCC</w:t>
            </w:r>
            <w:r w:rsidRPr="00817F44">
              <w:rPr>
                <w:rFonts w:eastAsiaTheme="minorEastAsia"/>
                <w:sz w:val="22"/>
                <w:szCs w:val="22"/>
                <w:vertAlign w:val="subscript"/>
                <w:lang w:val="en-IE" w:bidi="ar-SA"/>
              </w:rPr>
              <w:t>pr</w:t>
            </w:r>
            <w:r w:rsidRPr="00817F44">
              <w:rPr>
                <w:rFonts w:eastAsiaTheme="minorEastAsia"/>
                <w:sz w:val="22"/>
                <w:szCs w:val="22"/>
                <w:lang w:val="en-IE" w:bidi="ar-SA"/>
              </w:rPr>
              <w:t xml:space="preserve">) for each Participant p in respect of the Settlement Risk Period r shall be calculated as follows: </w:t>
            </w:r>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D23453" w:rsidP="00817F44">
            <w:pPr>
              <w:tabs>
                <w:tab w:val="num" w:pos="851"/>
              </w:tabs>
              <w:spacing w:before="120" w:after="120" w:line="240" w:lineRule="auto"/>
              <w:ind w:left="992"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RCC</m:t>
                    </m:r>
                  </m:e>
                  <m:sub>
                    <m:r>
                      <w:rPr>
                        <w:rFonts w:ascii="Cambria Math" w:eastAsiaTheme="minorEastAsia" w:hAnsi="Cambria Math" w:cs="Arial"/>
                        <w:sz w:val="22"/>
                        <w:szCs w:val="22"/>
                        <w:lang w:val="en-IE" w:eastAsia="en-IE" w:bidi="ar-SA"/>
                      </w:rPr>
                      <m:t>pr</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FCR</m:t>
                    </m:r>
                  </m:e>
                  <m:sub>
                    <m:r>
                      <w:rPr>
                        <w:rFonts w:ascii="Cambria Math" w:eastAsiaTheme="minorEastAsia" w:hAnsi="Cambria Math" w:cs="Arial"/>
                        <w:sz w:val="22"/>
                        <w:szCs w:val="22"/>
                        <w:lang w:val="en-IE" w:eastAsia="en-IE" w:bidi="ar-SA"/>
                      </w:rPr>
                      <m:t>py</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EA</m:t>
                    </m:r>
                  </m:e>
                  <m:sub>
                    <m:r>
                      <w:rPr>
                        <w:rFonts w:ascii="Cambria Math" w:eastAsiaTheme="minorEastAsia" w:hAnsi="Cambria Math" w:cs="Arial"/>
                        <w:sz w:val="22"/>
                        <w:szCs w:val="22"/>
                        <w:lang w:val="en-IE" w:eastAsia="en-IE" w:bidi="ar-SA"/>
                      </w:rPr>
                      <m:t>pr</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ETND</m:t>
                    </m:r>
                  </m:e>
                  <m:sub>
                    <m:r>
                      <w:rPr>
                        <w:rFonts w:ascii="Cambria Math" w:eastAsiaTheme="minorEastAsia" w:hAnsi="Cambria Math" w:cs="Arial"/>
                        <w:sz w:val="22"/>
                        <w:szCs w:val="22"/>
                        <w:lang w:val="en-IE" w:eastAsia="en-IE" w:bidi="ar-SA"/>
                      </w:rPr>
                      <m:t>p</m:t>
                    </m:r>
                    <w:del w:id="175" w:author="Author">
                      <m:r>
                        <w:rPr>
                          <w:rFonts w:ascii="Cambria Math" w:eastAsiaTheme="minorEastAsia" w:hAnsi="Cambria Math" w:cs="Arial"/>
                          <w:sz w:val="22"/>
                          <w:szCs w:val="22"/>
                          <w:lang w:val="en-IE" w:eastAsia="en-IE" w:bidi="ar-SA"/>
                        </w:rPr>
                        <m:t>d</m:t>
                      </m:r>
                    </w:del>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EUPES</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EUPEG</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EUPECC</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EUPECP</m:t>
                    </m:r>
                  </m:e>
                  <m:sub>
                    <m:r>
                      <w:rPr>
                        <w:rFonts w:ascii="Cambria Math" w:eastAsiaTheme="minorEastAsia" w:hAnsi="Cambria Math" w:cs="Arial"/>
                        <w:sz w:val="22"/>
                        <w:szCs w:val="22"/>
                        <w:lang w:val="en-IE" w:eastAsia="en-IE" w:bidi="ar-SA"/>
                      </w:rPr>
                      <m:t>pg</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FASRAS</m:t>
                    </m:r>
                  </m:e>
                  <m:sub>
                    <w:del w:id="176" w:author="Author">
                      <m:r>
                        <w:rPr>
                          <w:rFonts w:ascii="Cambria Math" w:eastAsiaTheme="minorEastAsia" w:hAnsi="Cambria Math" w:cs="Arial"/>
                          <w:sz w:val="22"/>
                          <w:szCs w:val="22"/>
                          <w:lang w:val="en-IE" w:eastAsia="en-IE" w:bidi="ar-SA"/>
                        </w:rPr>
                        <m:t>a</m:t>
                      </m:r>
                    </w:del>
                    <m:r>
                      <w:rPr>
                        <w:rFonts w:ascii="Cambria Math" w:eastAsiaTheme="minorEastAsia" w:hAnsi="Cambria Math" w:cs="Arial"/>
                        <w:sz w:val="22"/>
                        <w:szCs w:val="22"/>
                        <w:lang w:val="en-IE" w:eastAsia="en-IE" w:bidi="ar-SA"/>
                      </w:rPr>
                      <m:t>pr</m:t>
                    </m:r>
                  </m:sub>
                </m:sSub>
                <m:r>
                  <w:rPr>
                    <w:rFonts w:ascii="Cambria Math" w:eastAsiaTheme="minorEastAsia" w:hAnsi="Cambria Math" w:cs="Arial"/>
                    <w:sz w:val="22"/>
                    <w:szCs w:val="22"/>
                    <w:lang w:val="en-IE" w:eastAsia="en-IE" w:bidi="ar-SA"/>
                  </w:rPr>
                  <m:t>+</m:t>
                </m:r>
                <m:nary>
                  <m:naryPr>
                    <m:chr m:val="∑"/>
                    <m:limLoc m:val="undOvr"/>
                    <m:supHide m:val="on"/>
                    <m:ctrlPr>
                      <w:rPr>
                        <w:rFonts w:ascii="Cambria Math" w:eastAsiaTheme="minorEastAsia" w:hAnsi="Cambria Math"/>
                        <w:i/>
                        <w:sz w:val="22"/>
                        <w:lang w:val="en-IE" w:eastAsia="en-IE" w:bidi="ar-SA"/>
                      </w:rPr>
                    </m:ctrlPr>
                  </m:naryPr>
                  <m:sub>
                    <m:r>
                      <w:rPr>
                        <w:rFonts w:ascii="Cambria Math" w:eastAsiaTheme="minorEastAsia" w:hAnsi="Cambria Math" w:cs="Arial"/>
                        <w:sz w:val="22"/>
                        <w:szCs w:val="22"/>
                        <w:lang w:val="en-IE" w:eastAsia="en-IE" w:bidi="ar-SA"/>
                      </w:rPr>
                      <m:t>a in p</m:t>
                    </m:r>
                  </m:sub>
                  <m:sup/>
                  <m:e>
                    <m:sSub>
                      <m:sSubPr>
                        <m:ctrlPr>
                          <w:rPr>
                            <w:rFonts w:ascii="Cambria Math" w:eastAsiaTheme="minorEastAsia" w:hAnsi="Cambria Math"/>
                            <w:i/>
                            <w:sz w:val="22"/>
                            <w:lang w:val="en-IE" w:eastAsia="en-IE" w:bidi="ar-SA"/>
                          </w:rPr>
                        </m:ctrlPr>
                      </m:sSubPr>
                      <m:e>
                        <m:r>
                          <w:rPr>
                            <w:rFonts w:ascii="Cambria Math" w:eastAsiaTheme="minorEastAsia" w:hAnsi="Cambria Math" w:cs="Arial"/>
                            <w:sz w:val="22"/>
                            <w:szCs w:val="22"/>
                            <w:lang w:val="en-IE" w:eastAsia="en-IE" w:bidi="ar-SA"/>
                          </w:rPr>
                          <m:t>FASRAP</m:t>
                        </m:r>
                      </m:e>
                      <m:sub>
                        <m:r>
                          <w:rPr>
                            <w:rFonts w:ascii="Cambria Math" w:eastAsiaTheme="minorEastAsia" w:hAnsi="Cambria Math" w:cs="Arial"/>
                            <w:sz w:val="22"/>
                            <w:szCs w:val="22"/>
                            <w:lang w:val="en-IE" w:eastAsia="en-IE" w:bidi="ar-SA"/>
                          </w:rPr>
                          <m:t>ap</m:t>
                        </m:r>
                        <m:r>
                          <w:rPr>
                            <w:rFonts w:ascii="Cambria Math" w:eastAsiaTheme="minorEastAsia" w:hAnsi="Cambria Math" w:cs="Arial"/>
                            <w:sz w:val="22"/>
                            <w:szCs w:val="22"/>
                            <w:lang w:val="en-IE" w:eastAsia="en-IE" w:bidi="ar-SA"/>
                          </w:rPr>
                          <m:t>r</m:t>
                        </m:r>
                      </m:sub>
                    </m:sSub>
                  </m:e>
                </m:nary>
              </m:oMath>
            </m:oMathPara>
          </w:p>
          <w:p w:rsidR="00817F44" w:rsidRPr="00817F44" w:rsidRDefault="00817F44" w:rsidP="00817F44">
            <w:pPr>
              <w:tabs>
                <w:tab w:val="num" w:pos="851"/>
              </w:tabs>
              <w:spacing w:before="120" w:after="120" w:line="240" w:lineRule="auto"/>
              <w:ind w:left="851" w:hanging="851"/>
              <w:jc w:val="both"/>
              <w:rPr>
                <w:rFonts w:eastAsiaTheme="minorEastAsia" w:cs="Arial"/>
                <w:sz w:val="22"/>
                <w:szCs w:val="22"/>
                <w:lang w:val="en-IE" w:eastAsia="en-IE" w:bidi="ar-SA"/>
              </w:rPr>
            </w:pPr>
          </w:p>
          <w:p w:rsidR="00817F44" w:rsidRPr="00817F44" w:rsidRDefault="00817F44" w:rsidP="00817F44">
            <w:pPr>
              <w:spacing w:before="120" w:after="120" w:line="240" w:lineRule="auto"/>
              <w:ind w:left="992"/>
              <w:jc w:val="both"/>
              <w:outlineLvl w:val="4"/>
              <w:rPr>
                <w:rFonts w:eastAsiaTheme="minorEastAsia"/>
                <w:sz w:val="22"/>
                <w:szCs w:val="22"/>
                <w:lang w:val="en-IE" w:bidi="ar-SA"/>
              </w:rPr>
            </w:pPr>
            <w:r w:rsidRPr="00817F44">
              <w:rPr>
                <w:rFonts w:eastAsiaTheme="minorEastAsia"/>
                <w:sz w:val="22"/>
                <w:szCs w:val="22"/>
                <w:lang w:val="en-IE" w:bidi="ar-SA"/>
              </w:rPr>
              <w:t>where:</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FCR</w:t>
            </w:r>
            <w:r w:rsidRPr="00817F44">
              <w:rPr>
                <w:rFonts w:eastAsiaTheme="minorEastAsia"/>
                <w:sz w:val="22"/>
                <w:szCs w:val="22"/>
                <w:vertAlign w:val="subscript"/>
                <w:lang w:val="en-IE" w:bidi="ar-SA"/>
              </w:rPr>
              <w:t>py</w:t>
            </w:r>
            <w:r w:rsidRPr="00817F44">
              <w:rPr>
                <w:rFonts w:eastAsiaTheme="minorEastAsia"/>
                <w:sz w:val="22"/>
                <w:szCs w:val="22"/>
                <w:lang w:val="en-IE" w:bidi="ar-SA"/>
              </w:rPr>
              <w:t xml:space="preserve"> is the Fixed Credit Requirement for Participant p in year y;</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EA</w:t>
            </w:r>
            <w:r w:rsidRPr="00817F44">
              <w:rPr>
                <w:rFonts w:eastAsiaTheme="minorEastAsia"/>
                <w:sz w:val="22"/>
                <w:szCs w:val="22"/>
                <w:vertAlign w:val="subscript"/>
                <w:lang w:val="en-IE" w:bidi="ar-SA"/>
              </w:rPr>
              <w:t>pr</w:t>
            </w:r>
            <w:r w:rsidRPr="00817F44">
              <w:rPr>
                <w:rFonts w:eastAsiaTheme="minorEastAsia"/>
                <w:sz w:val="22"/>
                <w:szCs w:val="22"/>
                <w:lang w:val="en-IE" w:bidi="ar-SA"/>
              </w:rPr>
              <w:t xml:space="preserve"> is the Actual Exposure in respect of actual liabilities for Participant p across Settlement Risk Period r,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_Ref456192397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G.13.1.1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ETND</w:t>
            </w:r>
            <w:r w:rsidRPr="00817F44">
              <w:rPr>
                <w:rFonts w:eastAsiaTheme="minorEastAsia"/>
                <w:sz w:val="22"/>
                <w:szCs w:val="22"/>
                <w:vertAlign w:val="subscript"/>
                <w:lang w:val="en-IE" w:bidi="ar-SA"/>
              </w:rPr>
              <w:t>p</w:t>
            </w:r>
            <w:ins w:id="177" w:author="Author">
              <w:r w:rsidRPr="00817F44">
                <w:rPr>
                  <w:rFonts w:eastAsiaTheme="minorEastAsia"/>
                  <w:sz w:val="22"/>
                  <w:szCs w:val="22"/>
                  <w:vertAlign w:val="subscript"/>
                  <w:lang w:val="en-IE" w:bidi="ar-SA"/>
                </w:rPr>
                <w:t>g</w:t>
              </w:r>
            </w:ins>
            <w:del w:id="178" w:author="Author">
              <w:r w:rsidRPr="00817F44" w:rsidDel="00B01A39">
                <w:rPr>
                  <w:rFonts w:eastAsiaTheme="minorEastAsia"/>
                  <w:sz w:val="22"/>
                  <w:szCs w:val="22"/>
                  <w:vertAlign w:val="subscript"/>
                  <w:lang w:val="en-IE" w:bidi="ar-SA"/>
                </w:rPr>
                <w:delText>d</w:delText>
              </w:r>
            </w:del>
            <w:r w:rsidRPr="00817F44">
              <w:rPr>
                <w:rFonts w:eastAsiaTheme="minorEastAsia"/>
                <w:sz w:val="22"/>
                <w:szCs w:val="22"/>
                <w:lang w:val="en-IE" w:bidi="ar-SA"/>
              </w:rPr>
              <w:t xml:space="preserve"> is the Traded Not Delivered Exposure for Participant p in </w:t>
            </w:r>
            <w:ins w:id="179" w:author="Author">
              <w:r w:rsidRPr="00817F44">
                <w:rPr>
                  <w:rFonts w:eastAsiaTheme="minorEastAsia"/>
                  <w:sz w:val="22"/>
                  <w:szCs w:val="22"/>
                  <w:lang w:val="en-IE" w:bidi="ar-SA"/>
                </w:rPr>
                <w:t>Undefined Exposure Period g</w:t>
              </w:r>
            </w:ins>
            <w:del w:id="180" w:author="Author">
              <w:r w:rsidRPr="00817F44" w:rsidDel="00B01A39">
                <w:rPr>
                  <w:rFonts w:eastAsiaTheme="minorEastAsia"/>
                  <w:sz w:val="22"/>
                  <w:szCs w:val="22"/>
                  <w:lang w:val="en-IE" w:bidi="ar-SA"/>
                </w:rPr>
                <w:delText>Trading Day d</w:delText>
              </w:r>
            </w:del>
            <w:r w:rsidRPr="00817F44">
              <w:rPr>
                <w:rFonts w:eastAsiaTheme="minorEastAsia"/>
                <w:sz w:val="22"/>
                <w:szCs w:val="22"/>
                <w:lang w:val="en-IE" w:bidi="ar-SA"/>
              </w:rPr>
              <w:t xml:space="preserve">, as calculated in accordance with section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_Ref456192448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G.14.13</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EUPES</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exposure for Trading Charges for Undefined Exposure Period g for Participant p in respect of its Supplier Units, as calculated in accordance with paragraph </w:t>
            </w:r>
            <w:fldSimple w:instr=" REF _Ref476319101 \r \h  \* MERGEFORMAT ">
              <w:r w:rsidRPr="00817F44">
                <w:rPr>
                  <w:rFonts w:eastAsiaTheme="minorEastAsia"/>
                  <w:sz w:val="22"/>
                  <w:szCs w:val="22"/>
                  <w:lang w:val="en-IE" w:bidi="ar-SA"/>
                </w:rPr>
                <w:t>G.14.3.2</w:t>
              </w:r>
            </w:fldSimple>
            <w:r w:rsidRPr="00817F44">
              <w:rPr>
                <w:rFonts w:eastAsiaTheme="minorEastAsia"/>
                <w:sz w:val="22"/>
                <w:szCs w:val="22"/>
                <w:lang w:val="en-IE" w:bidi="ar-SA"/>
              </w:rPr>
              <w:t xml:space="preserve"> or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_Ref477457443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G.14.5.1</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xml:space="preserve"> or paragraph </w:t>
            </w:r>
            <w:fldSimple w:instr=" REF _Ref456192689 \r \h  \* MERGEFORMAT ">
              <w:r w:rsidRPr="00817F44">
                <w:rPr>
                  <w:rFonts w:eastAsiaTheme="minorEastAsia"/>
                  <w:sz w:val="22"/>
                  <w:szCs w:val="22"/>
                  <w:lang w:val="en-IE" w:bidi="ar-SA"/>
                </w:rPr>
                <w:t>G.14.7.7</w:t>
              </w:r>
            </w:fldSimple>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EUPEG</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Billing Period Undefined Potential Exposure for Trading Payments for Undefined Exposure Period g for Participant p in respect of its Generator Units and Assetless Units, as calculated in accordance with paragraph </w:t>
            </w:r>
            <w:fldSimple w:instr=" REF _Ref476319166 \r \h  \* MERGEFORMAT ">
              <w:r w:rsidRPr="00817F44">
                <w:rPr>
                  <w:rFonts w:eastAsiaTheme="minorEastAsia"/>
                  <w:sz w:val="22"/>
                  <w:szCs w:val="22"/>
                  <w:lang w:val="en-IE" w:bidi="ar-SA"/>
                </w:rPr>
                <w:t>G.14.4.2</w:t>
              </w:r>
            </w:fldSimple>
            <w:r w:rsidRPr="00817F44">
              <w:rPr>
                <w:rFonts w:eastAsiaTheme="minorEastAsia"/>
                <w:sz w:val="22"/>
                <w:szCs w:val="22"/>
                <w:lang w:val="en-IE" w:bidi="ar-SA"/>
              </w:rPr>
              <w:t xml:space="preserve"> or paragraph </w:t>
            </w:r>
            <w:fldSimple w:instr=" REF _Ref476319178 \r \h  \* MERGEFORMAT ">
              <w:r w:rsidRPr="00817F44">
                <w:rPr>
                  <w:rFonts w:eastAsiaTheme="minorEastAsia"/>
                  <w:sz w:val="22"/>
                  <w:szCs w:val="22"/>
                  <w:lang w:val="en-IE" w:bidi="ar-SA"/>
                </w:rPr>
                <w:t>G.14.6.1</w:t>
              </w:r>
            </w:fldSimple>
            <w:r w:rsidRPr="00817F44">
              <w:rPr>
                <w:rFonts w:eastAsiaTheme="minorEastAsia"/>
                <w:sz w:val="22"/>
                <w:szCs w:val="22"/>
                <w:lang w:val="en-IE" w:bidi="ar-SA"/>
              </w:rPr>
              <w:t xml:space="preserve"> or paragraph </w:t>
            </w:r>
            <w:fldSimple w:instr=" REF _Ref452541573 \r \h  \* MERGEFORMAT ">
              <w:r w:rsidRPr="00817F44">
                <w:rPr>
                  <w:rFonts w:eastAsiaTheme="minorEastAsia"/>
                  <w:sz w:val="22"/>
                  <w:szCs w:val="22"/>
                  <w:lang w:val="en-IE" w:bidi="ar-SA"/>
                </w:rPr>
                <w:t>G.14.10.4</w:t>
              </w:r>
            </w:fldSimple>
            <w:r w:rsidRPr="00817F44">
              <w:rPr>
                <w:rFonts w:eastAsiaTheme="minorEastAsia"/>
                <w:sz w:val="22"/>
                <w:szCs w:val="22"/>
                <w:lang w:val="en-IE" w:bidi="ar-SA"/>
              </w:rPr>
              <w:t xml:space="preserve"> or paragraph </w:t>
            </w:r>
            <w:fldSimple w:instr=" REF _Ref449480395 \r \h  \* MERGEFORMAT ">
              <w:r w:rsidRPr="00817F44">
                <w:rPr>
                  <w:rFonts w:eastAsiaTheme="minorEastAsia"/>
                  <w:sz w:val="22"/>
                  <w:szCs w:val="22"/>
                  <w:lang w:val="en-IE" w:bidi="ar-SA"/>
                </w:rPr>
                <w:t>G.14.12.4</w:t>
              </w:r>
            </w:fldSimple>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lastRenderedPageBreak/>
              <w:t>EUPECC</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exposure in respect of its Capacity Charges for Undefined Exposure Period g for Participant p in respect of its Supplier Units, as calculated in accordance with paragraph </w:t>
            </w:r>
            <w:fldSimple w:instr=" REF _Ref476319245 \r \h  \* MERGEFORMAT ">
              <w:r w:rsidRPr="00817F44">
                <w:rPr>
                  <w:rFonts w:eastAsiaTheme="minorEastAsia"/>
                  <w:sz w:val="22"/>
                  <w:szCs w:val="22"/>
                  <w:lang w:val="en-IE" w:bidi="ar-SA"/>
                </w:rPr>
                <w:t>G.14.3.3</w:t>
              </w:r>
            </w:fldSimple>
            <w:r w:rsidRPr="00817F44">
              <w:rPr>
                <w:rFonts w:eastAsiaTheme="minorEastAsia"/>
                <w:sz w:val="22"/>
                <w:szCs w:val="22"/>
                <w:lang w:val="en-IE" w:bidi="ar-SA"/>
              </w:rPr>
              <w:t xml:space="preserve"> or paragraph </w:t>
            </w:r>
            <w:fldSimple w:instr=" REF _Ref476319261 \r \h  \* MERGEFORMAT ">
              <w:r w:rsidRPr="00817F44">
                <w:rPr>
                  <w:rFonts w:eastAsiaTheme="minorEastAsia"/>
                  <w:sz w:val="22"/>
                  <w:szCs w:val="22"/>
                  <w:lang w:val="en-IE" w:bidi="ar-SA"/>
                </w:rPr>
                <w:t>G.14.5.2</w:t>
              </w:r>
            </w:fldSimple>
            <w:r w:rsidRPr="00817F44">
              <w:rPr>
                <w:rFonts w:eastAsiaTheme="minorEastAsia"/>
                <w:sz w:val="22"/>
                <w:szCs w:val="22"/>
                <w:lang w:val="en-IE" w:bidi="ar-SA"/>
              </w:rPr>
              <w:t xml:space="preserve"> or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_Ref449482770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G.14.8</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.1;</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EUPECP</w:t>
            </w:r>
            <w:r w:rsidRPr="00817F44">
              <w:rPr>
                <w:rFonts w:eastAsiaTheme="minorEastAsia"/>
                <w:sz w:val="22"/>
                <w:szCs w:val="22"/>
                <w:vertAlign w:val="subscript"/>
                <w:lang w:val="en-IE" w:bidi="ar-SA"/>
              </w:rPr>
              <w:t>pg</w:t>
            </w:r>
            <w:r w:rsidRPr="00817F44">
              <w:rPr>
                <w:rFonts w:eastAsiaTheme="minorEastAsia"/>
                <w:sz w:val="22"/>
                <w:szCs w:val="22"/>
                <w:lang w:val="en-IE" w:bidi="ar-SA"/>
              </w:rPr>
              <w:t xml:space="preserve"> is the exposure in respect of its Capacity Payments for Undefined Exposure Period g for Participant p in respect of its Generator Units,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_Ref449482661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G.14.14</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FASRAS</w:t>
            </w:r>
            <w:del w:id="181" w:author="Author">
              <w:r w:rsidRPr="00817F44" w:rsidDel="00B01A39">
                <w:rPr>
                  <w:rFonts w:eastAsiaTheme="minorEastAsia"/>
                  <w:sz w:val="22"/>
                  <w:szCs w:val="22"/>
                  <w:vertAlign w:val="subscript"/>
                  <w:lang w:val="en-IE" w:bidi="ar-SA"/>
                </w:rPr>
                <w:delText>a</w:delText>
              </w:r>
            </w:del>
            <w:r w:rsidRPr="00817F44">
              <w:rPr>
                <w:rFonts w:eastAsiaTheme="minorEastAsia"/>
                <w:sz w:val="22"/>
                <w:szCs w:val="22"/>
                <w:vertAlign w:val="subscript"/>
                <w:lang w:val="en-IE" w:bidi="ar-SA"/>
              </w:rPr>
              <w:t>pr</w:t>
            </w:r>
            <w:r w:rsidRPr="00817F44">
              <w:rPr>
                <w:rFonts w:eastAsiaTheme="minorEastAsia"/>
                <w:sz w:val="22"/>
                <w:szCs w:val="22"/>
                <w:lang w:val="en-IE" w:bidi="ar-SA"/>
              </w:rPr>
              <w:t xml:space="preserve"> is the forecast amount of</w:t>
            </w:r>
            <w:del w:id="182" w:author="Author">
              <w:r w:rsidRPr="00817F44" w:rsidDel="00AC35B4">
                <w:rPr>
                  <w:rFonts w:eastAsiaTheme="minorEastAsia"/>
                  <w:sz w:val="22"/>
                  <w:szCs w:val="22"/>
                  <w:lang w:val="en-IE" w:bidi="ar-SA"/>
                </w:rPr>
                <w:delText xml:space="preserve"> the</w:delText>
              </w:r>
            </w:del>
            <w:r w:rsidRPr="00817F44">
              <w:rPr>
                <w:rFonts w:eastAsiaTheme="minorEastAsia"/>
                <w:sz w:val="22"/>
                <w:szCs w:val="22"/>
                <w:lang w:val="en-IE" w:bidi="ar-SA"/>
              </w:rPr>
              <w:t xml:space="preserve"> Settlement Reallocation Agreement</w:t>
            </w:r>
            <w:ins w:id="183" w:author="Author">
              <w:r w:rsidRPr="00817F44">
                <w:rPr>
                  <w:rFonts w:eastAsiaTheme="minorEastAsia"/>
                  <w:sz w:val="22"/>
                  <w:szCs w:val="22"/>
                  <w:lang w:val="en-IE" w:bidi="ar-SA"/>
                </w:rPr>
                <w:t>(s)</w:t>
              </w:r>
            </w:ins>
            <w:del w:id="184" w:author="Author">
              <w:r w:rsidRPr="00817F44" w:rsidDel="00B01A39">
                <w:rPr>
                  <w:rFonts w:eastAsiaTheme="minorEastAsia"/>
                  <w:sz w:val="22"/>
                  <w:szCs w:val="22"/>
                  <w:lang w:val="en-IE" w:bidi="ar-SA"/>
                </w:rPr>
                <w:delText xml:space="preserve"> a</w:delText>
              </w:r>
            </w:del>
            <w:r w:rsidRPr="00817F44">
              <w:rPr>
                <w:rFonts w:eastAsiaTheme="minorEastAsia"/>
                <w:sz w:val="22"/>
                <w:szCs w:val="22"/>
                <w:lang w:val="en-IE" w:bidi="ar-SA"/>
              </w:rPr>
              <w:t xml:space="preserve"> applicable for Secondary Participant p</w:t>
            </w:r>
            <w:ins w:id="185" w:author="Author">
              <w:r w:rsidRPr="00817F44">
                <w:rPr>
                  <w:rFonts w:eastAsiaTheme="minorEastAsia"/>
                  <w:sz w:val="22"/>
                  <w:szCs w:val="22"/>
                  <w:lang w:val="en-IE" w:bidi="ar-SA"/>
                </w:rPr>
                <w:t xml:space="preserve"> in Settlement Risk Period r</w:t>
              </w:r>
            </w:ins>
            <w:r w:rsidRPr="00817F44">
              <w:rPr>
                <w:rFonts w:eastAsiaTheme="minorEastAsia"/>
                <w:sz w:val="22"/>
                <w:szCs w:val="22"/>
                <w:lang w:val="en-IE" w:bidi="ar-SA"/>
              </w:rPr>
              <w:t xml:space="preserve">,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_Ref449481004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G.14.15</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701" w:hanging="709"/>
              <w:jc w:val="both"/>
              <w:rPr>
                <w:rFonts w:eastAsiaTheme="minorEastAsia"/>
                <w:sz w:val="22"/>
                <w:szCs w:val="22"/>
                <w:lang w:val="en-IE" w:bidi="ar-SA"/>
              </w:rPr>
            </w:pPr>
            <w:r w:rsidRPr="00817F44">
              <w:rPr>
                <w:rFonts w:eastAsiaTheme="minorEastAsia"/>
                <w:sz w:val="22"/>
                <w:szCs w:val="22"/>
                <w:lang w:val="en-IE" w:bidi="ar-SA"/>
              </w:rPr>
              <w:t>FASRAP</w:t>
            </w:r>
            <w:r w:rsidRPr="00817F44">
              <w:rPr>
                <w:rFonts w:eastAsiaTheme="minorEastAsia"/>
                <w:sz w:val="22"/>
                <w:szCs w:val="22"/>
                <w:vertAlign w:val="subscript"/>
                <w:lang w:val="en-IE" w:bidi="ar-SA"/>
              </w:rPr>
              <w:t>apr</w:t>
            </w:r>
            <w:r w:rsidRPr="00817F44">
              <w:rPr>
                <w:rFonts w:eastAsiaTheme="minorEastAsia"/>
                <w:sz w:val="22"/>
                <w:szCs w:val="22"/>
                <w:lang w:val="en-IE" w:bidi="ar-SA"/>
              </w:rPr>
              <w:t xml:space="preserve"> is the forecast amount of the Settlement Reallocation Agreement a applicable for Principal Participant p, as calculated in accordance with paragraph </w:t>
            </w:r>
            <w:r w:rsidR="00D23453" w:rsidRPr="00817F44">
              <w:rPr>
                <w:rFonts w:eastAsiaTheme="minorEastAsia"/>
                <w:sz w:val="22"/>
                <w:szCs w:val="22"/>
                <w:lang w:val="en-IE" w:bidi="ar-SA"/>
              </w:rPr>
              <w:fldChar w:fldCharType="begin"/>
            </w:r>
            <w:r w:rsidRPr="00817F44">
              <w:rPr>
                <w:rFonts w:eastAsiaTheme="minorEastAsia"/>
                <w:sz w:val="22"/>
                <w:szCs w:val="22"/>
                <w:lang w:val="en-IE" w:bidi="ar-SA"/>
              </w:rPr>
              <w:instrText xml:space="preserve"> REF _Ref449481004 \r \h </w:instrText>
            </w:r>
            <w:r w:rsidR="00D23453" w:rsidRPr="00817F44">
              <w:rPr>
                <w:rFonts w:eastAsiaTheme="minorEastAsia"/>
                <w:sz w:val="22"/>
                <w:szCs w:val="22"/>
                <w:lang w:val="en-IE" w:bidi="ar-SA"/>
              </w:rPr>
            </w:r>
            <w:r w:rsidR="00D23453" w:rsidRPr="00817F44">
              <w:rPr>
                <w:rFonts w:eastAsiaTheme="minorEastAsia"/>
                <w:sz w:val="22"/>
                <w:szCs w:val="22"/>
                <w:lang w:val="en-IE" w:bidi="ar-SA"/>
              </w:rPr>
              <w:fldChar w:fldCharType="separate"/>
            </w:r>
            <w:r w:rsidRPr="00817F44">
              <w:rPr>
                <w:rFonts w:eastAsiaTheme="minorEastAsia"/>
                <w:sz w:val="22"/>
                <w:szCs w:val="22"/>
                <w:lang w:val="en-IE" w:bidi="ar-SA"/>
              </w:rPr>
              <w:t>G.14.15</w:t>
            </w:r>
            <w:r w:rsidR="00D23453" w:rsidRPr="00817F44">
              <w:rPr>
                <w:rFonts w:eastAsiaTheme="minorEastAsia"/>
                <w:sz w:val="22"/>
                <w:szCs w:val="22"/>
                <w:lang w:val="en-IE" w:bidi="ar-SA"/>
              </w:rPr>
              <w:fldChar w:fldCharType="end"/>
            </w:r>
            <w:r w:rsidRPr="00817F44">
              <w:rPr>
                <w:rFonts w:eastAsiaTheme="minorEastAsia"/>
                <w:sz w:val="22"/>
                <w:szCs w:val="22"/>
                <w:lang w:val="en-IE" w:bidi="ar-SA"/>
              </w:rPr>
              <w:t>; and</w:t>
            </w:r>
          </w:p>
          <w:p w:rsidR="00817F44" w:rsidRPr="00817F44" w:rsidRDefault="00D23453" w:rsidP="00817F44">
            <w:pPr>
              <w:numPr>
                <w:ilvl w:val="4"/>
                <w:numId w:val="0"/>
              </w:numPr>
              <w:spacing w:before="120" w:after="120" w:line="240" w:lineRule="auto"/>
              <w:ind w:left="1701" w:hanging="709"/>
              <w:jc w:val="both"/>
              <w:rPr>
                <w:rFonts w:eastAsiaTheme="minorEastAsia"/>
                <w:sz w:val="22"/>
                <w:szCs w:val="22"/>
                <w:lang w:val="en-IE" w:bidi="ar-SA"/>
              </w:rPr>
            </w:pPr>
            <m:oMath>
              <m:nary>
                <m:naryPr>
                  <m:chr m:val="∑"/>
                  <m:limLoc m:val="undOvr"/>
                  <m:supHide m:val="on"/>
                  <m:ctrlPr>
                    <w:rPr>
                      <w:rFonts w:ascii="Cambria Math" w:eastAsiaTheme="minorEastAsia" w:hAnsi="Cambria Math"/>
                      <w:i/>
                      <w:sz w:val="22"/>
                      <w:lang w:val="en-IE" w:eastAsia="en-GB" w:bidi="ar-SA"/>
                    </w:rPr>
                  </m:ctrlPr>
                </m:naryPr>
                <m:sub>
                  <m:r>
                    <w:rPr>
                      <w:rFonts w:ascii="Cambria Math" w:eastAsiaTheme="minorEastAsia" w:hAnsi="Cambria Math"/>
                      <w:sz w:val="22"/>
                      <w:szCs w:val="22"/>
                      <w:lang w:val="en-IE" w:bidi="ar-SA"/>
                    </w:rPr>
                    <m:t>a in p</m:t>
                  </m:r>
                </m:sub>
                <m:sup/>
                <m:e>
                  <m:r>
                    <w:rPr>
                      <w:rFonts w:ascii="Cambria Math" w:eastAsiaTheme="minorEastAsia" w:hAnsi="Cambria Math"/>
                      <w:sz w:val="22"/>
                      <w:szCs w:val="22"/>
                      <w:lang w:val="en-IE" w:bidi="ar-SA"/>
                    </w:rPr>
                    <m:t xml:space="preserve"> </m:t>
                  </m:r>
                </m:e>
              </m:nary>
            </m:oMath>
            <w:r w:rsidR="00817F44" w:rsidRPr="00817F44">
              <w:rPr>
                <w:rFonts w:eastAsiaTheme="minorEastAsia"/>
                <w:sz w:val="22"/>
                <w:szCs w:val="22"/>
                <w:lang w:val="en-IE" w:bidi="ar-SA"/>
              </w:rPr>
              <w:t>is a summation overall Settlement Reallocation Agreements registered in respect of the Principal Participant p.</w:t>
            </w: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tbl>
            <w:tblPr>
              <w:tblStyle w:val="TableGrid"/>
              <w:tblW w:w="9625" w:type="dxa"/>
              <w:tblLayout w:type="fixed"/>
              <w:tblLook w:val="04A0"/>
            </w:tblPr>
            <w:tblGrid>
              <w:gridCol w:w="1255"/>
              <w:gridCol w:w="2700"/>
              <w:gridCol w:w="1710"/>
              <w:gridCol w:w="2880"/>
              <w:gridCol w:w="1080"/>
            </w:tblGrid>
            <w:tr w:rsidR="00817F44" w:rsidRPr="00817F44" w:rsidTr="002F5B27">
              <w:tc>
                <w:tcPr>
                  <w:tcW w:w="1255" w:type="dxa"/>
                </w:tcPr>
                <w:p w:rsidR="00817F44" w:rsidRPr="00817F44" w:rsidRDefault="00817F44" w:rsidP="00817F44">
                  <w:pPr>
                    <w:spacing w:before="120" w:after="120" w:line="288" w:lineRule="auto"/>
                    <w:jc w:val="both"/>
                    <w:rPr>
                      <w:rFonts w:asciiTheme="majorHAnsi" w:hAnsiTheme="majorHAnsi" w:cstheme="majorHAnsi"/>
                      <w:color w:val="000000"/>
                      <w:szCs w:val="24"/>
                      <w:lang w:eastAsia="en-IE" w:bidi="ar-SA"/>
                    </w:rPr>
                  </w:pPr>
                  <w:r w:rsidRPr="00817F44">
                    <w:rPr>
                      <w:rFonts w:cs="Arial"/>
                      <w:lang w:bidi="ar-SA"/>
                    </w:rPr>
                    <w:t>Variable</w:t>
                  </w:r>
                </w:p>
              </w:tc>
              <w:tc>
                <w:tcPr>
                  <w:tcW w:w="2700" w:type="dxa"/>
                </w:tcPr>
                <w:p w:rsidR="00817F44" w:rsidRPr="00817F44" w:rsidRDefault="00817F44" w:rsidP="00817F44">
                  <w:pPr>
                    <w:spacing w:before="120" w:after="120" w:line="288" w:lineRule="auto"/>
                    <w:jc w:val="both"/>
                    <w:rPr>
                      <w:rFonts w:asciiTheme="majorHAnsi" w:hAnsiTheme="majorHAnsi" w:cstheme="majorHAnsi"/>
                      <w:color w:val="000000"/>
                      <w:szCs w:val="24"/>
                      <w:lang w:eastAsia="en-IE" w:bidi="ar-SA"/>
                    </w:rPr>
                  </w:pPr>
                  <w:r w:rsidRPr="00817F44">
                    <w:rPr>
                      <w:rFonts w:cs="Arial"/>
                      <w:lang w:bidi="ar-SA"/>
                    </w:rPr>
                    <w:t>FASRAS</w:t>
                  </w:r>
                  <w:del w:id="186" w:author="Author">
                    <w:r w:rsidRPr="00817F44" w:rsidDel="00363425">
                      <w:rPr>
                        <w:rFonts w:cs="Arial"/>
                        <w:vertAlign w:val="subscript"/>
                        <w:lang w:bidi="ar-SA"/>
                      </w:rPr>
                      <w:delText>a</w:delText>
                    </w:r>
                  </w:del>
                  <w:r w:rsidRPr="00817F44">
                    <w:rPr>
                      <w:rFonts w:cs="Arial"/>
                      <w:vertAlign w:val="subscript"/>
                      <w:lang w:bidi="ar-SA"/>
                    </w:rPr>
                    <w:t>p</w:t>
                  </w:r>
                  <w:ins w:id="187" w:author="Author">
                    <w:r w:rsidRPr="00817F44">
                      <w:rPr>
                        <w:rFonts w:cs="Arial"/>
                        <w:vertAlign w:val="subscript"/>
                        <w:lang w:bidi="ar-SA"/>
                      </w:rPr>
                      <w:t>r</w:t>
                    </w:r>
                  </w:ins>
                  <w:del w:id="188" w:author="Author">
                    <w:r w:rsidRPr="00817F44" w:rsidDel="00363425">
                      <w:rPr>
                        <w:rFonts w:cs="Arial"/>
                        <w:vertAlign w:val="subscript"/>
                        <w:lang w:bidi="ar-SA"/>
                      </w:rPr>
                      <w:delText>g</w:delText>
                    </w:r>
                  </w:del>
                </w:p>
              </w:tc>
              <w:tc>
                <w:tcPr>
                  <w:tcW w:w="1710" w:type="dxa"/>
                </w:tcPr>
                <w:p w:rsidR="00817F44" w:rsidRPr="00817F44" w:rsidRDefault="00817F44" w:rsidP="00817F44">
                  <w:pPr>
                    <w:spacing w:before="120" w:after="120" w:line="288" w:lineRule="auto"/>
                    <w:jc w:val="both"/>
                    <w:rPr>
                      <w:rFonts w:asciiTheme="majorHAnsi" w:hAnsiTheme="majorHAnsi" w:cstheme="majorHAnsi"/>
                      <w:color w:val="000000"/>
                      <w:szCs w:val="24"/>
                      <w:lang w:eastAsia="en-IE" w:bidi="ar-SA"/>
                    </w:rPr>
                  </w:pPr>
                  <w:r w:rsidRPr="00817F44">
                    <w:rPr>
                      <w:rFonts w:cs="Arial"/>
                      <w:lang w:bidi="ar-SA"/>
                    </w:rPr>
                    <w:t>Forecast Amount of</w:t>
                  </w:r>
                  <w:del w:id="189" w:author="Author">
                    <w:r w:rsidRPr="00817F44" w:rsidDel="00AC35B4">
                      <w:rPr>
                        <w:rFonts w:cs="Arial"/>
                        <w:lang w:bidi="ar-SA"/>
                      </w:rPr>
                      <w:delText xml:space="preserve"> the</w:delText>
                    </w:r>
                  </w:del>
                  <w:r w:rsidRPr="00817F44">
                    <w:rPr>
                      <w:rFonts w:cs="Arial"/>
                      <w:lang w:bidi="ar-SA"/>
                    </w:rPr>
                    <w:t xml:space="preserve"> Settlement Reallocation Agreement</w:t>
                  </w:r>
                  <w:ins w:id="190" w:author="Author">
                    <w:r w:rsidRPr="00817F44">
                      <w:rPr>
                        <w:rFonts w:cs="Arial"/>
                        <w:lang w:bidi="ar-SA"/>
                      </w:rPr>
                      <w:t>(s)</w:t>
                    </w:r>
                  </w:ins>
                  <w:r w:rsidRPr="00817F44">
                    <w:rPr>
                      <w:rFonts w:cs="Arial"/>
                      <w:lang w:bidi="ar-SA"/>
                    </w:rPr>
                    <w:t xml:space="preserve"> in respect of the Secondary Participant</w:t>
                  </w:r>
                </w:p>
              </w:tc>
              <w:tc>
                <w:tcPr>
                  <w:tcW w:w="2880" w:type="dxa"/>
                </w:tcPr>
                <w:p w:rsidR="00817F44" w:rsidRPr="00817F44" w:rsidRDefault="00817F44" w:rsidP="00817F44">
                  <w:pPr>
                    <w:spacing w:before="120" w:after="120" w:line="288" w:lineRule="auto"/>
                    <w:jc w:val="both"/>
                    <w:rPr>
                      <w:rFonts w:asciiTheme="majorHAnsi" w:hAnsiTheme="majorHAnsi" w:cstheme="majorHAnsi"/>
                      <w:color w:val="000000"/>
                      <w:szCs w:val="24"/>
                      <w:lang w:eastAsia="en-IE" w:bidi="ar-SA"/>
                    </w:rPr>
                  </w:pPr>
                  <w:r w:rsidRPr="00817F44">
                    <w:rPr>
                      <w:rFonts w:asciiTheme="majorHAnsi" w:hAnsiTheme="majorHAnsi" w:cstheme="majorHAnsi"/>
                      <w:color w:val="000000"/>
                      <w:szCs w:val="24"/>
                      <w:lang w:eastAsia="en-IE" w:bidi="ar-SA"/>
                    </w:rPr>
                    <w:t>The Forecast Amount of</w:t>
                  </w:r>
                  <w:del w:id="191" w:author="Author">
                    <w:r w:rsidRPr="00817F44" w:rsidDel="00AC35B4">
                      <w:rPr>
                        <w:rFonts w:asciiTheme="majorHAnsi" w:hAnsiTheme="majorHAnsi" w:cstheme="majorHAnsi"/>
                        <w:color w:val="000000"/>
                        <w:szCs w:val="24"/>
                        <w:lang w:eastAsia="en-IE" w:bidi="ar-SA"/>
                      </w:rPr>
                      <w:delText xml:space="preserve"> the</w:delText>
                    </w:r>
                  </w:del>
                  <w:r w:rsidRPr="00817F44">
                    <w:rPr>
                      <w:rFonts w:asciiTheme="majorHAnsi" w:hAnsiTheme="majorHAnsi" w:cstheme="majorHAnsi"/>
                      <w:color w:val="000000"/>
                      <w:szCs w:val="24"/>
                      <w:lang w:eastAsia="en-IE" w:bidi="ar-SA"/>
                    </w:rPr>
                    <w:t xml:space="preserve"> Settlement Reallocation Agreement</w:t>
                  </w:r>
                  <w:ins w:id="192" w:author="Author">
                    <w:r w:rsidRPr="00817F44">
                      <w:rPr>
                        <w:rFonts w:asciiTheme="majorHAnsi" w:hAnsiTheme="majorHAnsi" w:cstheme="majorHAnsi"/>
                        <w:color w:val="000000"/>
                        <w:szCs w:val="24"/>
                        <w:lang w:eastAsia="en-IE" w:bidi="ar-SA"/>
                      </w:rPr>
                      <w:t>(s)</w:t>
                    </w:r>
                  </w:ins>
                  <w:r w:rsidRPr="00817F44">
                    <w:rPr>
                      <w:rFonts w:asciiTheme="majorHAnsi" w:hAnsiTheme="majorHAnsi" w:cstheme="majorHAnsi"/>
                      <w:color w:val="000000"/>
                      <w:szCs w:val="24"/>
                      <w:lang w:eastAsia="en-IE" w:bidi="ar-SA"/>
                    </w:rPr>
                    <w:t>, a, applicable to the Secondary Participant, p</w:t>
                  </w:r>
                  <w:del w:id="193" w:author="Author">
                    <w:r w:rsidRPr="00817F44" w:rsidDel="00363425">
                      <w:rPr>
                        <w:rFonts w:asciiTheme="majorHAnsi" w:hAnsiTheme="majorHAnsi" w:cstheme="majorHAnsi"/>
                        <w:color w:val="000000"/>
                        <w:szCs w:val="24"/>
                        <w:lang w:eastAsia="en-IE" w:bidi="ar-SA"/>
                      </w:rPr>
                      <w:delText>,</w:delText>
                    </w:r>
                  </w:del>
                  <w:r w:rsidRPr="00817F44">
                    <w:rPr>
                      <w:rFonts w:asciiTheme="majorHAnsi" w:hAnsiTheme="majorHAnsi" w:cstheme="majorHAnsi"/>
                      <w:color w:val="000000"/>
                      <w:szCs w:val="24"/>
                      <w:lang w:eastAsia="en-IE" w:bidi="ar-SA"/>
                    </w:rPr>
                    <w:t xml:space="preserve"> in</w:t>
                  </w:r>
                  <w:del w:id="194" w:author="Author">
                    <w:r w:rsidRPr="00817F44" w:rsidDel="00AC35B4">
                      <w:rPr>
                        <w:rFonts w:asciiTheme="majorHAnsi" w:hAnsiTheme="majorHAnsi" w:cstheme="majorHAnsi"/>
                        <w:color w:val="000000"/>
                        <w:szCs w:val="24"/>
                        <w:lang w:eastAsia="en-IE" w:bidi="ar-SA"/>
                      </w:rPr>
                      <w:delText xml:space="preserve"> a</w:delText>
                    </w:r>
                    <w:r w:rsidRPr="00817F44" w:rsidDel="00363425">
                      <w:rPr>
                        <w:rFonts w:asciiTheme="majorHAnsi" w:hAnsiTheme="majorHAnsi" w:cstheme="majorHAnsi"/>
                        <w:color w:val="000000"/>
                        <w:szCs w:val="24"/>
                        <w:lang w:eastAsia="en-IE" w:bidi="ar-SA"/>
                      </w:rPr>
                      <w:delText>n</w:delText>
                    </w:r>
                  </w:del>
                  <w:r w:rsidRPr="00817F44">
                    <w:rPr>
                      <w:rFonts w:asciiTheme="majorHAnsi" w:hAnsiTheme="majorHAnsi" w:cstheme="majorHAnsi"/>
                      <w:color w:val="000000"/>
                      <w:szCs w:val="24"/>
                      <w:lang w:eastAsia="en-IE" w:bidi="ar-SA"/>
                    </w:rPr>
                    <w:t xml:space="preserve"> </w:t>
                  </w:r>
                  <w:ins w:id="195" w:author="Author">
                    <w:r w:rsidRPr="00817F44">
                      <w:rPr>
                        <w:rFonts w:asciiTheme="majorHAnsi" w:hAnsiTheme="majorHAnsi" w:cstheme="majorHAnsi"/>
                        <w:color w:val="000000"/>
                        <w:szCs w:val="24"/>
                        <w:lang w:eastAsia="en-IE" w:bidi="ar-SA"/>
                      </w:rPr>
                      <w:t>Settlement Risk Period r</w:t>
                    </w:r>
                  </w:ins>
                  <w:del w:id="196" w:author="Author">
                    <w:r w:rsidRPr="00817F44" w:rsidDel="00363425">
                      <w:rPr>
                        <w:rFonts w:asciiTheme="majorHAnsi" w:hAnsiTheme="majorHAnsi" w:cstheme="majorHAnsi"/>
                        <w:color w:val="000000"/>
                        <w:szCs w:val="24"/>
                        <w:lang w:eastAsia="en-IE" w:bidi="ar-SA"/>
                      </w:rPr>
                      <w:delText>Undefined Exposure</w:delText>
                    </w:r>
                    <w:r w:rsidRPr="00817F44" w:rsidDel="00B01A39">
                      <w:rPr>
                        <w:rFonts w:asciiTheme="majorHAnsi" w:hAnsiTheme="majorHAnsi" w:cstheme="majorHAnsi"/>
                        <w:color w:val="000000"/>
                        <w:szCs w:val="24"/>
                        <w:lang w:eastAsia="en-IE" w:bidi="ar-SA"/>
                      </w:rPr>
                      <w:delText xml:space="preserve"> Period, g</w:delText>
                    </w:r>
                  </w:del>
                  <w:r w:rsidRPr="00817F44">
                    <w:rPr>
                      <w:rFonts w:asciiTheme="majorHAnsi" w:hAnsiTheme="majorHAnsi" w:cstheme="majorHAnsi"/>
                      <w:color w:val="000000"/>
                      <w:szCs w:val="24"/>
                      <w:lang w:eastAsia="en-IE" w:bidi="ar-SA"/>
                    </w:rPr>
                    <w:t>.</w:t>
                  </w:r>
                </w:p>
              </w:tc>
              <w:tc>
                <w:tcPr>
                  <w:tcW w:w="1080" w:type="dxa"/>
                </w:tcPr>
                <w:p w:rsidR="00817F44" w:rsidRPr="00817F44" w:rsidRDefault="00817F44" w:rsidP="00817F44">
                  <w:pPr>
                    <w:spacing w:before="120" w:after="120" w:line="288" w:lineRule="auto"/>
                    <w:jc w:val="both"/>
                    <w:rPr>
                      <w:rFonts w:asciiTheme="majorHAnsi" w:hAnsiTheme="majorHAnsi" w:cstheme="majorHAnsi"/>
                      <w:lang w:bidi="ar-SA"/>
                    </w:rPr>
                  </w:pPr>
                  <w:r w:rsidRPr="00817F44">
                    <w:rPr>
                      <w:rFonts w:cs="Arial"/>
                      <w:lang w:bidi="ar-SA"/>
                    </w:rPr>
                    <w:t>€</w:t>
                  </w:r>
                </w:p>
              </w:tc>
            </w:tr>
          </w:tbl>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240" w:lineRule="auto"/>
              <w:textAlignment w:val="baseline"/>
              <w:rPr>
                <w:rFonts w:ascii="Calibri" w:hAnsi="Calibri" w:cs="Arial"/>
                <w:lang w:val="en-IE" w:eastAsia="en-GB" w:bidi="ar-SA"/>
              </w:rPr>
            </w:pPr>
            <w:r w:rsidRPr="00817F44">
              <w:rPr>
                <w:rFonts w:ascii="Calibri" w:hAnsi="Calibri" w:cs="Arial"/>
                <w:b/>
                <w:u w:val="single"/>
                <w:lang w:val="en-IE" w:eastAsia="en-GB" w:bidi="ar-SA"/>
              </w:rPr>
              <w:t>5)</w:t>
            </w:r>
            <w:r w:rsidRPr="00817F44">
              <w:rPr>
                <w:rFonts w:ascii="Calibri" w:hAnsi="Calibri" w:cs="Arial"/>
                <w:lang w:val="en-IE" w:eastAsia="en-GB" w:bidi="ar-SA"/>
              </w:rPr>
              <w:t xml:space="preserve"> </w:t>
            </w:r>
            <w:r w:rsidRPr="00817F44">
              <w:rPr>
                <w:rFonts w:ascii="Calibri" w:hAnsi="Calibri" w:cs="Arial"/>
                <w:b/>
                <w:lang w:val="en-IE" w:eastAsia="en-GB" w:bidi="ar-SA"/>
              </w:rPr>
              <w:t>Note</w:t>
            </w:r>
            <w:r w:rsidRPr="00817F44">
              <w:rPr>
                <w:rFonts w:ascii="Calibri" w:hAnsi="Calibri" w:cs="Arial"/>
                <w:lang w:val="en-IE" w:eastAsia="en-GB" w:bidi="ar-SA"/>
              </w:rPr>
              <w:t xml:space="preserve"> that the baseline text used here is that from Mod_11_18 which was recommended for approval pending RA decision at the time of drafting. If that proposal is approved as anticipated the legal drafting is as below. In the unlikely even that it were rejected by the RAs this items o through r should be removed.</w:t>
            </w:r>
          </w:p>
          <w:p w:rsidR="00817F44" w:rsidRPr="00817F44" w:rsidRDefault="00817F44" w:rsidP="00817F44">
            <w:pPr>
              <w:spacing w:before="120" w:after="120" w:line="240" w:lineRule="auto"/>
              <w:ind w:left="990" w:hanging="990"/>
              <w:jc w:val="both"/>
              <w:outlineLvl w:val="4"/>
              <w:rPr>
                <w:rFonts w:eastAsiaTheme="minorEastAsia"/>
                <w:sz w:val="22"/>
                <w:szCs w:val="22"/>
                <w:lang w:val="en-IE" w:bidi="ar-SA"/>
              </w:rPr>
            </w:pPr>
            <w:r w:rsidRPr="00817F44">
              <w:rPr>
                <w:rFonts w:eastAsiaTheme="minorEastAsia"/>
                <w:sz w:val="22"/>
                <w:szCs w:val="22"/>
                <w:lang w:val="en-IE" w:bidi="ar-SA"/>
              </w:rPr>
              <w:t xml:space="preserve">G.17.3.2 For all Imbalance Settlement Periods, </w:t>
            </w:r>
            <w:r w:rsidRPr="00817F44">
              <w:rPr>
                <w:rFonts w:eastAsiaTheme="minorEastAsia" w:cs="Arial"/>
                <w:sz w:val="22"/>
                <w:szCs w:val="22"/>
                <w:lang w:val="en-IE" w:bidi="ar-SA"/>
              </w:rPr>
              <w:t>γ</w:t>
            </w:r>
            <w:r w:rsidRPr="00817F44">
              <w:rPr>
                <w:rFonts w:eastAsiaTheme="minorEastAsia"/>
                <w:sz w:val="22"/>
                <w:szCs w:val="22"/>
                <w:lang w:val="en-IE" w:bidi="ar-SA"/>
              </w:rPr>
              <w:t>, for which Administered Imbalance Settlement is in effect, the Market Operator shall set the following amounts equal to zero for all Generator Units and Supplier Units as applicable:</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Premium Component Payment (CPREMIUM</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Discount Component Payment (CDISCOUNT</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Offer Price Only Accepted Offer Payment or Charge (CAOOPO</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Bid Price Only Accepted Bid Payment or Charge (CABBPO</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Curtailment Payment or Charge (CCURL</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Uninstructed Imbalance Charge (CUNIMB</w:t>
            </w:r>
            <w:r w:rsidRPr="00817F44">
              <w:rPr>
                <w:rFonts w:eastAsiaTheme="minorEastAsia" w:cs="Arial"/>
                <w:sz w:val="22"/>
                <w:szCs w:val="22"/>
                <w:vertAlign w:val="subscript"/>
                <w:lang w:val="en-IE" w:bidi="ar-SA"/>
              </w:rPr>
              <w:t>γ</w:t>
            </w:r>
            <w:r w:rsidRPr="00817F44">
              <w:rPr>
                <w:rFonts w:eastAsiaTheme="minorEastAsia" w:cs="Arial"/>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Fixed Cost Payment or Charge (CFC</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Information Imbalance Charge (CII</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Testing Charge (CTEST</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Imperfections Charge (CIMP</w:t>
            </w:r>
            <w:ins w:id="197" w:author="Author">
              <w:r w:rsidRPr="00817F44">
                <w:rPr>
                  <w:rFonts w:eastAsiaTheme="minorEastAsia" w:cs="Arial"/>
                  <w:sz w:val="22"/>
                  <w:szCs w:val="22"/>
                  <w:vertAlign w:val="subscript"/>
                  <w:lang w:val="en-IE" w:bidi="ar-SA"/>
                </w:rPr>
                <w:t>γ</w:t>
              </w:r>
            </w:ins>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lastRenderedPageBreak/>
              <w:t>Residual Error Volume Charge (CREV</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Currency Adjustment Payment or Charge (CCA</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Difference Payment Socialisation Charge (CSOCDIFFP</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Achievable Difference Payment (CDIFFPACHIEVE</w:t>
            </w:r>
            <w:r w:rsidRPr="00817F44">
              <w:rPr>
                <w:rFonts w:eastAsiaTheme="minorEastAsia" w:cs="Arial"/>
                <w:sz w:val="22"/>
                <w:szCs w:val="22"/>
                <w:vertAlign w:val="subscript"/>
                <w:lang w:val="en-IE" w:bidi="ar-SA"/>
              </w:rPr>
              <w:t>γ</w:t>
            </w:r>
            <w:r w:rsidRPr="00817F44">
              <w:rPr>
                <w:rFonts w:eastAsiaTheme="minorEastAsia"/>
                <w:sz w:val="22"/>
                <w:szCs w:val="22"/>
                <w:lang w:val="en-IE" w:bidi="ar-SA"/>
              </w:rPr>
              <w:t>)</w:t>
            </w:r>
            <w:ins w:id="198" w:author="Author">
              <w:r w:rsidRPr="00817F44">
                <w:rPr>
                  <w:rFonts w:eastAsiaTheme="minorEastAsia"/>
                  <w:sz w:val="22"/>
                  <w:szCs w:val="22"/>
                  <w:lang w:val="en-IE" w:bidi="ar-SA"/>
                </w:rPr>
                <w:t>;</w:t>
              </w:r>
            </w:ins>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Day Ahead Difference Charge (CDIFFCDA</w:t>
            </w:r>
            <w:ins w:id="199" w:author="Author">
              <w:r w:rsidRPr="00817F44">
                <w:rPr>
                  <w:rFonts w:eastAsiaTheme="minorEastAsia" w:cs="Arial"/>
                  <w:sz w:val="22"/>
                  <w:szCs w:val="22"/>
                  <w:vertAlign w:val="subscript"/>
                  <w:lang w:val="en-IE" w:bidi="ar-SA"/>
                </w:rPr>
                <w:t>γ</w:t>
              </w:r>
            </w:ins>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Within Day Difference Charge (CDIFFCWD</w:t>
            </w:r>
            <w:ins w:id="200" w:author="Author">
              <w:r w:rsidRPr="00817F44">
                <w:rPr>
                  <w:rFonts w:eastAsiaTheme="minorEastAsia" w:cs="Arial"/>
                  <w:sz w:val="22"/>
                  <w:szCs w:val="22"/>
                  <w:vertAlign w:val="subscript"/>
                  <w:lang w:val="en-IE" w:bidi="ar-SA"/>
                </w:rPr>
                <w:t>γ</w:t>
              </w:r>
            </w:ins>
            <w:r w:rsidRPr="00817F44">
              <w:rPr>
                <w:rFonts w:eastAsiaTheme="minorEastAsia"/>
                <w:sz w:val="22"/>
                <w:szCs w:val="22"/>
                <w:lang w:val="en-IE" w:bidi="ar-SA"/>
              </w:rPr>
              <w:t>);</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Non Performance Difference Charge (CDIFFCNP</w:t>
            </w:r>
            <w:ins w:id="201" w:author="Author">
              <w:r w:rsidRPr="00817F44">
                <w:rPr>
                  <w:rFonts w:eastAsiaTheme="minorEastAsia" w:cs="Arial"/>
                  <w:sz w:val="22"/>
                  <w:szCs w:val="22"/>
                  <w:vertAlign w:val="subscript"/>
                  <w:lang w:val="en-IE" w:bidi="ar-SA"/>
                </w:rPr>
                <w:t>γ</w:t>
              </w:r>
            </w:ins>
            <w:r w:rsidRPr="00817F44">
              <w:rPr>
                <w:rFonts w:eastAsiaTheme="minorEastAsia"/>
                <w:sz w:val="22"/>
                <w:szCs w:val="22"/>
                <w:lang w:val="en-IE" w:bidi="ar-SA"/>
              </w:rPr>
              <w:t>); and</w:t>
            </w:r>
          </w:p>
          <w:p w:rsidR="00817F44" w:rsidRPr="00817F44" w:rsidRDefault="00817F44" w:rsidP="00817F44">
            <w:pPr>
              <w:numPr>
                <w:ilvl w:val="4"/>
                <w:numId w:val="0"/>
              </w:numPr>
              <w:spacing w:before="120" w:after="120" w:line="240" w:lineRule="auto"/>
              <w:ind w:left="1980" w:hanging="990"/>
              <w:jc w:val="both"/>
              <w:rPr>
                <w:rFonts w:eastAsiaTheme="minorEastAsia"/>
                <w:sz w:val="22"/>
                <w:szCs w:val="22"/>
                <w:lang w:val="en-IE" w:bidi="ar-SA"/>
              </w:rPr>
            </w:pPr>
            <w:r w:rsidRPr="00817F44">
              <w:rPr>
                <w:rFonts w:eastAsiaTheme="minorEastAsia"/>
                <w:sz w:val="22"/>
                <w:szCs w:val="22"/>
                <w:lang w:val="en-IE" w:bidi="ar-SA"/>
              </w:rPr>
              <w:t>Total Difference Charge (CDIFFCTOT</w:t>
            </w:r>
            <w:ins w:id="202" w:author="Author">
              <w:r w:rsidRPr="00817F44">
                <w:rPr>
                  <w:rFonts w:eastAsiaTheme="minorEastAsia" w:cs="Arial"/>
                  <w:sz w:val="22"/>
                  <w:szCs w:val="22"/>
                  <w:vertAlign w:val="subscript"/>
                  <w:lang w:val="en-IE" w:bidi="ar-SA"/>
                </w:rPr>
                <w:t>γ</w:t>
              </w:r>
            </w:ins>
            <w:r w:rsidRPr="00817F44">
              <w:rPr>
                <w:rFonts w:eastAsiaTheme="minorEastAsia"/>
                <w:sz w:val="22"/>
                <w:szCs w:val="22"/>
                <w:lang w:val="en-IE" w:bidi="ar-SA"/>
              </w:rPr>
              <w:t>).</w:t>
            </w: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r w:rsidRPr="00817F44">
              <w:rPr>
                <w:rFonts w:ascii="Calibri" w:hAnsi="Calibri" w:cs="Arial"/>
                <w:b/>
                <w:u w:val="single"/>
                <w:lang w:val="en-IE" w:eastAsia="en-GB" w:bidi="ar-SA"/>
              </w:rPr>
              <w:t>6)</w:t>
            </w:r>
          </w:p>
          <w:p w:rsidR="00817F44" w:rsidRPr="00817F44" w:rsidRDefault="00817F44" w:rsidP="00817F44">
            <w:pPr>
              <w:spacing w:before="120" w:after="120" w:line="240" w:lineRule="auto"/>
              <w:ind w:left="992" w:hanging="992"/>
              <w:jc w:val="both"/>
              <w:outlineLvl w:val="4"/>
              <w:rPr>
                <w:rFonts w:eastAsiaTheme="minorEastAsia"/>
                <w:sz w:val="22"/>
                <w:szCs w:val="22"/>
                <w:lang w:val="en-IE" w:bidi="ar-SA"/>
              </w:rPr>
            </w:pPr>
            <w:r w:rsidRPr="00817F44">
              <w:rPr>
                <w:rFonts w:eastAsiaTheme="minorEastAsia"/>
                <w:sz w:val="22"/>
                <w:szCs w:val="22"/>
                <w:lang w:val="en-IE" w:bidi="ar-SA"/>
              </w:rPr>
              <w:t xml:space="preserve">G.18.1.5  If any Participant shall fail properly to pay or account for any amount of VAT (including interest and penalties) payable or receivable by it, that Participant shall indemnify and keep indemnified each </w:t>
            </w:r>
            <w:ins w:id="203" w:author="Author">
              <w:r w:rsidRPr="00817F44">
                <w:rPr>
                  <w:rFonts w:eastAsiaTheme="minorEastAsia"/>
                  <w:sz w:val="22"/>
                  <w:szCs w:val="22"/>
                  <w:lang w:val="en-IE" w:bidi="ar-SA"/>
                </w:rPr>
                <w:t>N</w:t>
              </w:r>
            </w:ins>
            <w:del w:id="204" w:author="Author">
              <w:r w:rsidRPr="00817F44" w:rsidDel="00A73F29">
                <w:rPr>
                  <w:rFonts w:eastAsiaTheme="minorEastAsia"/>
                  <w:sz w:val="22"/>
                  <w:szCs w:val="22"/>
                  <w:lang w:val="en-IE" w:bidi="ar-SA"/>
                </w:rPr>
                <w:delText>n</w:delText>
              </w:r>
            </w:del>
            <w:r w:rsidRPr="00817F44">
              <w:rPr>
                <w:rFonts w:eastAsiaTheme="minorEastAsia"/>
                <w:sz w:val="22"/>
                <w:szCs w:val="22"/>
                <w:lang w:val="en-IE" w:bidi="ar-SA"/>
              </w:rPr>
              <w:t>on-</w:t>
            </w:r>
            <w:ins w:id="205" w:author="Author">
              <w:r w:rsidRPr="00817F44">
                <w:rPr>
                  <w:rFonts w:eastAsiaTheme="minorEastAsia"/>
                  <w:sz w:val="22"/>
                  <w:szCs w:val="22"/>
                  <w:lang w:val="en-IE" w:bidi="ar-SA"/>
                </w:rPr>
                <w:t>D</w:t>
              </w:r>
            </w:ins>
            <w:del w:id="206" w:author="Author">
              <w:r w:rsidRPr="00817F44" w:rsidDel="00A73F29">
                <w:rPr>
                  <w:rFonts w:eastAsiaTheme="minorEastAsia"/>
                  <w:sz w:val="22"/>
                  <w:szCs w:val="22"/>
                  <w:lang w:val="en-IE" w:bidi="ar-SA"/>
                </w:rPr>
                <w:delText>d</w:delText>
              </w:r>
            </w:del>
            <w:r w:rsidRPr="00817F44">
              <w:rPr>
                <w:rFonts w:eastAsiaTheme="minorEastAsia"/>
                <w:sz w:val="22"/>
                <w:szCs w:val="22"/>
                <w:lang w:val="en-IE" w:bidi="ar-SA"/>
              </w:rPr>
              <w:t xml:space="preserve">efaulting Participant (on an after tax basis, but taking account of any tax relief available to the relevant Participant, as the case may be) against any liability which such </w:t>
            </w:r>
            <w:ins w:id="207" w:author="Author">
              <w:r w:rsidRPr="00817F44">
                <w:rPr>
                  <w:rFonts w:eastAsiaTheme="minorEastAsia"/>
                  <w:sz w:val="22"/>
                  <w:szCs w:val="22"/>
                  <w:lang w:val="en-IE" w:bidi="ar-SA"/>
                </w:rPr>
                <w:t>N</w:t>
              </w:r>
            </w:ins>
            <w:del w:id="208" w:author="Author">
              <w:r w:rsidRPr="00817F44" w:rsidDel="00A73F29">
                <w:rPr>
                  <w:rFonts w:eastAsiaTheme="minorEastAsia"/>
                  <w:sz w:val="22"/>
                  <w:szCs w:val="22"/>
                  <w:lang w:val="en-IE" w:bidi="ar-SA"/>
                </w:rPr>
                <w:delText>n</w:delText>
              </w:r>
            </w:del>
            <w:r w:rsidRPr="00817F44">
              <w:rPr>
                <w:rFonts w:eastAsiaTheme="minorEastAsia"/>
                <w:sz w:val="22"/>
                <w:szCs w:val="22"/>
                <w:lang w:val="en-IE" w:bidi="ar-SA"/>
              </w:rPr>
              <w:t>on-</w:t>
            </w:r>
            <w:ins w:id="209" w:author="Author">
              <w:r w:rsidRPr="00817F44">
                <w:rPr>
                  <w:rFonts w:eastAsiaTheme="minorEastAsia"/>
                  <w:sz w:val="22"/>
                  <w:szCs w:val="22"/>
                  <w:lang w:val="en-IE" w:bidi="ar-SA"/>
                </w:rPr>
                <w:t>D</w:t>
              </w:r>
            </w:ins>
            <w:del w:id="210" w:author="Author">
              <w:r w:rsidRPr="00817F44" w:rsidDel="00A73F29">
                <w:rPr>
                  <w:rFonts w:eastAsiaTheme="minorEastAsia"/>
                  <w:sz w:val="22"/>
                  <w:szCs w:val="22"/>
                  <w:lang w:val="en-IE" w:bidi="ar-SA"/>
                </w:rPr>
                <w:delText>d</w:delText>
              </w:r>
            </w:del>
            <w:r w:rsidRPr="00817F44">
              <w:rPr>
                <w:rFonts w:eastAsiaTheme="minorEastAsia"/>
                <w:sz w:val="22"/>
                <w:szCs w:val="22"/>
                <w:lang w:val="en-IE" w:bidi="ar-SA"/>
              </w:rPr>
              <w:t>efaulting Participant or Participants shall incur consequently.</w:t>
            </w: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lang w:val="en-IE" w:eastAsia="en-GB" w:bidi="ar-SA"/>
              </w:rPr>
            </w:pPr>
            <w:r w:rsidRPr="00817F44">
              <w:rPr>
                <w:rFonts w:ascii="Calibri" w:hAnsi="Calibri" w:cs="Arial"/>
                <w:b/>
                <w:u w:val="single"/>
                <w:lang w:val="en-IE" w:eastAsia="en-GB" w:bidi="ar-SA"/>
              </w:rPr>
              <w:t>Appendix E:</w:t>
            </w:r>
          </w:p>
          <w:p w:rsidR="00817F44" w:rsidRPr="00817F44" w:rsidRDefault="00817F44" w:rsidP="00817F44">
            <w:pPr>
              <w:spacing w:before="120" w:after="120" w:line="240" w:lineRule="auto"/>
              <w:jc w:val="both"/>
              <w:rPr>
                <w:b/>
                <w:sz w:val="22"/>
                <w:szCs w:val="22"/>
                <w:lang w:val="en-IE" w:bidi="ar-SA"/>
              </w:rPr>
            </w:pPr>
            <w:r w:rsidRPr="00817F44">
              <w:rPr>
                <w:b/>
                <w:sz w:val="22"/>
                <w:szCs w:val="22"/>
                <w:lang w:val="en-IE" w:bidi="ar-SA"/>
              </w:rPr>
              <w:t xml:space="preserve">Table </w:t>
            </w:r>
            <w:r w:rsidR="00D23453" w:rsidRPr="00817F44">
              <w:rPr>
                <w:b/>
                <w:sz w:val="22"/>
                <w:szCs w:val="22"/>
                <w:lang w:val="en-IE" w:bidi="ar-SA"/>
              </w:rPr>
              <w:fldChar w:fldCharType="begin"/>
            </w:r>
            <w:r w:rsidRPr="00817F44">
              <w:rPr>
                <w:b/>
                <w:sz w:val="22"/>
                <w:szCs w:val="22"/>
                <w:lang w:val="en-IE" w:bidi="ar-SA"/>
              </w:rPr>
              <w:instrText xml:space="preserve"> SEQ Table \* ARABIC </w:instrText>
            </w:r>
            <w:r w:rsidR="00D23453" w:rsidRPr="00817F44">
              <w:rPr>
                <w:b/>
                <w:sz w:val="22"/>
                <w:szCs w:val="22"/>
                <w:lang w:val="en-IE" w:bidi="ar-SA"/>
              </w:rPr>
              <w:fldChar w:fldCharType="separate"/>
            </w:r>
            <w:r w:rsidRPr="00817F44">
              <w:rPr>
                <w:b/>
                <w:noProof/>
                <w:sz w:val="22"/>
                <w:szCs w:val="22"/>
                <w:lang w:val="en-IE" w:bidi="ar-SA"/>
              </w:rPr>
              <w:t>4</w:t>
            </w:r>
            <w:r w:rsidR="00D23453" w:rsidRPr="00817F44">
              <w:rPr>
                <w:b/>
                <w:sz w:val="22"/>
                <w:szCs w:val="22"/>
                <w:lang w:val="en-IE" w:bidi="ar-SA"/>
              </w:rPr>
              <w:fldChar w:fldCharType="end"/>
            </w:r>
            <w:r w:rsidRPr="00817F44">
              <w:rPr>
                <w:b/>
                <w:sz w:val="22"/>
                <w:szCs w:val="22"/>
                <w:lang w:val="en-IE" w:bidi="ar-SA"/>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tblPr>
            <w:tblGrid>
              <w:gridCol w:w="2552"/>
              <w:gridCol w:w="3118"/>
              <w:gridCol w:w="992"/>
              <w:gridCol w:w="1049"/>
            </w:tblGrid>
            <w:tr w:rsidR="00817F44" w:rsidRPr="00817F44" w:rsidTr="002F5B27">
              <w:tc>
                <w:tcPr>
                  <w:tcW w:w="2552" w:type="dxa"/>
                  <w:tcBorders>
                    <w:top w:val="single" w:sz="4" w:space="0" w:color="auto"/>
                    <w:bottom w:val="single" w:sz="4" w:space="0" w:color="auto"/>
                  </w:tcBorders>
                </w:tcPr>
                <w:p w:rsidR="00817F44" w:rsidRPr="00817F44" w:rsidRDefault="00817F44" w:rsidP="00817F44">
                  <w:pPr>
                    <w:spacing w:before="120" w:after="120" w:line="240" w:lineRule="auto"/>
                    <w:jc w:val="both"/>
                    <w:rPr>
                      <w:b/>
                      <w:sz w:val="16"/>
                      <w:szCs w:val="16"/>
                      <w:lang w:val="en-IE" w:bidi="ar-SA"/>
                    </w:rPr>
                  </w:pPr>
                  <w:r w:rsidRPr="00817F44">
                    <w:rPr>
                      <w:b/>
                      <w:sz w:val="16"/>
                      <w:szCs w:val="16"/>
                      <w:lang w:val="en-IE" w:bidi="ar-SA"/>
                    </w:rPr>
                    <w:t>Time</w:t>
                  </w:r>
                </w:p>
              </w:tc>
              <w:tc>
                <w:tcPr>
                  <w:tcW w:w="3118" w:type="dxa"/>
                  <w:tcBorders>
                    <w:top w:val="single" w:sz="4" w:space="0" w:color="auto"/>
                    <w:bottom w:val="single" w:sz="4" w:space="0" w:color="auto"/>
                  </w:tcBorders>
                </w:tcPr>
                <w:p w:rsidR="00817F44" w:rsidRPr="00817F44" w:rsidRDefault="00817F44" w:rsidP="00817F44">
                  <w:pPr>
                    <w:spacing w:before="120" w:after="120" w:line="240" w:lineRule="auto"/>
                    <w:jc w:val="both"/>
                    <w:rPr>
                      <w:b/>
                      <w:sz w:val="16"/>
                      <w:szCs w:val="16"/>
                      <w:lang w:val="en-IE" w:bidi="ar-SA"/>
                    </w:rPr>
                  </w:pPr>
                  <w:r w:rsidRPr="00817F44">
                    <w:rPr>
                      <w:b/>
                      <w:sz w:val="16"/>
                      <w:szCs w:val="16"/>
                      <w:lang w:val="en-IE" w:bidi="ar-SA"/>
                    </w:rPr>
                    <w:t>Item / Data Record</w:t>
                  </w:r>
                </w:p>
              </w:tc>
              <w:tc>
                <w:tcPr>
                  <w:tcW w:w="992" w:type="dxa"/>
                  <w:tcBorders>
                    <w:top w:val="single" w:sz="4" w:space="0" w:color="auto"/>
                    <w:bottom w:val="single" w:sz="4" w:space="0" w:color="auto"/>
                  </w:tcBorders>
                </w:tcPr>
                <w:p w:rsidR="00817F44" w:rsidRPr="00817F44" w:rsidRDefault="00817F44" w:rsidP="00817F44">
                  <w:pPr>
                    <w:spacing w:before="120" w:after="120" w:line="240" w:lineRule="auto"/>
                    <w:jc w:val="both"/>
                    <w:rPr>
                      <w:b/>
                      <w:sz w:val="16"/>
                      <w:szCs w:val="16"/>
                      <w:lang w:val="en-IE" w:bidi="ar-SA"/>
                    </w:rPr>
                  </w:pPr>
                  <w:r w:rsidRPr="00817F44">
                    <w:rPr>
                      <w:b/>
                      <w:sz w:val="16"/>
                      <w:szCs w:val="16"/>
                      <w:lang w:val="en-IE" w:bidi="ar-SA"/>
                    </w:rPr>
                    <w:t>Term</w:t>
                  </w:r>
                </w:p>
              </w:tc>
              <w:tc>
                <w:tcPr>
                  <w:tcW w:w="1049" w:type="dxa"/>
                  <w:tcBorders>
                    <w:top w:val="single" w:sz="4" w:space="0" w:color="auto"/>
                    <w:bottom w:val="single" w:sz="4" w:space="0" w:color="auto"/>
                  </w:tcBorders>
                </w:tcPr>
                <w:p w:rsidR="00817F44" w:rsidRPr="00817F44" w:rsidRDefault="00817F44" w:rsidP="00817F44">
                  <w:pPr>
                    <w:spacing w:before="120" w:after="120" w:line="240" w:lineRule="auto"/>
                    <w:jc w:val="both"/>
                    <w:rPr>
                      <w:b/>
                      <w:sz w:val="16"/>
                      <w:szCs w:val="16"/>
                      <w:lang w:val="en-IE" w:bidi="ar-SA"/>
                    </w:rPr>
                  </w:pPr>
                  <w:r w:rsidRPr="00817F44">
                    <w:rPr>
                      <w:b/>
                      <w:sz w:val="16"/>
                      <w:szCs w:val="16"/>
                      <w:lang w:val="en-IE" w:bidi="ar-SA"/>
                    </w:rPr>
                    <w:t>Subscript</w:t>
                  </w:r>
                </w:p>
              </w:tc>
            </w:tr>
            <w:tr w:rsidR="00817F44" w:rsidRPr="00817F44" w:rsidTr="002F5B27">
              <w:tc>
                <w:tcPr>
                  <w:tcW w:w="2552" w:type="dxa"/>
                  <w:tcBorders>
                    <w:top w:val="single" w:sz="4" w:space="0" w:color="auto"/>
                    <w:bottom w:val="nil"/>
                  </w:tcBorders>
                </w:tcPr>
                <w:p w:rsidR="00817F44" w:rsidRPr="00817F44" w:rsidRDefault="00817F44" w:rsidP="00817F44">
                  <w:pPr>
                    <w:spacing w:before="120" w:after="120" w:line="240" w:lineRule="auto"/>
                    <w:jc w:val="both"/>
                    <w:rPr>
                      <w:b/>
                      <w:sz w:val="16"/>
                      <w:szCs w:val="16"/>
                      <w:lang w:val="en-IE" w:bidi="ar-SA"/>
                    </w:rPr>
                  </w:pPr>
                  <w:r w:rsidRPr="00817F44">
                    <w:rPr>
                      <w:b/>
                      <w:sz w:val="16"/>
                      <w:szCs w:val="16"/>
                      <w:lang w:val="en-IE" w:bidi="ar-SA"/>
                    </w:rPr>
                    <w:t>Daily, in advance of</w:t>
                  </w:r>
                  <w:del w:id="211" w:author="Author">
                    <w:r w:rsidRPr="00817F44" w:rsidDel="005D49D9">
                      <w:rPr>
                        <w:b/>
                        <w:sz w:val="16"/>
                        <w:szCs w:val="16"/>
                        <w:lang w:val="en-IE" w:bidi="ar-SA"/>
                      </w:rPr>
                      <w:delText xml:space="preserve"> the</w:delText>
                    </w:r>
                  </w:del>
                  <w:r w:rsidRPr="00817F44">
                    <w:rPr>
                      <w:b/>
                      <w:sz w:val="16"/>
                      <w:szCs w:val="16"/>
                      <w:lang w:val="en-IE" w:bidi="ar-SA"/>
                    </w:rPr>
                    <w:t xml:space="preserve"> the Trading Day</w:t>
                  </w:r>
                </w:p>
              </w:tc>
              <w:tc>
                <w:tcPr>
                  <w:tcW w:w="3118" w:type="dxa"/>
                  <w:tcBorders>
                    <w:top w:val="single" w:sz="4" w:space="0" w:color="auto"/>
                    <w:bottom w:val="nil"/>
                  </w:tcBorders>
                </w:tcPr>
                <w:p w:rsidR="00817F44" w:rsidRPr="00817F44" w:rsidRDefault="00817F44" w:rsidP="00817F44">
                  <w:pPr>
                    <w:spacing w:before="120" w:after="120" w:line="240" w:lineRule="auto"/>
                    <w:jc w:val="both"/>
                    <w:rPr>
                      <w:sz w:val="16"/>
                      <w:szCs w:val="16"/>
                      <w:lang w:val="en-IE" w:bidi="ar-SA"/>
                    </w:rPr>
                  </w:pPr>
                </w:p>
              </w:tc>
              <w:tc>
                <w:tcPr>
                  <w:tcW w:w="992" w:type="dxa"/>
                  <w:tcBorders>
                    <w:top w:val="single" w:sz="4" w:space="0" w:color="auto"/>
                    <w:bottom w:val="nil"/>
                  </w:tcBorders>
                </w:tcPr>
                <w:p w:rsidR="00817F44" w:rsidRPr="00817F44" w:rsidRDefault="00817F44" w:rsidP="00817F44">
                  <w:pPr>
                    <w:spacing w:before="120" w:after="120" w:line="240" w:lineRule="auto"/>
                    <w:jc w:val="both"/>
                    <w:rPr>
                      <w:sz w:val="16"/>
                      <w:szCs w:val="16"/>
                      <w:lang w:val="en-IE" w:bidi="ar-SA"/>
                    </w:rPr>
                  </w:pPr>
                </w:p>
              </w:tc>
              <w:tc>
                <w:tcPr>
                  <w:tcW w:w="1049" w:type="dxa"/>
                  <w:tcBorders>
                    <w:top w:val="single" w:sz="4" w:space="0" w:color="auto"/>
                    <w:bottom w:val="nil"/>
                  </w:tcBorders>
                </w:tcPr>
                <w:p w:rsidR="00817F44" w:rsidRPr="00817F44" w:rsidRDefault="00817F44" w:rsidP="00817F44">
                  <w:pPr>
                    <w:spacing w:before="120" w:after="120" w:line="240" w:lineRule="auto"/>
                    <w:jc w:val="both"/>
                    <w:rPr>
                      <w:sz w:val="16"/>
                      <w:szCs w:val="16"/>
                      <w:lang w:val="en-IE" w:bidi="ar-SA"/>
                    </w:rPr>
                  </w:pPr>
                </w:p>
              </w:tc>
            </w:tr>
          </w:tbl>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lang w:val="en-IE" w:eastAsia="en-GB" w:bidi="ar-SA"/>
              </w:rPr>
            </w:pPr>
            <w:r w:rsidRPr="00817F44">
              <w:rPr>
                <w:rFonts w:ascii="Calibri" w:hAnsi="Calibri" w:cs="Arial"/>
                <w:b/>
                <w:u w:val="single"/>
                <w:lang w:val="en-IE" w:eastAsia="en-GB" w:bidi="ar-SA"/>
              </w:rPr>
              <w:t>Appendix G:</w:t>
            </w:r>
          </w:p>
          <w:p w:rsidR="00817F44" w:rsidRPr="00817F44" w:rsidRDefault="00817F44" w:rsidP="00817F44">
            <w:pPr>
              <w:numPr>
                <w:ilvl w:val="0"/>
                <w:numId w:val="37"/>
              </w:numPr>
              <w:spacing w:before="120" w:after="120" w:line="240" w:lineRule="auto"/>
              <w:ind w:hanging="720"/>
              <w:jc w:val="both"/>
              <w:outlineLvl w:val="4"/>
              <w:rPr>
                <w:sz w:val="22"/>
                <w:szCs w:val="22"/>
                <w:lang w:val="en-IE" w:bidi="ar-SA"/>
              </w:rPr>
            </w:pPr>
            <w:r w:rsidRPr="00817F44">
              <w:rPr>
                <w:sz w:val="22"/>
                <w:szCs w:val="22"/>
                <w:lang w:val="en-IE" w:bidi="ar-SA"/>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rsidR="00817F44" w:rsidRPr="00817F44" w:rsidRDefault="00817F44" w:rsidP="00817F44">
            <w:pPr>
              <w:numPr>
                <w:ilvl w:val="4"/>
                <w:numId w:val="0"/>
              </w:numPr>
              <w:spacing w:before="120" w:after="120" w:line="240" w:lineRule="auto"/>
              <w:ind w:left="1440" w:hanging="709"/>
              <w:jc w:val="both"/>
              <w:rPr>
                <w:rFonts w:eastAsiaTheme="minorEastAsia"/>
                <w:sz w:val="22"/>
                <w:szCs w:val="22"/>
                <w:lang w:val="en-IE" w:bidi="ar-SA"/>
              </w:rPr>
            </w:pPr>
            <w:r w:rsidRPr="00817F44">
              <w:rPr>
                <w:rFonts w:eastAsiaTheme="minorEastAsia"/>
                <w:sz w:val="22"/>
                <w:szCs w:val="22"/>
                <w:lang w:val="en-IE" w:bidi="ar-SA"/>
              </w:rPr>
              <w:t>T</w:t>
            </w:r>
            <w:del w:id="212" w:author="Author">
              <w:r w:rsidRPr="00817F44" w:rsidDel="00F718E1">
                <w:rPr>
                  <w:rFonts w:eastAsiaTheme="minorEastAsia"/>
                  <w:sz w:val="22"/>
                  <w:szCs w:val="22"/>
                  <w:lang w:val="en-IE" w:bidi="ar-SA"/>
                </w:rPr>
                <w:delText>t</w:delText>
              </w:r>
            </w:del>
            <w:r w:rsidRPr="00817F44">
              <w:rPr>
                <w:rFonts w:eastAsiaTheme="minorEastAsia"/>
                <w:sz w:val="22"/>
                <w:szCs w:val="22"/>
                <w:lang w:val="en-IE" w:bidi="ar-SA"/>
              </w:rPr>
              <w:t>otal Daily Amounts for the Participant (Settlement Day value);</w:t>
            </w: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r w:rsidRPr="00817F44">
              <w:rPr>
                <w:rFonts w:ascii="Calibri" w:hAnsi="Calibri" w:cs="Arial"/>
                <w:b/>
                <w:u w:val="single"/>
                <w:lang w:val="en-IE" w:eastAsia="en-GB" w:bidi="ar-SA"/>
              </w:rPr>
              <w:t>Appendix H Table 1:</w:t>
            </w:r>
          </w:p>
          <w:tbl>
            <w:tblPr>
              <w:tblW w:w="8460" w:type="dxa"/>
              <w:tblInd w:w="1008" w:type="dxa"/>
              <w:tblLayout w:type="fixed"/>
              <w:tblLook w:val="01E0"/>
            </w:tblPr>
            <w:tblGrid>
              <w:gridCol w:w="2620"/>
              <w:gridCol w:w="1070"/>
              <w:gridCol w:w="2790"/>
              <w:gridCol w:w="1980"/>
            </w:tblGrid>
            <w:tr w:rsidR="00817F44" w:rsidRPr="00817F44" w:rsidTr="002F5B27">
              <w:trPr>
                <w:cantSplit/>
              </w:trPr>
              <w:tc>
                <w:tcPr>
                  <w:tcW w:w="2620" w:type="dxa"/>
                  <w:tcBorders>
                    <w:top w:val="single" w:sz="4" w:space="0" w:color="auto"/>
                    <w:bottom w:val="single" w:sz="4" w:space="0" w:color="auto"/>
                  </w:tcBorders>
                  <w:vAlign w:val="center"/>
                </w:tcPr>
                <w:p w:rsidR="00817F44" w:rsidRPr="00817F44" w:rsidRDefault="00817F44" w:rsidP="00817F44">
                  <w:pPr>
                    <w:spacing w:before="120" w:after="120" w:line="240" w:lineRule="auto"/>
                    <w:jc w:val="both"/>
                    <w:rPr>
                      <w:sz w:val="16"/>
                      <w:szCs w:val="16"/>
                      <w:lang w:val="en-IE" w:bidi="ar-SA"/>
                    </w:rPr>
                  </w:pPr>
                  <w:r w:rsidRPr="00817F44">
                    <w:rPr>
                      <w:rFonts w:cs="Arial"/>
                      <w:sz w:val="16"/>
                      <w:szCs w:val="16"/>
                      <w:lang w:val="en-IE" w:bidi="ar-SA"/>
                    </w:rPr>
                    <w:t>Registered Capacity (MW)</w:t>
                  </w:r>
                </w:p>
              </w:tc>
              <w:tc>
                <w:tcPr>
                  <w:tcW w:w="1070" w:type="dxa"/>
                  <w:tcBorders>
                    <w:top w:val="single" w:sz="4" w:space="0" w:color="auto"/>
                    <w:bottom w:val="single" w:sz="4" w:space="0" w:color="auto"/>
                  </w:tcBorders>
                  <w:vAlign w:val="center"/>
                </w:tcPr>
                <w:p w:rsidR="00817F44" w:rsidRPr="00817F44" w:rsidRDefault="00817F44" w:rsidP="00817F44">
                  <w:pPr>
                    <w:spacing w:before="120" w:after="120" w:line="240" w:lineRule="auto"/>
                    <w:jc w:val="both"/>
                    <w:rPr>
                      <w:sz w:val="16"/>
                      <w:szCs w:val="16"/>
                      <w:lang w:val="en-IE" w:bidi="ar-SA"/>
                    </w:rPr>
                  </w:pPr>
                  <w:r w:rsidRPr="00817F44">
                    <w:rPr>
                      <w:rFonts w:cs="Arial"/>
                      <w:sz w:val="16"/>
                      <w:szCs w:val="16"/>
                      <w:lang w:val="en-IE" w:bidi="ar-SA"/>
                    </w:rPr>
                    <w:t>q</w:t>
                  </w:r>
                  <w:ins w:id="213" w:author="Author">
                    <w:r w:rsidRPr="00817F44">
                      <w:rPr>
                        <w:rFonts w:cs="Arial"/>
                        <w:sz w:val="16"/>
                        <w:szCs w:val="16"/>
                        <w:lang w:val="en-IE" w:bidi="ar-SA"/>
                      </w:rPr>
                      <w:t>C</w:t>
                    </w:r>
                  </w:ins>
                  <w:r w:rsidRPr="00817F44">
                    <w:rPr>
                      <w:rFonts w:cs="Arial"/>
                      <w:sz w:val="16"/>
                      <w:szCs w:val="16"/>
                      <w:lang w:val="en-IE" w:bidi="ar-SA"/>
                    </w:rPr>
                    <w:t>R</w:t>
                  </w:r>
                  <w:del w:id="214" w:author="Author">
                    <w:r w:rsidRPr="00817F44" w:rsidDel="00E1309E">
                      <w:rPr>
                        <w:rFonts w:cs="Arial"/>
                        <w:sz w:val="16"/>
                        <w:szCs w:val="16"/>
                        <w:lang w:val="en-IE" w:bidi="ar-SA"/>
                      </w:rPr>
                      <w:delText>C</w:delText>
                    </w:r>
                  </w:del>
                  <w:r w:rsidRPr="00817F44">
                    <w:rPr>
                      <w:rFonts w:cs="Arial"/>
                      <w:sz w:val="16"/>
                      <w:szCs w:val="16"/>
                      <w:vertAlign w:val="subscript"/>
                      <w:lang w:val="en-IE" w:bidi="ar-SA"/>
                    </w:rPr>
                    <w:t>u</w:t>
                  </w:r>
                </w:p>
              </w:tc>
              <w:tc>
                <w:tcPr>
                  <w:tcW w:w="2790" w:type="dxa"/>
                  <w:tcBorders>
                    <w:top w:val="single" w:sz="4" w:space="0" w:color="auto"/>
                    <w:bottom w:val="single" w:sz="4" w:space="0" w:color="auto"/>
                  </w:tcBorders>
                  <w:vAlign w:val="center"/>
                </w:tcPr>
                <w:p w:rsidR="00817F44" w:rsidRPr="00817F44" w:rsidRDefault="00817F44" w:rsidP="00817F44">
                  <w:pPr>
                    <w:spacing w:before="120" w:after="120" w:line="240" w:lineRule="auto"/>
                    <w:jc w:val="both"/>
                    <w:rPr>
                      <w:sz w:val="16"/>
                      <w:szCs w:val="16"/>
                      <w:lang w:val="en-IE" w:bidi="ar-SA"/>
                    </w:rPr>
                  </w:pPr>
                  <w:r w:rsidRPr="00817F44">
                    <w:rPr>
                      <w:rFonts w:cs="Arial"/>
                      <w:sz w:val="16"/>
                      <w:szCs w:val="16"/>
                      <w:lang w:val="en-IE" w:bidi="ar-SA"/>
                    </w:rPr>
                    <w:t>All Generator Units except Interconnector Error Units, Interconnector Residual Capacity Units, Demand Side Units, Assetless Units and Trading Units</w:t>
                  </w:r>
                </w:p>
              </w:tc>
              <w:tc>
                <w:tcPr>
                  <w:tcW w:w="1980" w:type="dxa"/>
                  <w:tcBorders>
                    <w:top w:val="single" w:sz="4" w:space="0" w:color="auto"/>
                    <w:bottom w:val="single" w:sz="4" w:space="0" w:color="auto"/>
                  </w:tcBorders>
                  <w:vAlign w:val="center"/>
                </w:tcPr>
                <w:p w:rsidR="00817F44" w:rsidRPr="00817F44" w:rsidRDefault="00817F44" w:rsidP="00817F44">
                  <w:pPr>
                    <w:spacing w:before="120" w:after="120" w:line="240" w:lineRule="auto"/>
                    <w:jc w:val="both"/>
                    <w:rPr>
                      <w:sz w:val="16"/>
                      <w:szCs w:val="16"/>
                      <w:lang w:val="en-IE" w:bidi="ar-SA"/>
                    </w:rPr>
                  </w:pPr>
                  <w:r w:rsidRPr="00817F44">
                    <w:rPr>
                      <w:rFonts w:cs="Arial"/>
                      <w:sz w:val="16"/>
                      <w:szCs w:val="16"/>
                      <w:lang w:val="en-IE" w:bidi="ar-SA"/>
                    </w:rPr>
                    <w:t>Yes</w:t>
                  </w:r>
                </w:p>
              </w:tc>
            </w:tr>
          </w:tbl>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r w:rsidRPr="00817F44">
              <w:rPr>
                <w:rFonts w:ascii="Calibri" w:hAnsi="Calibri" w:cs="Arial"/>
                <w:b/>
                <w:u w:val="single"/>
                <w:lang w:val="en-IE" w:eastAsia="en-GB" w:bidi="ar-SA"/>
              </w:rPr>
              <w:t>Appendix I Paragraph 16(d):</w:t>
            </w:r>
          </w:p>
          <w:p w:rsidR="00817F44" w:rsidRPr="00817F44" w:rsidRDefault="00817F44" w:rsidP="00817F44">
            <w:pPr>
              <w:numPr>
                <w:ilvl w:val="5"/>
                <w:numId w:val="0"/>
              </w:numPr>
              <w:spacing w:before="120" w:after="120" w:line="240" w:lineRule="auto"/>
              <w:ind w:left="2410" w:hanging="709"/>
              <w:jc w:val="both"/>
              <w:outlineLvl w:val="4"/>
              <w:rPr>
                <w:sz w:val="22"/>
                <w:szCs w:val="22"/>
                <w:lang w:val="en-IE" w:bidi="ar-SA"/>
              </w:rPr>
            </w:pPr>
            <w:r w:rsidRPr="00817F44">
              <w:rPr>
                <w:sz w:val="22"/>
                <w:szCs w:val="22"/>
                <w:lang w:val="en-IE" w:bidi="ar-SA"/>
              </w:rPr>
              <w:t xml:space="preserve">Each From MW Time and To MW Time must be at the start of a minute which corresponds to the start of a </w:t>
            </w:r>
            <w:ins w:id="215" w:author="Author">
              <w:r w:rsidRPr="00817F44">
                <w:rPr>
                  <w:sz w:val="22"/>
                  <w:szCs w:val="22"/>
                  <w:lang w:val="en-IE" w:bidi="ar-SA"/>
                </w:rPr>
                <w:t>thirty</w:t>
              </w:r>
            </w:ins>
            <w:del w:id="216" w:author="Author">
              <w:r w:rsidRPr="00817F44" w:rsidDel="007901B6">
                <w:rPr>
                  <w:sz w:val="22"/>
                  <w:szCs w:val="22"/>
                  <w:lang w:val="en-IE" w:bidi="ar-SA"/>
                </w:rPr>
                <w:delText>fifteen</w:delText>
              </w:r>
            </w:del>
            <w:r w:rsidRPr="00817F44">
              <w:rPr>
                <w:sz w:val="22"/>
                <w:szCs w:val="22"/>
                <w:lang w:val="en-IE" w:bidi="ar-SA"/>
              </w:rPr>
              <w:t xml:space="preserve"> minute period, starting on each hour,</w:t>
            </w:r>
            <w:del w:id="217" w:author="Author">
              <w:r w:rsidRPr="00817F44" w:rsidDel="007901B6">
                <w:rPr>
                  <w:sz w:val="22"/>
                  <w:szCs w:val="22"/>
                  <w:lang w:val="en-IE" w:bidi="ar-SA"/>
                </w:rPr>
                <w:delText xml:space="preserve"> quarter past the hour,</w:delText>
              </w:r>
            </w:del>
            <w:r w:rsidRPr="00817F44">
              <w:rPr>
                <w:sz w:val="22"/>
                <w:szCs w:val="22"/>
                <w:lang w:val="en-IE" w:bidi="ar-SA"/>
              </w:rPr>
              <w:t xml:space="preserve"> </w:t>
            </w:r>
            <w:ins w:id="218" w:author="Author">
              <w:r w:rsidRPr="00817F44">
                <w:rPr>
                  <w:sz w:val="22"/>
                  <w:szCs w:val="22"/>
                  <w:lang w:val="en-IE" w:bidi="ar-SA"/>
                </w:rPr>
                <w:t xml:space="preserve">and </w:t>
              </w:r>
            </w:ins>
            <w:r w:rsidRPr="00817F44">
              <w:rPr>
                <w:sz w:val="22"/>
                <w:szCs w:val="22"/>
                <w:lang w:val="en-IE" w:bidi="ar-SA"/>
              </w:rPr>
              <w:t>half hour</w:t>
            </w:r>
            <w:del w:id="219" w:author="Author">
              <w:r w:rsidRPr="00817F44" w:rsidDel="007901B6">
                <w:rPr>
                  <w:sz w:val="22"/>
                  <w:szCs w:val="22"/>
                  <w:lang w:val="en-IE" w:bidi="ar-SA"/>
                </w:rPr>
                <w:delText xml:space="preserve"> and quarter to the hour</w:delText>
              </w:r>
            </w:del>
            <w:r w:rsidRPr="00817F44">
              <w:rPr>
                <w:sz w:val="22"/>
                <w:szCs w:val="22"/>
                <w:lang w:val="en-IE" w:bidi="ar-SA"/>
              </w:rPr>
              <w:t>;</w:t>
            </w: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r w:rsidRPr="00817F44">
              <w:rPr>
                <w:rFonts w:ascii="Calibri" w:hAnsi="Calibri" w:cs="Arial"/>
                <w:b/>
                <w:u w:val="single"/>
                <w:lang w:val="en-IE" w:eastAsia="en-GB" w:bidi="ar-SA"/>
              </w:rPr>
              <w:t>Glossary:</w:t>
            </w:r>
          </w:p>
          <w:p w:rsidR="00817F44" w:rsidRPr="00817F44" w:rsidRDefault="00817F44" w:rsidP="00817F44">
            <w:pPr>
              <w:overflowPunct w:val="0"/>
              <w:autoSpaceDE w:val="0"/>
              <w:autoSpaceDN w:val="0"/>
              <w:adjustRightInd w:val="0"/>
              <w:spacing w:before="0" w:after="0" w:line="480" w:lineRule="auto"/>
              <w:contextualSpacing/>
              <w:textAlignment w:val="baseline"/>
              <w:rPr>
                <w:rFonts w:ascii="Calibri" w:hAnsi="Calibri" w:cs="Arial"/>
                <w:b/>
                <w:u w:val="single"/>
                <w:lang w:val="en-IE" w:eastAsia="en-GB" w:bidi="ar-SA"/>
              </w:rPr>
            </w:pPr>
            <w:r w:rsidRPr="00817F44">
              <w:rPr>
                <w:rFonts w:ascii="Calibri" w:hAnsi="Calibri" w:cs="Arial"/>
                <w:b/>
                <w:u w:val="single"/>
                <w:lang w:val="en-IE" w:eastAsia="en-GB" w:bidi="ar-SA"/>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1"/>
              <w:gridCol w:w="7190"/>
            </w:tblGrid>
            <w:tr w:rsidR="00817F44" w:rsidRPr="00817F44" w:rsidTr="002F5B27">
              <w:trPr>
                <w:cantSplit/>
              </w:trPr>
              <w:tc>
                <w:tcPr>
                  <w:tcW w:w="1224" w:type="pct"/>
                </w:tcPr>
                <w:p w:rsidR="00817F44" w:rsidRPr="00817F44" w:rsidRDefault="00817F44" w:rsidP="00817F44">
                  <w:pPr>
                    <w:tabs>
                      <w:tab w:val="num" w:pos="851"/>
                    </w:tabs>
                    <w:spacing w:before="120" w:after="120" w:line="240" w:lineRule="auto"/>
                    <w:rPr>
                      <w:b/>
                      <w:lang w:val="en-US" w:bidi="ar-SA"/>
                    </w:rPr>
                  </w:pPr>
                  <w:r w:rsidRPr="00817F44" w:rsidDel="00A01860">
                    <w:rPr>
                      <w:b/>
                      <w:lang w:val="en-US" w:bidi="ar-SA"/>
                    </w:rPr>
                    <w:t>Aggregate Settlement Document Amount</w:t>
                  </w:r>
                </w:p>
              </w:tc>
              <w:tc>
                <w:tcPr>
                  <w:tcW w:w="3776" w:type="pct"/>
                </w:tcPr>
                <w:p w:rsidR="00817F44" w:rsidRPr="00817F44" w:rsidRDefault="00817F44" w:rsidP="00817F44">
                  <w:pPr>
                    <w:tabs>
                      <w:tab w:val="num" w:pos="851"/>
                    </w:tabs>
                    <w:spacing w:before="120" w:after="120" w:line="240" w:lineRule="auto"/>
                    <w:jc w:val="both"/>
                    <w:rPr>
                      <w:rFonts w:cs="Arial"/>
                      <w:lang w:val="en-US" w:bidi="ar-SA"/>
                    </w:rPr>
                  </w:pPr>
                  <w:r w:rsidRPr="00817F44" w:rsidDel="000E4791">
                    <w:rPr>
                      <w:rFonts w:cs="Arial"/>
                      <w:lang w:bidi="ar-SA"/>
                    </w:rPr>
                    <w:t>means the amount determined in accordance with paragraph G.5.7.5.</w:t>
                  </w:r>
                </w:p>
              </w:tc>
            </w:tr>
          </w:tbl>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1"/>
              <w:gridCol w:w="7190"/>
            </w:tblGrid>
            <w:tr w:rsidR="00817F44" w:rsidRPr="00817F44" w:rsidTr="002F5B27">
              <w:trPr>
                <w:cantSplit/>
              </w:trPr>
              <w:tc>
                <w:tcPr>
                  <w:tcW w:w="1224" w:type="pct"/>
                </w:tcPr>
                <w:p w:rsidR="00817F44" w:rsidRPr="00817F44" w:rsidRDefault="00817F44" w:rsidP="00817F44">
                  <w:pPr>
                    <w:tabs>
                      <w:tab w:val="num" w:pos="851"/>
                    </w:tabs>
                    <w:spacing w:before="120" w:after="120" w:line="240" w:lineRule="auto"/>
                    <w:rPr>
                      <w:rFonts w:asciiTheme="minorHAnsi" w:hAnsiTheme="minorHAnsi" w:cstheme="minorHAnsi"/>
                      <w:b/>
                      <w:lang w:bidi="ar-SA"/>
                    </w:rPr>
                  </w:pPr>
                  <w:r w:rsidRPr="00817F44">
                    <w:rPr>
                      <w:b/>
                      <w:bCs/>
                      <w:lang w:val="en-IE" w:bidi="ar-SA"/>
                    </w:rPr>
                    <w:t>Market Operator Charge Account</w:t>
                  </w:r>
                </w:p>
              </w:tc>
              <w:tc>
                <w:tcPr>
                  <w:tcW w:w="3776" w:type="pct"/>
                </w:tcPr>
                <w:p w:rsidR="00817F44" w:rsidRPr="00817F44" w:rsidRDefault="00817F44" w:rsidP="00817F44">
                  <w:pPr>
                    <w:tabs>
                      <w:tab w:val="num" w:pos="851"/>
                    </w:tabs>
                    <w:spacing w:before="120" w:after="120" w:line="240" w:lineRule="auto"/>
                    <w:jc w:val="both"/>
                    <w:rPr>
                      <w:lang w:bidi="ar-SA"/>
                    </w:rPr>
                  </w:pPr>
                  <w:r w:rsidRPr="00817F44">
                    <w:rPr>
                      <w:lang w:bidi="ar-SA"/>
                    </w:rPr>
                    <w:t>means the bank accounts established and maintained by the Market Operator pursuant to paragraph G.7.1.</w:t>
                  </w:r>
                  <w:ins w:id="220" w:author="Author">
                    <w:r w:rsidRPr="00817F44">
                      <w:rPr>
                        <w:lang w:bidi="ar-SA"/>
                      </w:rPr>
                      <w:t>4</w:t>
                    </w:r>
                  </w:ins>
                  <w:del w:id="221" w:author="Author">
                    <w:r w:rsidRPr="00817F44" w:rsidDel="004C562E">
                      <w:rPr>
                        <w:lang w:bidi="ar-SA"/>
                      </w:rPr>
                      <w:delText>5</w:delText>
                    </w:r>
                  </w:del>
                  <w:r w:rsidRPr="00817F44">
                    <w:rPr>
                      <w:lang w:bidi="ar-SA"/>
                    </w:rPr>
                    <w:t xml:space="preserve"> of the Code.</w:t>
                  </w:r>
                </w:p>
              </w:tc>
            </w:tr>
          </w:tbl>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3)</w:t>
            </w:r>
          </w:p>
          <w:tbl>
            <w:tblPr>
              <w:tblStyle w:val="TableGrid"/>
              <w:tblW w:w="5000" w:type="pct"/>
              <w:tblLayout w:type="fixed"/>
              <w:tblLook w:val="04A0"/>
            </w:tblPr>
            <w:tblGrid>
              <w:gridCol w:w="1260"/>
              <w:gridCol w:w="2634"/>
              <w:gridCol w:w="1754"/>
              <w:gridCol w:w="2860"/>
              <w:gridCol w:w="1013"/>
            </w:tblGrid>
            <w:tr w:rsidR="00817F44" w:rsidRPr="00817F44" w:rsidTr="002F5B27">
              <w:tc>
                <w:tcPr>
                  <w:tcW w:w="66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Variable</w:t>
                  </w:r>
                </w:p>
              </w:tc>
              <w:tc>
                <w:tcPr>
                  <w:tcW w:w="1383" w:type="pct"/>
                </w:tcPr>
                <w:p w:rsidR="00817F44" w:rsidRPr="00817F44" w:rsidRDefault="00817F44" w:rsidP="00817F44">
                  <w:pPr>
                    <w:spacing w:before="120" w:after="120" w:line="288" w:lineRule="auto"/>
                    <w:jc w:val="both"/>
                    <w:rPr>
                      <w:rFonts w:cs="Arial"/>
                      <w:color w:val="000000"/>
                      <w:szCs w:val="24"/>
                      <w:vertAlign w:val="subscript"/>
                      <w:lang w:eastAsia="en-IE" w:bidi="ar-SA"/>
                    </w:rPr>
                  </w:pPr>
                  <w:r w:rsidRPr="00817F44">
                    <w:rPr>
                      <w:rFonts w:cs="Arial"/>
                      <w:color w:val="000000"/>
                      <w:szCs w:val="24"/>
                      <w:lang w:eastAsia="en-IE" w:bidi="ar-SA"/>
                    </w:rPr>
                    <w:t>CMWP</w:t>
                  </w:r>
                  <w:r w:rsidRPr="00817F44">
                    <w:rPr>
                      <w:rFonts w:cs="Arial"/>
                      <w:color w:val="000000"/>
                      <w:szCs w:val="24"/>
                      <w:vertAlign w:val="subscript"/>
                      <w:lang w:eastAsia="en-IE" w:bidi="ar-SA"/>
                    </w:rPr>
                    <w:t>uk</w:t>
                  </w:r>
                </w:p>
              </w:tc>
              <w:tc>
                <w:tcPr>
                  <w:tcW w:w="921"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Make-Whole Payment</w:t>
                  </w:r>
                </w:p>
              </w:tc>
              <w:tc>
                <w:tcPr>
                  <w:tcW w:w="150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 xml:space="preserve">The component of the Fixed Cost Payment or Charge which is an additional payment for a Generator Unit, u, where its revenues considered for this </w:t>
                  </w:r>
                  <w:ins w:id="222" w:author="Author">
                    <w:r w:rsidRPr="00817F44">
                      <w:rPr>
                        <w:rFonts w:cs="Arial"/>
                        <w:color w:val="000000"/>
                        <w:szCs w:val="24"/>
                        <w:lang w:eastAsia="en-IE" w:bidi="ar-SA"/>
                      </w:rPr>
                      <w:t>M</w:t>
                    </w:r>
                  </w:ins>
                  <w:del w:id="223" w:author="Author">
                    <w:r w:rsidRPr="00817F44" w:rsidDel="002D4CBF">
                      <w:rPr>
                        <w:rFonts w:cs="Arial"/>
                        <w:color w:val="000000"/>
                        <w:szCs w:val="24"/>
                        <w:lang w:eastAsia="en-IE" w:bidi="ar-SA"/>
                      </w:rPr>
                      <w:delText>m</w:delText>
                    </w:r>
                  </w:del>
                  <w:r w:rsidRPr="00817F44">
                    <w:rPr>
                      <w:rFonts w:cs="Arial"/>
                      <w:color w:val="000000"/>
                      <w:szCs w:val="24"/>
                      <w:lang w:eastAsia="en-IE" w:bidi="ar-SA"/>
                    </w:rPr>
                    <w:t>ake-</w:t>
                  </w:r>
                  <w:ins w:id="224" w:author="Author">
                    <w:r w:rsidRPr="00817F44">
                      <w:rPr>
                        <w:rFonts w:cs="Arial"/>
                        <w:color w:val="000000"/>
                        <w:szCs w:val="24"/>
                        <w:lang w:eastAsia="en-IE" w:bidi="ar-SA"/>
                      </w:rPr>
                      <w:t>W</w:t>
                    </w:r>
                  </w:ins>
                  <w:del w:id="225" w:author="Author">
                    <w:r w:rsidRPr="00817F44" w:rsidDel="002D4CBF">
                      <w:rPr>
                        <w:rFonts w:cs="Arial"/>
                        <w:color w:val="000000"/>
                        <w:szCs w:val="24"/>
                        <w:lang w:eastAsia="en-IE" w:bidi="ar-SA"/>
                      </w:rPr>
                      <w:delText>w</w:delText>
                    </w:r>
                  </w:del>
                  <w:r w:rsidRPr="00817F44">
                    <w:rPr>
                      <w:rFonts w:cs="Arial"/>
                      <w:color w:val="000000"/>
                      <w:szCs w:val="24"/>
                      <w:lang w:eastAsia="en-IE" w:bidi="ar-SA"/>
                    </w:rPr>
                    <w:t xml:space="preserve">hole </w:t>
                  </w:r>
                  <w:ins w:id="226" w:author="Author">
                    <w:r w:rsidRPr="00817F44">
                      <w:rPr>
                        <w:rFonts w:cs="Arial"/>
                        <w:color w:val="000000"/>
                        <w:szCs w:val="24"/>
                        <w:lang w:eastAsia="en-IE" w:bidi="ar-SA"/>
                      </w:rPr>
                      <w:t>P</w:t>
                    </w:r>
                  </w:ins>
                  <w:del w:id="227" w:author="Author">
                    <w:r w:rsidRPr="00817F44" w:rsidDel="002D4CBF">
                      <w:rPr>
                        <w:rFonts w:cs="Arial"/>
                        <w:color w:val="000000"/>
                        <w:szCs w:val="24"/>
                        <w:lang w:eastAsia="en-IE" w:bidi="ar-SA"/>
                      </w:rPr>
                      <w:delText>p</w:delText>
                    </w:r>
                  </w:del>
                  <w:r w:rsidRPr="00817F44">
                    <w:rPr>
                      <w:rFonts w:cs="Arial"/>
                      <w:color w:val="000000"/>
                      <w:szCs w:val="24"/>
                      <w:lang w:eastAsia="en-IE" w:bidi="ar-SA"/>
                    </w:rPr>
                    <w:t xml:space="preserve">ayment are insufficient to recover the operational costs considered for this </w:t>
                  </w:r>
                  <w:ins w:id="228" w:author="Author">
                    <w:r w:rsidRPr="00817F44">
                      <w:rPr>
                        <w:rFonts w:cs="Arial"/>
                        <w:color w:val="000000"/>
                        <w:szCs w:val="24"/>
                        <w:lang w:eastAsia="en-IE" w:bidi="ar-SA"/>
                      </w:rPr>
                      <w:t>M</w:t>
                    </w:r>
                  </w:ins>
                  <w:del w:id="229" w:author="Author">
                    <w:r w:rsidRPr="00817F44" w:rsidDel="002D4CBF">
                      <w:rPr>
                        <w:rFonts w:cs="Arial"/>
                        <w:color w:val="000000"/>
                        <w:szCs w:val="24"/>
                        <w:lang w:eastAsia="en-IE" w:bidi="ar-SA"/>
                      </w:rPr>
                      <w:delText>m</w:delText>
                    </w:r>
                  </w:del>
                  <w:r w:rsidRPr="00817F44">
                    <w:rPr>
                      <w:rFonts w:cs="Arial"/>
                      <w:color w:val="000000"/>
                      <w:szCs w:val="24"/>
                      <w:lang w:eastAsia="en-IE" w:bidi="ar-SA"/>
                    </w:rPr>
                    <w:t>ake-</w:t>
                  </w:r>
                  <w:ins w:id="230" w:author="Author">
                    <w:r w:rsidRPr="00817F44">
                      <w:rPr>
                        <w:rFonts w:cs="Arial"/>
                        <w:color w:val="000000"/>
                        <w:szCs w:val="24"/>
                        <w:lang w:eastAsia="en-IE" w:bidi="ar-SA"/>
                      </w:rPr>
                      <w:t>W</w:t>
                    </w:r>
                  </w:ins>
                  <w:del w:id="231" w:author="Author">
                    <w:r w:rsidRPr="00817F44" w:rsidDel="002D4CBF">
                      <w:rPr>
                        <w:rFonts w:cs="Arial"/>
                        <w:color w:val="000000"/>
                        <w:szCs w:val="24"/>
                        <w:lang w:eastAsia="en-IE" w:bidi="ar-SA"/>
                      </w:rPr>
                      <w:delText>w</w:delText>
                    </w:r>
                  </w:del>
                  <w:r w:rsidRPr="00817F44">
                    <w:rPr>
                      <w:rFonts w:cs="Arial"/>
                      <w:color w:val="000000"/>
                      <w:szCs w:val="24"/>
                      <w:lang w:eastAsia="en-IE" w:bidi="ar-SA"/>
                    </w:rPr>
                    <w:t xml:space="preserve">hole </w:t>
                  </w:r>
                  <w:ins w:id="232" w:author="Author">
                    <w:r w:rsidRPr="00817F44">
                      <w:rPr>
                        <w:rFonts w:cs="Arial"/>
                        <w:color w:val="000000"/>
                        <w:szCs w:val="24"/>
                        <w:lang w:eastAsia="en-IE" w:bidi="ar-SA"/>
                      </w:rPr>
                      <w:t>P</w:t>
                    </w:r>
                  </w:ins>
                  <w:del w:id="233" w:author="Author">
                    <w:r w:rsidRPr="00817F44" w:rsidDel="002D4CBF">
                      <w:rPr>
                        <w:rFonts w:cs="Arial"/>
                        <w:color w:val="000000"/>
                        <w:szCs w:val="24"/>
                        <w:lang w:eastAsia="en-IE" w:bidi="ar-SA"/>
                      </w:rPr>
                      <w:delText>p</w:delText>
                    </w:r>
                  </w:del>
                  <w:r w:rsidRPr="00817F44">
                    <w:rPr>
                      <w:rFonts w:cs="Arial"/>
                      <w:color w:val="000000"/>
                      <w:szCs w:val="24"/>
                      <w:lang w:eastAsia="en-IE" w:bidi="ar-SA"/>
                    </w:rPr>
                    <w:t>ayment over a Contiguous Operating Period, k.</w:t>
                  </w:r>
                </w:p>
              </w:tc>
              <w:tc>
                <w:tcPr>
                  <w:tcW w:w="533" w:type="pct"/>
                </w:tcPr>
                <w:p w:rsidR="00817F44" w:rsidRPr="00817F44" w:rsidRDefault="00817F44" w:rsidP="00817F44">
                  <w:pPr>
                    <w:spacing w:before="120" w:after="120" w:line="288" w:lineRule="auto"/>
                    <w:jc w:val="both"/>
                    <w:rPr>
                      <w:rFonts w:cs="Arial"/>
                      <w:lang w:bidi="ar-SA"/>
                    </w:rPr>
                  </w:pPr>
                  <w:r w:rsidRPr="00817F44">
                    <w:rPr>
                      <w:rFonts w:cs="Arial"/>
                      <w:lang w:bidi="ar-SA"/>
                    </w:rPr>
                    <w:t>€</w:t>
                  </w:r>
                </w:p>
              </w:tc>
            </w:tr>
          </w:tbl>
          <w:p w:rsidR="00817F44" w:rsidRPr="00817F44" w:rsidRDefault="00817F44" w:rsidP="00817F44">
            <w:pPr>
              <w:overflowPunct w:val="0"/>
              <w:autoSpaceDE w:val="0"/>
              <w:autoSpaceDN w:val="0"/>
              <w:adjustRightInd w:val="0"/>
              <w:spacing w:before="0" w:after="0" w:line="480" w:lineRule="auto"/>
              <w:textAlignment w:val="baseline"/>
              <w:rPr>
                <w:rFonts w:cs="Arial"/>
                <w:lang w:val="en-IE" w:eastAsia="en-GB" w:bidi="ar-SA"/>
              </w:rPr>
            </w:pPr>
          </w:p>
          <w:tbl>
            <w:tblPr>
              <w:tblStyle w:val="TableGrid"/>
              <w:tblW w:w="5000" w:type="pct"/>
              <w:tblLayout w:type="fixed"/>
              <w:tblLook w:val="04A0"/>
            </w:tblPr>
            <w:tblGrid>
              <w:gridCol w:w="1260"/>
              <w:gridCol w:w="2634"/>
              <w:gridCol w:w="1754"/>
              <w:gridCol w:w="2860"/>
              <w:gridCol w:w="1013"/>
            </w:tblGrid>
            <w:tr w:rsidR="00817F44" w:rsidRPr="00817F44" w:rsidTr="002F5B27">
              <w:tc>
                <w:tcPr>
                  <w:tcW w:w="66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Variable</w:t>
                  </w:r>
                </w:p>
              </w:tc>
              <w:tc>
                <w:tcPr>
                  <w:tcW w:w="1383" w:type="pct"/>
                </w:tcPr>
                <w:p w:rsidR="00817F44" w:rsidRPr="00817F44" w:rsidRDefault="00817F44" w:rsidP="00817F44">
                  <w:pPr>
                    <w:spacing w:before="120" w:after="120" w:line="288" w:lineRule="auto"/>
                    <w:jc w:val="both"/>
                    <w:rPr>
                      <w:rFonts w:cs="Arial"/>
                      <w:color w:val="000000"/>
                      <w:szCs w:val="24"/>
                      <w:vertAlign w:val="subscript"/>
                      <w:lang w:eastAsia="en-IE" w:bidi="ar-SA"/>
                    </w:rPr>
                  </w:pPr>
                  <w:r w:rsidRPr="00817F44">
                    <w:rPr>
                      <w:rFonts w:cs="Arial"/>
                      <w:color w:val="000000"/>
                      <w:szCs w:val="24"/>
                      <w:lang w:eastAsia="en-IE" w:bidi="ar-SA"/>
                    </w:rPr>
                    <w:t>CNL</w:t>
                  </w:r>
                  <w:r w:rsidRPr="00817F44">
                    <w:rPr>
                      <w:rFonts w:cs="Arial"/>
                      <w:color w:val="000000"/>
                      <w:szCs w:val="24"/>
                      <w:vertAlign w:val="subscript"/>
                      <w:lang w:eastAsia="en-IE" w:bidi="ar-SA"/>
                    </w:rPr>
                    <w:t>uγ</w:t>
                  </w:r>
                </w:p>
              </w:tc>
              <w:tc>
                <w:tcPr>
                  <w:tcW w:w="921"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No Load Costs</w:t>
                  </w:r>
                </w:p>
              </w:tc>
              <w:tc>
                <w:tcPr>
                  <w:tcW w:w="150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 xml:space="preserve">The component of the operational costs considered for the </w:t>
                  </w:r>
                  <w:ins w:id="234" w:author="Author">
                    <w:r w:rsidRPr="00817F44">
                      <w:rPr>
                        <w:rFonts w:cs="Arial"/>
                        <w:color w:val="000000"/>
                        <w:szCs w:val="24"/>
                        <w:lang w:eastAsia="en-IE" w:bidi="ar-SA"/>
                      </w:rPr>
                      <w:t>M</w:t>
                    </w:r>
                  </w:ins>
                  <w:del w:id="235" w:author="Author">
                    <w:r w:rsidRPr="00817F44" w:rsidDel="002D4CBF">
                      <w:rPr>
                        <w:rFonts w:cs="Arial"/>
                        <w:color w:val="000000"/>
                        <w:szCs w:val="24"/>
                        <w:lang w:eastAsia="en-IE" w:bidi="ar-SA"/>
                      </w:rPr>
                      <w:delText>m</w:delText>
                    </w:r>
                  </w:del>
                  <w:r w:rsidRPr="00817F44">
                    <w:rPr>
                      <w:rFonts w:cs="Arial"/>
                      <w:color w:val="000000"/>
                      <w:szCs w:val="24"/>
                      <w:lang w:eastAsia="en-IE" w:bidi="ar-SA"/>
                    </w:rPr>
                    <w:t>ake-</w:t>
                  </w:r>
                  <w:ins w:id="236" w:author="Author">
                    <w:r w:rsidRPr="00817F44">
                      <w:rPr>
                        <w:rFonts w:cs="Arial"/>
                        <w:color w:val="000000"/>
                        <w:szCs w:val="24"/>
                        <w:lang w:eastAsia="en-IE" w:bidi="ar-SA"/>
                      </w:rPr>
                      <w:t>W</w:t>
                    </w:r>
                  </w:ins>
                  <w:del w:id="237" w:author="Author">
                    <w:r w:rsidRPr="00817F44" w:rsidDel="002D4CBF">
                      <w:rPr>
                        <w:rFonts w:cs="Arial"/>
                        <w:color w:val="000000"/>
                        <w:szCs w:val="24"/>
                        <w:lang w:eastAsia="en-IE" w:bidi="ar-SA"/>
                      </w:rPr>
                      <w:delText>w</w:delText>
                    </w:r>
                  </w:del>
                  <w:r w:rsidRPr="00817F44">
                    <w:rPr>
                      <w:rFonts w:cs="Arial"/>
                      <w:color w:val="000000"/>
                      <w:szCs w:val="24"/>
                      <w:lang w:eastAsia="en-IE" w:bidi="ar-SA"/>
                    </w:rPr>
                    <w:t xml:space="preserve">hole </w:t>
                  </w:r>
                  <w:ins w:id="238" w:author="Author">
                    <w:r w:rsidRPr="00817F44">
                      <w:rPr>
                        <w:rFonts w:cs="Arial"/>
                        <w:color w:val="000000"/>
                        <w:szCs w:val="24"/>
                        <w:lang w:eastAsia="en-IE" w:bidi="ar-SA"/>
                      </w:rPr>
                      <w:t>P</w:t>
                    </w:r>
                  </w:ins>
                  <w:del w:id="239" w:author="Author">
                    <w:r w:rsidRPr="00817F44" w:rsidDel="002D4CBF">
                      <w:rPr>
                        <w:rFonts w:cs="Arial"/>
                        <w:color w:val="000000"/>
                        <w:szCs w:val="24"/>
                        <w:lang w:eastAsia="en-IE" w:bidi="ar-SA"/>
                      </w:rPr>
                      <w:delText>p</w:delText>
                    </w:r>
                  </w:del>
                  <w:r w:rsidRPr="00817F44">
                    <w:rPr>
                      <w:rFonts w:cs="Arial"/>
                      <w:color w:val="000000"/>
                      <w:szCs w:val="24"/>
                      <w:lang w:eastAsia="en-IE" w:bidi="ar-SA"/>
                    </w:rPr>
                    <w:t xml:space="preserve">ayment which is a payment for a Generator Unit, u, where No Load Costs have been incurred in an Imbalance Settlement Period, </w:t>
                  </w:r>
                  <w:r w:rsidRPr="00817F44">
                    <w:rPr>
                      <w:rFonts w:cs="Arial"/>
                      <w:color w:val="000000"/>
                      <w:szCs w:val="24"/>
                      <w:lang w:eastAsia="en-IE" w:bidi="ar-SA"/>
                    </w:rPr>
                    <w:lastRenderedPageBreak/>
                    <w:t>γ.</w:t>
                  </w:r>
                </w:p>
              </w:tc>
              <w:tc>
                <w:tcPr>
                  <w:tcW w:w="533" w:type="pct"/>
                </w:tcPr>
                <w:p w:rsidR="00817F44" w:rsidRPr="00817F44" w:rsidRDefault="00817F44" w:rsidP="00817F44">
                  <w:pPr>
                    <w:spacing w:before="120" w:after="120" w:line="288" w:lineRule="auto"/>
                    <w:jc w:val="both"/>
                    <w:rPr>
                      <w:rFonts w:cs="Arial"/>
                      <w:lang w:bidi="ar-SA"/>
                    </w:rPr>
                  </w:pPr>
                  <w:r w:rsidRPr="00817F44">
                    <w:rPr>
                      <w:rFonts w:cs="Arial"/>
                      <w:lang w:bidi="ar-SA"/>
                    </w:rPr>
                    <w:lastRenderedPageBreak/>
                    <w:t>€/hr</w:t>
                  </w:r>
                </w:p>
              </w:tc>
            </w:tr>
          </w:tbl>
          <w:p w:rsidR="00817F44" w:rsidRPr="00817F44" w:rsidRDefault="00817F44" w:rsidP="00817F44">
            <w:pPr>
              <w:overflowPunct w:val="0"/>
              <w:autoSpaceDE w:val="0"/>
              <w:autoSpaceDN w:val="0"/>
              <w:adjustRightInd w:val="0"/>
              <w:spacing w:before="0" w:after="0" w:line="480" w:lineRule="auto"/>
              <w:textAlignment w:val="baseline"/>
              <w:rPr>
                <w:rFonts w:cs="Arial"/>
                <w:lang w:val="en-IE" w:eastAsia="en-GB" w:bidi="ar-SA"/>
              </w:rPr>
            </w:pPr>
          </w:p>
          <w:tbl>
            <w:tblPr>
              <w:tblStyle w:val="TableGrid"/>
              <w:tblW w:w="5000" w:type="pct"/>
              <w:tblLayout w:type="fixed"/>
              <w:tblLook w:val="04A0"/>
            </w:tblPr>
            <w:tblGrid>
              <w:gridCol w:w="1260"/>
              <w:gridCol w:w="2634"/>
              <w:gridCol w:w="1754"/>
              <w:gridCol w:w="2860"/>
              <w:gridCol w:w="1013"/>
            </w:tblGrid>
            <w:tr w:rsidR="00817F44" w:rsidRPr="00817F44" w:rsidTr="002F5B27">
              <w:tc>
                <w:tcPr>
                  <w:tcW w:w="66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Variable</w:t>
                  </w:r>
                </w:p>
              </w:tc>
              <w:tc>
                <w:tcPr>
                  <w:tcW w:w="1383" w:type="pct"/>
                </w:tcPr>
                <w:p w:rsidR="00817F44" w:rsidRPr="00817F44" w:rsidRDefault="00817F44" w:rsidP="00817F44">
                  <w:pPr>
                    <w:spacing w:before="120" w:after="120" w:line="288" w:lineRule="auto"/>
                    <w:jc w:val="both"/>
                    <w:rPr>
                      <w:rFonts w:cs="Arial"/>
                      <w:color w:val="000000"/>
                      <w:szCs w:val="24"/>
                      <w:vertAlign w:val="subscript"/>
                      <w:lang w:eastAsia="en-IE" w:bidi="ar-SA"/>
                    </w:rPr>
                  </w:pPr>
                  <w:r w:rsidRPr="00817F44">
                    <w:rPr>
                      <w:rFonts w:cs="Arial"/>
                      <w:color w:val="000000"/>
                      <w:szCs w:val="24"/>
                      <w:lang w:eastAsia="en-IE" w:bidi="ar-SA"/>
                    </w:rPr>
                    <w:t>COCMWP</w:t>
                  </w:r>
                  <w:r w:rsidRPr="00817F44">
                    <w:rPr>
                      <w:rFonts w:cs="Arial"/>
                      <w:color w:val="000000"/>
                      <w:szCs w:val="24"/>
                      <w:vertAlign w:val="subscript"/>
                      <w:lang w:eastAsia="en-IE" w:bidi="ar-SA"/>
                    </w:rPr>
                    <w:t>uk</w:t>
                  </w:r>
                </w:p>
              </w:tc>
              <w:tc>
                <w:tcPr>
                  <w:tcW w:w="921"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Make-Whole Payment Operating Cost</w:t>
                  </w:r>
                </w:p>
              </w:tc>
              <w:tc>
                <w:tcPr>
                  <w:tcW w:w="150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 xml:space="preserve">The component of the </w:t>
                  </w:r>
                  <w:ins w:id="240" w:author="Author">
                    <w:r w:rsidRPr="00817F44">
                      <w:rPr>
                        <w:rFonts w:cs="Arial"/>
                        <w:color w:val="000000"/>
                        <w:szCs w:val="24"/>
                        <w:lang w:eastAsia="en-IE" w:bidi="ar-SA"/>
                      </w:rPr>
                      <w:t>M</w:t>
                    </w:r>
                  </w:ins>
                  <w:del w:id="241" w:author="Author">
                    <w:r w:rsidRPr="00817F44" w:rsidDel="002D4CBF">
                      <w:rPr>
                        <w:rFonts w:cs="Arial"/>
                        <w:color w:val="000000"/>
                        <w:szCs w:val="24"/>
                        <w:lang w:eastAsia="en-IE" w:bidi="ar-SA"/>
                      </w:rPr>
                      <w:delText>m</w:delText>
                    </w:r>
                  </w:del>
                  <w:r w:rsidRPr="00817F44">
                    <w:rPr>
                      <w:rFonts w:cs="Arial"/>
                      <w:color w:val="000000"/>
                      <w:szCs w:val="24"/>
                      <w:lang w:eastAsia="en-IE" w:bidi="ar-SA"/>
                    </w:rPr>
                    <w:t>ake-</w:t>
                  </w:r>
                  <w:ins w:id="242" w:author="Author">
                    <w:r w:rsidRPr="00817F44">
                      <w:rPr>
                        <w:rFonts w:cs="Arial"/>
                        <w:color w:val="000000"/>
                        <w:szCs w:val="24"/>
                        <w:lang w:eastAsia="en-IE" w:bidi="ar-SA"/>
                      </w:rPr>
                      <w:t>W</w:t>
                    </w:r>
                  </w:ins>
                  <w:del w:id="243" w:author="Author">
                    <w:r w:rsidRPr="00817F44" w:rsidDel="002D4CBF">
                      <w:rPr>
                        <w:rFonts w:cs="Arial"/>
                        <w:color w:val="000000"/>
                        <w:szCs w:val="24"/>
                        <w:lang w:eastAsia="en-IE" w:bidi="ar-SA"/>
                      </w:rPr>
                      <w:delText>w</w:delText>
                    </w:r>
                  </w:del>
                  <w:r w:rsidRPr="00817F44">
                    <w:rPr>
                      <w:rFonts w:cs="Arial"/>
                      <w:color w:val="000000"/>
                      <w:szCs w:val="24"/>
                      <w:lang w:eastAsia="en-IE" w:bidi="ar-SA"/>
                    </w:rPr>
                    <w:t xml:space="preserve">hole </w:t>
                  </w:r>
                  <w:ins w:id="244" w:author="Author">
                    <w:r w:rsidRPr="00817F44">
                      <w:rPr>
                        <w:rFonts w:cs="Arial"/>
                        <w:color w:val="000000"/>
                        <w:szCs w:val="24"/>
                        <w:lang w:eastAsia="en-IE" w:bidi="ar-SA"/>
                      </w:rPr>
                      <w:t>P</w:t>
                    </w:r>
                  </w:ins>
                  <w:del w:id="245" w:author="Author">
                    <w:r w:rsidRPr="00817F44" w:rsidDel="002D4CBF">
                      <w:rPr>
                        <w:rFonts w:cs="Arial"/>
                        <w:color w:val="000000"/>
                        <w:szCs w:val="24"/>
                        <w:lang w:eastAsia="en-IE" w:bidi="ar-SA"/>
                      </w:rPr>
                      <w:delText>p</w:delText>
                    </w:r>
                  </w:del>
                  <w:r w:rsidRPr="00817F44">
                    <w:rPr>
                      <w:rFonts w:cs="Arial"/>
                      <w:color w:val="000000"/>
                      <w:szCs w:val="24"/>
                      <w:lang w:eastAsia="en-IE" w:bidi="ar-SA"/>
                    </w:rPr>
                    <w:t xml:space="preserve">ayment which is a summation of all operating costs incurred by a Generator Unit, u, where </w:t>
                  </w:r>
                  <w:r w:rsidRPr="00817F44">
                    <w:rPr>
                      <w:rFonts w:cs="Arial"/>
                      <w:lang w:bidi="ar-SA"/>
                    </w:rPr>
                    <w:t>as a result of a Dispatch Instruction the Unit is dispatched differently to its Final Physical Notification,</w:t>
                  </w:r>
                  <w:r w:rsidRPr="00817F44">
                    <w:rPr>
                      <w:rFonts w:cs="Arial"/>
                      <w:color w:val="000000"/>
                      <w:szCs w:val="24"/>
                      <w:lang w:eastAsia="en-IE" w:bidi="ar-SA"/>
                    </w:rPr>
                    <w:t xml:space="preserve"> determined through the Commercial Offer Data submitted by the Participant, in a Contiguous Operation Period, k.</w:t>
                  </w:r>
                </w:p>
              </w:tc>
              <w:tc>
                <w:tcPr>
                  <w:tcW w:w="533" w:type="pct"/>
                </w:tcPr>
                <w:p w:rsidR="00817F44" w:rsidRPr="00817F44" w:rsidRDefault="00817F44" w:rsidP="00817F44">
                  <w:pPr>
                    <w:spacing w:before="120" w:after="120" w:line="288" w:lineRule="auto"/>
                    <w:jc w:val="both"/>
                    <w:rPr>
                      <w:rFonts w:cs="Arial"/>
                      <w:lang w:bidi="ar-SA"/>
                    </w:rPr>
                  </w:pPr>
                  <w:r w:rsidRPr="00817F44">
                    <w:rPr>
                      <w:rFonts w:cs="Arial"/>
                      <w:lang w:bidi="ar-SA"/>
                    </w:rPr>
                    <w:t>€</w:t>
                  </w:r>
                </w:p>
              </w:tc>
            </w:tr>
          </w:tbl>
          <w:p w:rsidR="00817F44" w:rsidRPr="00817F44" w:rsidRDefault="00817F44" w:rsidP="00817F44">
            <w:pPr>
              <w:overflowPunct w:val="0"/>
              <w:autoSpaceDE w:val="0"/>
              <w:autoSpaceDN w:val="0"/>
              <w:adjustRightInd w:val="0"/>
              <w:spacing w:before="0" w:after="0" w:line="480" w:lineRule="auto"/>
              <w:textAlignment w:val="baseline"/>
              <w:rPr>
                <w:rFonts w:cs="Arial"/>
                <w:lang w:val="en-IE" w:eastAsia="en-GB" w:bidi="ar-SA"/>
              </w:rPr>
            </w:pPr>
          </w:p>
          <w:tbl>
            <w:tblPr>
              <w:tblStyle w:val="TableGrid"/>
              <w:tblW w:w="5000" w:type="pct"/>
              <w:tblLayout w:type="fixed"/>
              <w:tblLook w:val="04A0"/>
            </w:tblPr>
            <w:tblGrid>
              <w:gridCol w:w="1260"/>
              <w:gridCol w:w="2634"/>
              <w:gridCol w:w="1754"/>
              <w:gridCol w:w="2860"/>
              <w:gridCol w:w="1013"/>
            </w:tblGrid>
            <w:tr w:rsidR="00817F44" w:rsidRPr="00817F44" w:rsidTr="002F5B27">
              <w:tc>
                <w:tcPr>
                  <w:tcW w:w="66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Variable</w:t>
                  </w:r>
                </w:p>
              </w:tc>
              <w:tc>
                <w:tcPr>
                  <w:tcW w:w="1383" w:type="pct"/>
                </w:tcPr>
                <w:p w:rsidR="00817F44" w:rsidRPr="00817F44" w:rsidRDefault="00817F44" w:rsidP="00817F44">
                  <w:pPr>
                    <w:spacing w:before="120" w:after="120" w:line="288" w:lineRule="auto"/>
                    <w:jc w:val="both"/>
                    <w:rPr>
                      <w:rFonts w:cs="Arial"/>
                      <w:color w:val="000000"/>
                      <w:szCs w:val="24"/>
                      <w:vertAlign w:val="subscript"/>
                      <w:lang w:eastAsia="en-IE" w:bidi="ar-SA"/>
                    </w:rPr>
                  </w:pPr>
                  <w:r w:rsidRPr="00817F44">
                    <w:rPr>
                      <w:rFonts w:cs="Arial"/>
                      <w:color w:val="000000"/>
                      <w:szCs w:val="24"/>
                      <w:lang w:eastAsia="en-IE" w:bidi="ar-SA"/>
                    </w:rPr>
                    <w:t>CREVMWP</w:t>
                  </w:r>
                  <w:r w:rsidRPr="00817F44">
                    <w:rPr>
                      <w:rFonts w:cs="Arial"/>
                      <w:color w:val="000000"/>
                      <w:szCs w:val="24"/>
                      <w:vertAlign w:val="subscript"/>
                      <w:lang w:eastAsia="en-IE" w:bidi="ar-SA"/>
                    </w:rPr>
                    <w:t>uk</w:t>
                  </w:r>
                </w:p>
              </w:tc>
              <w:tc>
                <w:tcPr>
                  <w:tcW w:w="921"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Make-Whole Payment Revenue</w:t>
                  </w:r>
                </w:p>
              </w:tc>
              <w:tc>
                <w:tcPr>
                  <w:tcW w:w="150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 xml:space="preserve">The component of the </w:t>
                  </w:r>
                  <w:ins w:id="246" w:author="Author">
                    <w:r w:rsidRPr="00817F44">
                      <w:rPr>
                        <w:rFonts w:cs="Arial"/>
                        <w:color w:val="000000"/>
                        <w:szCs w:val="24"/>
                        <w:lang w:eastAsia="en-IE" w:bidi="ar-SA"/>
                      </w:rPr>
                      <w:t>M</w:t>
                    </w:r>
                  </w:ins>
                  <w:del w:id="247" w:author="Author">
                    <w:r w:rsidRPr="00817F44" w:rsidDel="002D4CBF">
                      <w:rPr>
                        <w:rFonts w:cs="Arial"/>
                        <w:color w:val="000000"/>
                        <w:szCs w:val="24"/>
                        <w:lang w:eastAsia="en-IE" w:bidi="ar-SA"/>
                      </w:rPr>
                      <w:delText>m</w:delText>
                    </w:r>
                  </w:del>
                  <w:r w:rsidRPr="00817F44">
                    <w:rPr>
                      <w:rFonts w:cs="Arial"/>
                      <w:color w:val="000000"/>
                      <w:szCs w:val="24"/>
                      <w:lang w:eastAsia="en-IE" w:bidi="ar-SA"/>
                    </w:rPr>
                    <w:t>ake-</w:t>
                  </w:r>
                  <w:ins w:id="248" w:author="Author">
                    <w:r w:rsidRPr="00817F44">
                      <w:rPr>
                        <w:rFonts w:cs="Arial"/>
                        <w:color w:val="000000"/>
                        <w:szCs w:val="24"/>
                        <w:lang w:eastAsia="en-IE" w:bidi="ar-SA"/>
                      </w:rPr>
                      <w:t>W</w:t>
                    </w:r>
                  </w:ins>
                  <w:del w:id="249" w:author="Author">
                    <w:r w:rsidRPr="00817F44" w:rsidDel="002D4CBF">
                      <w:rPr>
                        <w:rFonts w:cs="Arial"/>
                        <w:color w:val="000000"/>
                        <w:szCs w:val="24"/>
                        <w:lang w:eastAsia="en-IE" w:bidi="ar-SA"/>
                      </w:rPr>
                      <w:delText>w</w:delText>
                    </w:r>
                  </w:del>
                  <w:r w:rsidRPr="00817F44">
                    <w:rPr>
                      <w:rFonts w:cs="Arial"/>
                      <w:color w:val="000000"/>
                      <w:szCs w:val="24"/>
                      <w:lang w:eastAsia="en-IE" w:bidi="ar-SA"/>
                    </w:rPr>
                    <w:t xml:space="preserve">hole </w:t>
                  </w:r>
                  <w:ins w:id="250" w:author="Author">
                    <w:r w:rsidRPr="00817F44">
                      <w:rPr>
                        <w:rFonts w:cs="Arial"/>
                        <w:color w:val="000000"/>
                        <w:szCs w:val="24"/>
                        <w:lang w:eastAsia="en-IE" w:bidi="ar-SA"/>
                      </w:rPr>
                      <w:t>P</w:t>
                    </w:r>
                  </w:ins>
                  <w:del w:id="251" w:author="Author">
                    <w:r w:rsidRPr="00817F44" w:rsidDel="002D4CBF">
                      <w:rPr>
                        <w:rFonts w:cs="Arial"/>
                        <w:color w:val="000000"/>
                        <w:szCs w:val="24"/>
                        <w:lang w:eastAsia="en-IE" w:bidi="ar-SA"/>
                      </w:rPr>
                      <w:delText>p</w:delText>
                    </w:r>
                  </w:del>
                  <w:r w:rsidRPr="00817F44">
                    <w:rPr>
                      <w:rFonts w:cs="Arial"/>
                      <w:color w:val="000000"/>
                      <w:szCs w:val="24"/>
                      <w:lang w:eastAsia="en-IE" w:bidi="ar-SA"/>
                    </w:rPr>
                    <w:t xml:space="preserve">ayment which is a summation of all revenues relevant to a Generator Unit, u, where </w:t>
                  </w:r>
                  <w:r w:rsidRPr="00817F44">
                    <w:rPr>
                      <w:rFonts w:cs="Arial"/>
                      <w:lang w:bidi="ar-SA"/>
                    </w:rPr>
                    <w:t>as a result of a Dispatch Instruction the Unit is dispatched differently to its Final Physical Notification,</w:t>
                  </w:r>
                  <w:r w:rsidRPr="00817F44">
                    <w:rPr>
                      <w:rFonts w:cs="Arial"/>
                      <w:color w:val="000000"/>
                      <w:szCs w:val="24"/>
                      <w:lang w:eastAsia="en-IE" w:bidi="ar-SA"/>
                    </w:rPr>
                    <w:t xml:space="preserve"> in a Contiguous Operation Period, k.</w:t>
                  </w:r>
                </w:p>
              </w:tc>
              <w:tc>
                <w:tcPr>
                  <w:tcW w:w="533" w:type="pct"/>
                </w:tcPr>
                <w:p w:rsidR="00817F44" w:rsidRPr="00817F44" w:rsidRDefault="00817F44" w:rsidP="00817F44">
                  <w:pPr>
                    <w:spacing w:before="120" w:after="120" w:line="288" w:lineRule="auto"/>
                    <w:jc w:val="both"/>
                    <w:rPr>
                      <w:rFonts w:cs="Arial"/>
                      <w:lang w:bidi="ar-SA"/>
                    </w:rPr>
                  </w:pPr>
                  <w:r w:rsidRPr="00817F44">
                    <w:rPr>
                      <w:rFonts w:cs="Arial"/>
                      <w:lang w:bidi="ar-SA"/>
                    </w:rPr>
                    <w:t>€</w:t>
                  </w:r>
                </w:p>
              </w:tc>
            </w:tr>
          </w:tbl>
          <w:p w:rsidR="00817F44" w:rsidRPr="00817F44" w:rsidRDefault="00817F44" w:rsidP="00817F44">
            <w:pPr>
              <w:overflowPunct w:val="0"/>
              <w:autoSpaceDE w:val="0"/>
              <w:autoSpaceDN w:val="0"/>
              <w:adjustRightInd w:val="0"/>
              <w:spacing w:before="0" w:after="0" w:line="480" w:lineRule="auto"/>
              <w:textAlignment w:val="baseline"/>
              <w:rPr>
                <w:rFonts w:cs="Arial"/>
                <w:lang w:val="en-IE" w:eastAsia="en-GB" w:bidi="ar-SA"/>
              </w:rPr>
            </w:pPr>
          </w:p>
          <w:tbl>
            <w:tblPr>
              <w:tblStyle w:val="TableGrid"/>
              <w:tblW w:w="5000" w:type="pct"/>
              <w:tblLayout w:type="fixed"/>
              <w:tblLook w:val="04A0"/>
            </w:tblPr>
            <w:tblGrid>
              <w:gridCol w:w="1260"/>
              <w:gridCol w:w="2634"/>
              <w:gridCol w:w="1754"/>
              <w:gridCol w:w="2860"/>
              <w:gridCol w:w="1013"/>
            </w:tblGrid>
            <w:tr w:rsidR="00817F44" w:rsidRPr="00817F44" w:rsidTr="002F5B27">
              <w:tc>
                <w:tcPr>
                  <w:tcW w:w="66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Variable</w:t>
                  </w:r>
                </w:p>
              </w:tc>
              <w:tc>
                <w:tcPr>
                  <w:tcW w:w="1383" w:type="pct"/>
                </w:tcPr>
                <w:p w:rsidR="00817F44" w:rsidRPr="00817F44" w:rsidRDefault="00817F44" w:rsidP="00817F44">
                  <w:pPr>
                    <w:spacing w:before="120" w:after="120" w:line="288" w:lineRule="auto"/>
                    <w:jc w:val="both"/>
                    <w:rPr>
                      <w:rFonts w:cs="Arial"/>
                      <w:color w:val="000000"/>
                      <w:szCs w:val="24"/>
                      <w:vertAlign w:val="subscript"/>
                      <w:lang w:eastAsia="en-IE" w:bidi="ar-SA"/>
                    </w:rPr>
                  </w:pPr>
                  <w:r w:rsidRPr="00817F44">
                    <w:rPr>
                      <w:rFonts w:cs="Arial"/>
                      <w:color w:val="000000"/>
                      <w:szCs w:val="24"/>
                      <w:lang w:eastAsia="en-IE" w:bidi="ar-SA"/>
                    </w:rPr>
                    <w:t>CSD</w:t>
                  </w:r>
                  <w:r w:rsidRPr="00817F44">
                    <w:rPr>
                      <w:rFonts w:cs="Arial"/>
                      <w:color w:val="000000"/>
                      <w:szCs w:val="24"/>
                      <w:vertAlign w:val="subscript"/>
                      <w:lang w:eastAsia="en-IE" w:bidi="ar-SA"/>
                    </w:rPr>
                    <w:t>uγ</w:t>
                  </w:r>
                </w:p>
              </w:tc>
              <w:tc>
                <w:tcPr>
                  <w:tcW w:w="921"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Shut Down Costs</w:t>
                  </w:r>
                </w:p>
              </w:tc>
              <w:tc>
                <w:tcPr>
                  <w:tcW w:w="150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 xml:space="preserve">The component of the operational costs considered for the </w:t>
                  </w:r>
                  <w:ins w:id="252" w:author="Author">
                    <w:r w:rsidRPr="00817F44">
                      <w:rPr>
                        <w:rFonts w:cs="Arial"/>
                        <w:color w:val="000000"/>
                        <w:szCs w:val="24"/>
                        <w:lang w:eastAsia="en-IE" w:bidi="ar-SA"/>
                      </w:rPr>
                      <w:t>M</w:t>
                    </w:r>
                  </w:ins>
                  <w:del w:id="253" w:author="Author">
                    <w:r w:rsidRPr="00817F44" w:rsidDel="002D4CBF">
                      <w:rPr>
                        <w:rFonts w:cs="Arial"/>
                        <w:color w:val="000000"/>
                        <w:szCs w:val="24"/>
                        <w:lang w:eastAsia="en-IE" w:bidi="ar-SA"/>
                      </w:rPr>
                      <w:delText>m</w:delText>
                    </w:r>
                  </w:del>
                  <w:r w:rsidRPr="00817F44">
                    <w:rPr>
                      <w:rFonts w:cs="Arial"/>
                      <w:color w:val="000000"/>
                      <w:szCs w:val="24"/>
                      <w:lang w:eastAsia="en-IE" w:bidi="ar-SA"/>
                    </w:rPr>
                    <w:t>ake-</w:t>
                  </w:r>
                  <w:ins w:id="254" w:author="Author">
                    <w:r w:rsidRPr="00817F44">
                      <w:rPr>
                        <w:rFonts w:cs="Arial"/>
                        <w:color w:val="000000"/>
                        <w:szCs w:val="24"/>
                        <w:lang w:eastAsia="en-IE" w:bidi="ar-SA"/>
                      </w:rPr>
                      <w:t>W</w:t>
                    </w:r>
                  </w:ins>
                  <w:del w:id="255" w:author="Author">
                    <w:r w:rsidRPr="00817F44" w:rsidDel="002D4CBF">
                      <w:rPr>
                        <w:rFonts w:cs="Arial"/>
                        <w:color w:val="000000"/>
                        <w:szCs w:val="24"/>
                        <w:lang w:eastAsia="en-IE" w:bidi="ar-SA"/>
                      </w:rPr>
                      <w:delText>w</w:delText>
                    </w:r>
                  </w:del>
                  <w:r w:rsidRPr="00817F44">
                    <w:rPr>
                      <w:rFonts w:cs="Arial"/>
                      <w:color w:val="000000"/>
                      <w:szCs w:val="24"/>
                      <w:lang w:eastAsia="en-IE" w:bidi="ar-SA"/>
                    </w:rPr>
                    <w:t xml:space="preserve">hole </w:t>
                  </w:r>
                  <w:ins w:id="256" w:author="Author">
                    <w:r w:rsidRPr="00817F44">
                      <w:rPr>
                        <w:rFonts w:cs="Arial"/>
                        <w:color w:val="000000"/>
                        <w:szCs w:val="24"/>
                        <w:lang w:eastAsia="en-IE" w:bidi="ar-SA"/>
                      </w:rPr>
                      <w:t>P</w:t>
                    </w:r>
                  </w:ins>
                  <w:del w:id="257" w:author="Author">
                    <w:r w:rsidRPr="00817F44" w:rsidDel="002D4CBF">
                      <w:rPr>
                        <w:rFonts w:cs="Arial"/>
                        <w:color w:val="000000"/>
                        <w:szCs w:val="24"/>
                        <w:lang w:eastAsia="en-IE" w:bidi="ar-SA"/>
                      </w:rPr>
                      <w:delText>p</w:delText>
                    </w:r>
                  </w:del>
                  <w:r w:rsidRPr="00817F44">
                    <w:rPr>
                      <w:rFonts w:cs="Arial"/>
                      <w:color w:val="000000"/>
                      <w:szCs w:val="24"/>
                      <w:lang w:eastAsia="en-IE" w:bidi="ar-SA"/>
                    </w:rPr>
                    <w:t>ayment (through its equivalency with Start Up Costs) which is a payment for a Generator Unit, u, where Shut Down Costs have been incurred in an Imbalance Settlement Period, γ.</w:t>
                  </w:r>
                </w:p>
              </w:tc>
              <w:tc>
                <w:tcPr>
                  <w:tcW w:w="533" w:type="pct"/>
                </w:tcPr>
                <w:p w:rsidR="00817F44" w:rsidRPr="00817F44" w:rsidRDefault="00817F44" w:rsidP="00817F44">
                  <w:pPr>
                    <w:spacing w:before="120" w:after="120" w:line="288" w:lineRule="auto"/>
                    <w:jc w:val="both"/>
                    <w:rPr>
                      <w:rFonts w:cs="Arial"/>
                      <w:lang w:bidi="ar-SA"/>
                    </w:rPr>
                  </w:pPr>
                  <w:r w:rsidRPr="00817F44">
                    <w:rPr>
                      <w:rFonts w:cs="Arial"/>
                      <w:lang w:bidi="ar-SA"/>
                    </w:rPr>
                    <w:t>€</w:t>
                  </w:r>
                </w:p>
              </w:tc>
            </w:tr>
          </w:tbl>
          <w:p w:rsidR="00817F44" w:rsidRPr="00817F44" w:rsidRDefault="00817F44" w:rsidP="00817F44">
            <w:pPr>
              <w:overflowPunct w:val="0"/>
              <w:autoSpaceDE w:val="0"/>
              <w:autoSpaceDN w:val="0"/>
              <w:adjustRightInd w:val="0"/>
              <w:spacing w:before="0" w:after="0" w:line="480" w:lineRule="auto"/>
              <w:textAlignment w:val="baseline"/>
              <w:rPr>
                <w:rFonts w:cs="Arial"/>
                <w:lang w:val="en-IE" w:eastAsia="en-GB" w:bidi="ar-SA"/>
              </w:rPr>
            </w:pPr>
          </w:p>
          <w:p w:rsidR="00817F44" w:rsidRPr="00817F44" w:rsidRDefault="00817F44" w:rsidP="00817F44">
            <w:pPr>
              <w:overflowPunct w:val="0"/>
              <w:autoSpaceDE w:val="0"/>
              <w:autoSpaceDN w:val="0"/>
              <w:adjustRightInd w:val="0"/>
              <w:spacing w:before="0" w:after="0" w:line="480" w:lineRule="auto"/>
              <w:textAlignment w:val="baseline"/>
              <w:rPr>
                <w:rFonts w:cs="Arial"/>
                <w:b/>
                <w:u w:val="single"/>
                <w:lang w:val="en-IE" w:eastAsia="en-GB" w:bidi="ar-SA"/>
              </w:rPr>
            </w:pPr>
            <w:r w:rsidRPr="00817F44">
              <w:rPr>
                <w:rFonts w:cs="Arial"/>
                <w:b/>
                <w:u w:val="single"/>
                <w:lang w:val="en-IE" w:eastAsia="en-GB" w:bidi="ar-SA"/>
              </w:rPr>
              <w:t>4)</w:t>
            </w:r>
          </w:p>
          <w:tbl>
            <w:tblPr>
              <w:tblStyle w:val="TableGrid"/>
              <w:tblW w:w="5000" w:type="pct"/>
              <w:tblLayout w:type="fixed"/>
              <w:tblLook w:val="04A0"/>
            </w:tblPr>
            <w:tblGrid>
              <w:gridCol w:w="1260"/>
              <w:gridCol w:w="2634"/>
              <w:gridCol w:w="1754"/>
              <w:gridCol w:w="2860"/>
              <w:gridCol w:w="1013"/>
            </w:tblGrid>
            <w:tr w:rsidR="00817F44" w:rsidRPr="00817F44" w:rsidTr="002F5B27">
              <w:tc>
                <w:tcPr>
                  <w:tcW w:w="66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lastRenderedPageBreak/>
                    <w:t>Variable</w:t>
                  </w:r>
                </w:p>
              </w:tc>
              <w:tc>
                <w:tcPr>
                  <w:tcW w:w="1383" w:type="pct"/>
                </w:tcPr>
                <w:p w:rsidR="00817F44" w:rsidRPr="00817F44" w:rsidRDefault="00817F44" w:rsidP="00817F44">
                  <w:pPr>
                    <w:spacing w:before="120" w:after="120" w:line="288" w:lineRule="auto"/>
                    <w:jc w:val="both"/>
                    <w:rPr>
                      <w:rFonts w:cs="Arial"/>
                      <w:color w:val="000000"/>
                      <w:szCs w:val="24"/>
                      <w:vertAlign w:val="subscript"/>
                      <w:lang w:eastAsia="en-IE" w:bidi="ar-SA"/>
                    </w:rPr>
                  </w:pPr>
                  <w:r w:rsidRPr="00817F44">
                    <w:rPr>
                      <w:rFonts w:cs="Arial"/>
                      <w:color w:val="000000"/>
                      <w:szCs w:val="24"/>
                      <w:lang w:eastAsia="en-IE" w:bidi="ar-SA"/>
                    </w:rPr>
                    <w:t>FNDDS</w:t>
                  </w:r>
                  <w:r w:rsidRPr="00817F44">
                    <w:rPr>
                      <w:rFonts w:cs="Arial"/>
                      <w:color w:val="000000"/>
                      <w:szCs w:val="24"/>
                      <w:vertAlign w:val="subscript"/>
                      <w:lang w:eastAsia="en-IE" w:bidi="ar-SA"/>
                    </w:rPr>
                    <w:t>Ωγ</w:t>
                  </w:r>
                </w:p>
              </w:tc>
              <w:tc>
                <w:tcPr>
                  <w:tcW w:w="921"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Demand Side Non-Delivery Percentage</w:t>
                  </w:r>
                </w:p>
              </w:tc>
              <w:tc>
                <w:tcPr>
                  <w:tcW w:w="1502" w:type="pct"/>
                </w:tcPr>
                <w:p w:rsidR="00817F44" w:rsidRPr="00817F44" w:rsidRDefault="00817F44" w:rsidP="00817F44">
                  <w:pPr>
                    <w:spacing w:before="120" w:after="120" w:line="288" w:lineRule="auto"/>
                    <w:jc w:val="both"/>
                    <w:rPr>
                      <w:rFonts w:cs="Arial"/>
                      <w:color w:val="000000"/>
                      <w:szCs w:val="24"/>
                      <w:lang w:eastAsia="en-IE" w:bidi="ar-SA"/>
                    </w:rPr>
                  </w:pPr>
                  <w:r w:rsidRPr="00817F44">
                    <w:rPr>
                      <w:rFonts w:cs="Arial"/>
                      <w:color w:val="000000"/>
                      <w:szCs w:val="24"/>
                      <w:lang w:eastAsia="en-IE" w:bidi="ar-SA"/>
                    </w:rPr>
                    <w:t>The Demand Si</w:t>
                  </w:r>
                  <w:ins w:id="258" w:author="Author">
                    <w:r w:rsidRPr="00817F44">
                      <w:rPr>
                        <w:rFonts w:cs="Arial"/>
                        <w:color w:val="000000"/>
                        <w:szCs w:val="24"/>
                        <w:lang w:eastAsia="en-IE" w:bidi="ar-SA"/>
                      </w:rPr>
                      <w:t>d</w:t>
                    </w:r>
                  </w:ins>
                  <w:del w:id="259" w:author="Author">
                    <w:r w:rsidRPr="00817F44" w:rsidDel="008B299A">
                      <w:rPr>
                        <w:rFonts w:cs="Arial"/>
                        <w:color w:val="000000"/>
                        <w:szCs w:val="24"/>
                        <w:lang w:eastAsia="en-IE" w:bidi="ar-SA"/>
                      </w:rPr>
                      <w:delText>t</w:delText>
                    </w:r>
                  </w:del>
                  <w:r w:rsidRPr="00817F44">
                    <w:rPr>
                      <w:rFonts w:cs="Arial"/>
                      <w:color w:val="000000"/>
                      <w:szCs w:val="24"/>
                      <w:lang w:eastAsia="en-IE" w:bidi="ar-SA"/>
                    </w:rPr>
                    <w:t>e Non-Delivery Percentage for a Capacity Market Unit, Ω, which represents one or more Generator Units, u, that are Demand Side Units, in an Imbalance Settlement Period, γ, representing the extent to which the relevant System Operator determines that the Obligated Capacity Quantity was not delivered</w:t>
                  </w:r>
                  <w:del w:id="260" w:author="Author">
                    <w:r w:rsidRPr="00817F44" w:rsidDel="006B74D4">
                      <w:rPr>
                        <w:rFonts w:cs="Arial"/>
                        <w:color w:val="000000"/>
                        <w:szCs w:val="24"/>
                        <w:lang w:eastAsia="en-IE" w:bidi="ar-SA"/>
                      </w:rPr>
                      <w:delText xml:space="preserve"> through the Demand Side Unit’s response to a Dispatch Instruction</w:delText>
                    </w:r>
                  </w:del>
                  <w:r w:rsidRPr="00817F44">
                    <w:rPr>
                      <w:rFonts w:cs="Arial"/>
                      <w:color w:val="000000"/>
                      <w:szCs w:val="24"/>
                      <w:lang w:eastAsia="en-IE" w:bidi="ar-SA"/>
                    </w:rPr>
                    <w:t>.</w:t>
                  </w:r>
                </w:p>
              </w:tc>
              <w:tc>
                <w:tcPr>
                  <w:tcW w:w="533" w:type="pct"/>
                </w:tcPr>
                <w:p w:rsidR="00817F44" w:rsidRPr="00817F44" w:rsidRDefault="00817F44" w:rsidP="00817F44">
                  <w:pPr>
                    <w:spacing w:before="120" w:after="120" w:line="288" w:lineRule="auto"/>
                    <w:jc w:val="both"/>
                    <w:rPr>
                      <w:rFonts w:cs="Arial"/>
                      <w:lang w:bidi="ar-SA"/>
                    </w:rPr>
                  </w:pPr>
                  <w:r w:rsidRPr="00817F44">
                    <w:rPr>
                      <w:rFonts w:cs="Arial"/>
                      <w:lang w:bidi="ar-SA"/>
                    </w:rPr>
                    <w:t>Factor</w:t>
                  </w:r>
                </w:p>
              </w:tc>
            </w:tr>
          </w:tbl>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817F44">
              <w:rPr>
                <w:rFonts w:ascii="Calibri" w:hAnsi="Calibri" w:cs="Arial"/>
                <w:b/>
                <w:u w:val="single"/>
                <w:lang w:val="en-IE" w:eastAsia="en-GB" w:bidi="ar-SA"/>
              </w:rPr>
              <w:t>5)</w:t>
            </w:r>
          </w:p>
          <w:p w:rsidR="00817F44" w:rsidRPr="00817F44" w:rsidRDefault="00817F44" w:rsidP="00817F44">
            <w:pPr>
              <w:overflowPunct w:val="0"/>
              <w:autoSpaceDE w:val="0"/>
              <w:autoSpaceDN w:val="0"/>
              <w:adjustRightInd w:val="0"/>
              <w:spacing w:before="0" w:after="0" w:line="480" w:lineRule="auto"/>
              <w:textAlignment w:val="baseline"/>
              <w:rPr>
                <w:ins w:id="261" w:author="Author"/>
                <w:rFonts w:ascii="Calibri" w:hAnsi="Calibri" w:cs="Arial"/>
                <w:lang w:val="en-IE" w:eastAsia="en-GB" w:bidi="ar-SA"/>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817F44" w:rsidRPr="00817F44" w:rsidTr="002F5B27">
              <w:trPr>
                <w:cantSplit/>
                <w:ins w:id="262" w:author="Author"/>
              </w:trPr>
              <w:tc>
                <w:tcPr>
                  <w:tcW w:w="2298" w:type="dxa"/>
                </w:tcPr>
                <w:p w:rsidR="00817F44" w:rsidRPr="00817F44" w:rsidRDefault="00817F44" w:rsidP="00817F44">
                  <w:pPr>
                    <w:tabs>
                      <w:tab w:val="num" w:pos="851"/>
                    </w:tabs>
                    <w:spacing w:before="120" w:after="120" w:line="240" w:lineRule="auto"/>
                    <w:rPr>
                      <w:ins w:id="263" w:author="Author"/>
                      <w:b/>
                      <w:lang w:bidi="ar-SA"/>
                    </w:rPr>
                  </w:pPr>
                  <w:ins w:id="264" w:author="Author">
                    <w:r w:rsidRPr="00817F44">
                      <w:rPr>
                        <w:b/>
                        <w:lang w:bidi="ar-SA"/>
                      </w:rPr>
                      <w:t>Settlement Report</w:t>
                    </w:r>
                  </w:ins>
                </w:p>
              </w:tc>
              <w:tc>
                <w:tcPr>
                  <w:tcW w:w="7088" w:type="dxa"/>
                </w:tcPr>
                <w:p w:rsidR="00817F44" w:rsidRPr="00817F44" w:rsidRDefault="00817F44" w:rsidP="00817F44">
                  <w:pPr>
                    <w:tabs>
                      <w:tab w:val="num" w:pos="851"/>
                    </w:tabs>
                    <w:spacing w:before="120" w:after="120" w:line="240" w:lineRule="auto"/>
                    <w:jc w:val="both"/>
                    <w:rPr>
                      <w:ins w:id="265" w:author="Author"/>
                      <w:lang w:bidi="ar-SA"/>
                    </w:rPr>
                  </w:pPr>
                  <w:ins w:id="266" w:author="Author">
                    <w:r w:rsidRPr="00817F44">
                      <w:rPr>
                        <w:lang w:bidi="ar-SA"/>
                      </w:rPr>
                      <w:t>means a supplementary report containing the value of certain variables used to determine Settlement amounts made available to each Participant as described in Appendix G.</w:t>
                    </w:r>
                  </w:ins>
                </w:p>
              </w:tc>
            </w:tr>
          </w:tbl>
          <w:p w:rsidR="00817F44" w:rsidRPr="00817F44" w:rsidRDefault="00817F44"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p w:rsidR="00817F44" w:rsidRPr="00817F44" w:rsidRDefault="00817F44" w:rsidP="00817F44">
            <w:pPr>
              <w:overflowPunct w:val="0"/>
              <w:autoSpaceDE w:val="0"/>
              <w:autoSpaceDN w:val="0"/>
              <w:adjustRightInd w:val="0"/>
              <w:spacing w:before="0" w:after="0" w:line="480" w:lineRule="auto"/>
              <w:textAlignment w:val="baseline"/>
              <w:rPr>
                <w:ins w:id="267" w:author="Author"/>
                <w:rFonts w:ascii="Calibri" w:hAnsi="Calibri" w:cs="Arial"/>
                <w:b/>
                <w:u w:val="single"/>
                <w:lang w:val="en-IE" w:eastAsia="en-GB" w:bidi="ar-SA"/>
              </w:rPr>
            </w:pPr>
            <w:ins w:id="268" w:author="Author">
              <w:r w:rsidRPr="00817F44">
                <w:rPr>
                  <w:rFonts w:ascii="Calibri" w:hAnsi="Calibri" w:cs="Arial"/>
                  <w:b/>
                  <w:u w:val="single"/>
                  <w:lang w:val="en-IE" w:eastAsia="en-GB" w:bidi="ar-SA"/>
                </w:rPr>
                <w:t>6)</w:t>
              </w:r>
            </w:ins>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817F44" w:rsidRPr="00817F44" w:rsidTr="002F5B27">
              <w:trPr>
                <w:cantSplit/>
              </w:trPr>
              <w:tc>
                <w:tcPr>
                  <w:tcW w:w="2298" w:type="dxa"/>
                </w:tcPr>
                <w:p w:rsidR="00817F44" w:rsidRPr="00817F44" w:rsidRDefault="00817F44" w:rsidP="00817F44">
                  <w:pPr>
                    <w:tabs>
                      <w:tab w:val="num" w:pos="851"/>
                    </w:tabs>
                    <w:spacing w:before="120" w:after="120" w:line="240" w:lineRule="auto"/>
                    <w:rPr>
                      <w:b/>
                      <w:lang w:bidi="ar-SA"/>
                    </w:rPr>
                  </w:pPr>
                  <w:r w:rsidRPr="00817F44">
                    <w:rPr>
                      <w:b/>
                      <w:lang w:bidi="ar-SA"/>
                    </w:rPr>
                    <w:t>Actual Exposure</w:t>
                  </w:r>
                </w:p>
              </w:tc>
              <w:tc>
                <w:tcPr>
                  <w:tcW w:w="7088" w:type="dxa"/>
                </w:tcPr>
                <w:p w:rsidR="00817F44" w:rsidRPr="00817F44" w:rsidRDefault="00817F44" w:rsidP="00817F44">
                  <w:pPr>
                    <w:tabs>
                      <w:tab w:val="num" w:pos="851"/>
                    </w:tabs>
                    <w:spacing w:before="120" w:after="120" w:line="240" w:lineRule="auto"/>
                    <w:jc w:val="both"/>
                    <w:rPr>
                      <w:lang w:bidi="ar-SA"/>
                    </w:rPr>
                  </w:pPr>
                  <w:r w:rsidRPr="00817F44">
                    <w:rPr>
                      <w:lang w:bidi="ar-SA"/>
                    </w:rPr>
                    <w:t>means the credit exposure resulting from Settlement Documents that have been issued but not yet paid, and from amounts in Settlement Statements for which no Settlement Document has yet been issued, and is, for a Billing Period, determined under paragraph G.9.1.1</w:t>
                  </w:r>
                  <w:ins w:id="269" w:author="Author">
                    <w:r w:rsidRPr="00817F44">
                      <w:rPr>
                        <w:lang w:bidi="ar-SA"/>
                      </w:rPr>
                      <w:t>2</w:t>
                    </w:r>
                  </w:ins>
                  <w:del w:id="270" w:author="Author">
                    <w:r w:rsidRPr="00817F44" w:rsidDel="00870262">
                      <w:rPr>
                        <w:lang w:bidi="ar-SA"/>
                      </w:rPr>
                      <w:delText>4</w:delText>
                    </w:r>
                  </w:del>
                  <w:r w:rsidRPr="00817F44">
                    <w:rPr>
                      <w:lang w:bidi="ar-SA"/>
                    </w:rPr>
                    <w:t>(a)</w:t>
                  </w:r>
                  <w:r w:rsidRPr="00817F44">
                    <w:rPr>
                      <w:rFonts w:asciiTheme="minorHAnsi" w:hAnsiTheme="minorHAnsi" w:cstheme="minorHAnsi"/>
                      <w:lang w:bidi="ar-SA"/>
                    </w:rPr>
                    <w:t xml:space="preserve"> </w:t>
                  </w:r>
                  <w:r w:rsidRPr="00817F44">
                    <w:rPr>
                      <w:lang w:bidi="ar-SA"/>
                    </w:rPr>
                    <w:t>and, for a Capacity Period, determined under paragraph G.9.1.1</w:t>
                  </w:r>
                  <w:ins w:id="271" w:author="Author">
                    <w:r w:rsidRPr="00817F44">
                      <w:rPr>
                        <w:lang w:bidi="ar-SA"/>
                      </w:rPr>
                      <w:t>2</w:t>
                    </w:r>
                  </w:ins>
                  <w:del w:id="272" w:author="Author">
                    <w:r w:rsidRPr="00817F44" w:rsidDel="00870262">
                      <w:rPr>
                        <w:lang w:bidi="ar-SA"/>
                      </w:rPr>
                      <w:delText>4</w:delText>
                    </w:r>
                  </w:del>
                  <w:r w:rsidRPr="00817F44">
                    <w:rPr>
                      <w:lang w:bidi="ar-SA"/>
                    </w:rPr>
                    <w:t>(b).</w:t>
                  </w:r>
                </w:p>
              </w:tc>
            </w:tr>
          </w:tbl>
          <w:p w:rsidR="00817F44" w:rsidRPr="00817F44" w:rsidRDefault="00817F44" w:rsidP="00817F44">
            <w:pPr>
              <w:overflowPunct w:val="0"/>
              <w:autoSpaceDE w:val="0"/>
              <w:autoSpaceDN w:val="0"/>
              <w:adjustRightInd w:val="0"/>
              <w:spacing w:before="0" w:after="0" w:line="480" w:lineRule="auto"/>
              <w:textAlignment w:val="baseline"/>
              <w:rPr>
                <w:ins w:id="273" w:author="Autho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817F44" w:rsidRDefault="00817F44"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817F44">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C7516F">
              <w:rPr>
                <w:rFonts w:ascii="Calibri" w:hAnsi="Calibri" w:cs="Arial"/>
                <w:lang w:val="en-IE" w:eastAsia="en-GB" w:bidi="ar-SA"/>
              </w:rPr>
              <w:br/>
            </w:r>
          </w:p>
          <w:p w:rsidR="00C7516F" w:rsidRPr="00C7516F" w:rsidDel="00404964" w:rsidRDefault="00C7516F" w:rsidP="00817F44">
            <w:pPr>
              <w:overflowPunct w:val="0"/>
              <w:autoSpaceDE w:val="0"/>
              <w:autoSpaceDN w:val="0"/>
              <w:adjustRightInd w:val="0"/>
              <w:spacing w:before="0" w:after="0" w:line="480" w:lineRule="auto"/>
              <w:textAlignment w:val="baseline"/>
              <w:rPr>
                <w:rFonts w:ascii="Calibri" w:hAnsi="Calibri" w:cs="Arial"/>
                <w:lang w:val="en-IE" w:eastAsia="en-GB" w:bidi="ar-SA"/>
              </w:rPr>
            </w:pPr>
          </w:p>
        </w:tc>
      </w:tr>
      <w:tr w:rsidR="00C7516F" w:rsidRPr="00C7516F" w:rsidTr="00A51956">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lastRenderedPageBreak/>
              <w:t>Modification Proposal Justification</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i/>
                <w:iCs/>
                <w:lang w:val="en-IE" w:eastAsia="en-GB" w:bidi="ar-SA"/>
              </w:rPr>
              <w:t>(Clearly state the reason for the Modification</w:t>
            </w:r>
            <w:r w:rsidRPr="00C7516F">
              <w:rPr>
                <w:rFonts w:ascii="Calibri" w:hAnsi="Calibri" w:cs="Arial"/>
                <w:i/>
                <w:lang w:val="en-IE" w:bidi="ar-SA"/>
              </w:rPr>
              <w:t>)</w:t>
            </w:r>
          </w:p>
        </w:tc>
      </w:tr>
      <w:tr w:rsidR="00C7516F" w:rsidRPr="00C7516F" w:rsidTr="00A51956">
        <w:tc>
          <w:tcPr>
            <w:tcW w:w="9747" w:type="dxa"/>
            <w:gridSpan w:val="6"/>
            <w:vAlign w:val="center"/>
          </w:tcPr>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While this proposal does not materially change the approach of any of the affected clauses, it is intended to ensure that there is clarity in the Code by correcting various drafting errors and ensuring that other affected clauses reflect the design intent.</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Given the large volume of proposals being progressed at present, along with the large number of housekeeping items which also need to be addressed, it is necessary to consolidate these housekeeping items and address them in a holistic way. This is to minimise the risk of error in the context of multiple changes being required on the same section(s).</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tc>
      </w:tr>
      <w:tr w:rsidR="00C7516F" w:rsidRPr="00C7516F" w:rsidTr="00A51956">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iCs/>
                <w:lang w:val="en-IE" w:eastAsia="en-GB" w:bidi="ar-SA"/>
              </w:rPr>
            </w:pPr>
            <w:r w:rsidRPr="00C7516F">
              <w:rPr>
                <w:rFonts w:ascii="Calibri" w:hAnsi="Calibri" w:cs="Arial"/>
                <w:b/>
                <w:bCs/>
                <w:iCs/>
                <w:lang w:val="en-IE" w:eastAsia="en-GB" w:bidi="ar-SA"/>
              </w:rPr>
              <w:t>Code Objectives Furthered</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i/>
                <w:spacing w:val="-3"/>
                <w:lang w:val="en-IE" w:eastAsia="en-GB" w:bidi="ar-SA"/>
              </w:rPr>
              <w:t>(State</w:t>
            </w:r>
            <w:r w:rsidRPr="00C7516F">
              <w:rPr>
                <w:rFonts w:ascii="Calibri" w:hAnsi="Calibri" w:cs="Arial"/>
                <w:i/>
                <w:iCs/>
                <w:lang w:val="en-IE" w:eastAsia="en-GB" w:bidi="ar-SA"/>
              </w:rPr>
              <w:t xml:space="preserve"> the Code Objectives the Proposal furthers, see Section 1.3 of T&amp;SC for Code Objectives)</w:t>
            </w:r>
          </w:p>
        </w:tc>
      </w:tr>
      <w:tr w:rsidR="00C7516F" w:rsidRPr="00C7516F" w:rsidTr="00A51956">
        <w:tc>
          <w:tcPr>
            <w:tcW w:w="9747" w:type="dxa"/>
            <w:gridSpan w:val="6"/>
            <w:vAlign w:val="center"/>
          </w:tcPr>
          <w:p w:rsidR="00C7516F" w:rsidRPr="00C7516F" w:rsidRDefault="00C7516F" w:rsidP="00C7516F">
            <w:pPr>
              <w:overflowPunct w:val="0"/>
              <w:autoSpaceDE w:val="0"/>
              <w:autoSpaceDN w:val="0"/>
              <w:adjustRightInd w:val="0"/>
              <w:spacing w:before="0" w:after="0" w:line="480" w:lineRule="auto"/>
              <w:textAlignment w:val="baseline"/>
              <w:rPr>
                <w:rFonts w:ascii="Calibri" w:hAnsi="Calibri" w:cs="Arial"/>
                <w:lang w:val="en-IE" w:eastAsia="en-GB" w:bidi="ar-SA"/>
              </w:rPr>
            </w:pPr>
          </w:p>
          <w:p w:rsidR="00C7516F" w:rsidRPr="00C7516F" w:rsidRDefault="00C7516F" w:rsidP="00C7516F">
            <w:pPr>
              <w:numPr>
                <w:ilvl w:val="4"/>
                <w:numId w:val="0"/>
              </w:numPr>
              <w:spacing w:before="120" w:after="120" w:line="240" w:lineRule="auto"/>
              <w:ind w:left="1701" w:hanging="709"/>
              <w:jc w:val="both"/>
              <w:rPr>
                <w:rFonts w:eastAsiaTheme="minorEastAsia"/>
                <w:sz w:val="22"/>
                <w:szCs w:val="22"/>
                <w:lang w:val="en-IE" w:bidi="ar-SA"/>
              </w:rPr>
            </w:pPr>
            <w:r w:rsidRPr="00C7516F">
              <w:rPr>
                <w:rFonts w:eastAsiaTheme="minorEastAsia"/>
                <w:sz w:val="22"/>
                <w:szCs w:val="22"/>
                <w:lang w:val="en-IE" w:bidi="ar-SA"/>
              </w:rPr>
              <w:t xml:space="preserve">to provide transparency in the operation of the Single Electricity Market; </w:t>
            </w:r>
          </w:p>
          <w:p w:rsidR="00C7516F" w:rsidRPr="00C7516F" w:rsidRDefault="00C7516F" w:rsidP="00C7516F">
            <w:pPr>
              <w:overflowPunct w:val="0"/>
              <w:autoSpaceDE w:val="0"/>
              <w:autoSpaceDN w:val="0"/>
              <w:adjustRightInd w:val="0"/>
              <w:spacing w:before="0" w:after="0" w:line="480" w:lineRule="auto"/>
              <w:textAlignment w:val="baseline"/>
              <w:rPr>
                <w:rFonts w:ascii="Calibri" w:hAnsi="Calibri" w:cs="Arial"/>
                <w:lang w:val="en-IE" w:eastAsia="en-GB" w:bidi="ar-SA"/>
              </w:rPr>
            </w:pPr>
          </w:p>
        </w:tc>
      </w:tr>
      <w:tr w:rsidR="00C7516F" w:rsidRPr="00C7516F" w:rsidTr="00A51956">
        <w:tc>
          <w:tcPr>
            <w:tcW w:w="9747" w:type="dxa"/>
            <w:gridSpan w:val="6"/>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b/>
                <w:bCs/>
                <w:lang w:val="en-IE" w:eastAsia="en-GB" w:bidi="ar-SA"/>
              </w:rPr>
              <w:t>Implication of not implementing the Modification Proposal</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C7516F">
              <w:rPr>
                <w:rFonts w:ascii="Calibri" w:hAnsi="Calibri" w:cs="Arial"/>
                <w:i/>
                <w:iCs/>
                <w:lang w:val="en-IE" w:eastAsia="en-GB" w:bidi="ar-SA"/>
              </w:rPr>
              <w:t>(State the possible outcomes should the Modification Proposal not be implemented</w:t>
            </w:r>
            <w:r w:rsidRPr="00C7516F">
              <w:rPr>
                <w:rFonts w:ascii="Calibri" w:hAnsi="Calibri" w:cs="Arial"/>
                <w:i/>
                <w:lang w:val="en-IE" w:bidi="ar-SA"/>
              </w:rPr>
              <w:t>)</w:t>
            </w:r>
          </w:p>
        </w:tc>
      </w:tr>
      <w:tr w:rsidR="00C7516F" w:rsidRPr="00C7516F" w:rsidTr="00A51956">
        <w:tc>
          <w:tcPr>
            <w:tcW w:w="9747" w:type="dxa"/>
            <w:gridSpan w:val="6"/>
            <w:vAlign w:val="center"/>
          </w:tcPr>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r w:rsidRPr="00C7516F">
              <w:rPr>
                <w:rFonts w:ascii="Calibri" w:hAnsi="Calibri" w:cs="Arial"/>
                <w:lang w:val="en-IE" w:eastAsia="en-GB" w:bidi="ar-SA"/>
              </w:rPr>
              <w:t xml:space="preserve">If this proposal is not implemented then the housekeeping errors it seeks to address will remain resulting in diminished accuracy and transparency within the Code. </w:t>
            </w:r>
          </w:p>
          <w:p w:rsidR="00C7516F" w:rsidRPr="00C7516F" w:rsidRDefault="00C7516F" w:rsidP="00C7516F">
            <w:pPr>
              <w:overflowPunct w:val="0"/>
              <w:autoSpaceDE w:val="0"/>
              <w:autoSpaceDN w:val="0"/>
              <w:adjustRightInd w:val="0"/>
              <w:spacing w:before="0" w:after="0" w:line="240" w:lineRule="auto"/>
              <w:textAlignment w:val="baseline"/>
              <w:rPr>
                <w:rFonts w:ascii="Calibri" w:hAnsi="Calibri" w:cs="Arial"/>
                <w:lang w:val="en-IE" w:eastAsia="en-GB" w:bidi="ar-SA"/>
              </w:rPr>
            </w:pPr>
          </w:p>
        </w:tc>
      </w:tr>
      <w:tr w:rsidR="00C7516F" w:rsidRPr="00C7516F" w:rsidTr="00A51956">
        <w:trPr>
          <w:trHeight w:val="507"/>
        </w:trPr>
        <w:tc>
          <w:tcPr>
            <w:tcW w:w="4799" w:type="dxa"/>
            <w:gridSpan w:val="3"/>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iCs/>
                <w:lang w:val="en-IE" w:eastAsia="en-GB" w:bidi="ar-SA"/>
              </w:rPr>
            </w:pPr>
            <w:r w:rsidRPr="00C7516F">
              <w:rPr>
                <w:rFonts w:ascii="Calibri" w:hAnsi="Calibri" w:cs="Arial"/>
                <w:b/>
                <w:bCs/>
                <w:iCs/>
                <w:lang w:val="en-IE" w:eastAsia="en-GB" w:bidi="ar-SA"/>
              </w:rPr>
              <w:t>Working Group</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i/>
                <w:iCs/>
                <w:lang w:val="en-IE" w:eastAsia="en-GB" w:bidi="ar-SA"/>
              </w:rPr>
            </w:pPr>
            <w:r w:rsidRPr="00C7516F">
              <w:rPr>
                <w:rFonts w:ascii="Calibri" w:hAnsi="Calibri" w:cs="Arial"/>
                <w:i/>
                <w:iCs/>
                <w:lang w:val="en-IE" w:eastAsia="en-GB" w:bidi="ar-SA"/>
              </w:rPr>
              <w:t>(State if Working Group considered necessary to develop proposal)</w:t>
            </w:r>
          </w:p>
        </w:tc>
        <w:tc>
          <w:tcPr>
            <w:tcW w:w="4948" w:type="dxa"/>
            <w:gridSpan w:val="3"/>
            <w:shd w:val="clear" w:color="auto" w:fill="C6D9F1"/>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iCs/>
                <w:lang w:val="en-IE" w:eastAsia="en-GB" w:bidi="ar-SA"/>
              </w:rPr>
            </w:pPr>
            <w:r w:rsidRPr="00C7516F">
              <w:rPr>
                <w:rFonts w:ascii="Calibri" w:hAnsi="Calibri" w:cs="Arial"/>
                <w:b/>
                <w:bCs/>
                <w:iCs/>
                <w:lang w:val="en-IE" w:eastAsia="en-GB" w:bidi="ar-SA"/>
              </w:rPr>
              <w:t>Impacts</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iCs/>
                <w:lang w:val="en-IE" w:eastAsia="en-GB" w:bidi="ar-SA"/>
              </w:rPr>
            </w:pPr>
            <w:r w:rsidRPr="00C7516F">
              <w:rPr>
                <w:rFonts w:ascii="Calibri" w:hAnsi="Calibri" w:cs="Arial"/>
                <w:i/>
                <w:lang w:val="en-IE" w:eastAsia="en-GB" w:bidi="ar-SA"/>
              </w:rPr>
              <w:t>(Indicate the impacts on systems, resources, processes and/or procedures; also indicate impacts on any other Market Code such as Capacity Marker Code, Grid Code, Exchange Rules etc.)</w:t>
            </w:r>
          </w:p>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iCs/>
                <w:lang w:val="en-IE" w:eastAsia="en-GB" w:bidi="ar-SA"/>
              </w:rPr>
            </w:pPr>
          </w:p>
        </w:tc>
      </w:tr>
      <w:tr w:rsidR="00C7516F" w:rsidRPr="00C7516F" w:rsidDel="00404964" w:rsidTr="00A51956">
        <w:trPr>
          <w:trHeight w:val="507"/>
        </w:trPr>
        <w:tc>
          <w:tcPr>
            <w:tcW w:w="4799" w:type="dxa"/>
            <w:gridSpan w:val="3"/>
            <w:vAlign w:val="center"/>
          </w:tcPr>
          <w:p w:rsidR="00C7516F" w:rsidRPr="00C7516F" w:rsidDel="00404964"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lang w:val="en-IE" w:eastAsia="en-GB" w:bidi="ar-SA"/>
              </w:rPr>
              <w:t>Not Required</w:t>
            </w:r>
          </w:p>
        </w:tc>
        <w:tc>
          <w:tcPr>
            <w:tcW w:w="4948" w:type="dxa"/>
            <w:gridSpan w:val="3"/>
            <w:vAlign w:val="center"/>
          </w:tcPr>
          <w:p w:rsidR="00C7516F" w:rsidRPr="00C7516F" w:rsidDel="00404964" w:rsidRDefault="00C7516F" w:rsidP="00C7516F">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C7516F">
              <w:rPr>
                <w:rFonts w:ascii="Calibri" w:hAnsi="Calibri" w:cs="Arial"/>
                <w:lang w:val="en-IE" w:eastAsia="en-GB" w:bidi="ar-SA"/>
              </w:rPr>
              <w:t>No Impacts Anticipated</w:t>
            </w:r>
          </w:p>
        </w:tc>
      </w:tr>
      <w:tr w:rsidR="00C7516F" w:rsidRPr="00C7516F" w:rsidTr="00A51956">
        <w:tc>
          <w:tcPr>
            <w:tcW w:w="9747" w:type="dxa"/>
            <w:gridSpan w:val="6"/>
            <w:vAlign w:val="center"/>
          </w:tcPr>
          <w:p w:rsidR="00C7516F" w:rsidRPr="00C7516F" w:rsidRDefault="00C7516F" w:rsidP="00C7516F">
            <w:pPr>
              <w:overflowPunct w:val="0"/>
              <w:autoSpaceDE w:val="0"/>
              <w:autoSpaceDN w:val="0"/>
              <w:adjustRightInd w:val="0"/>
              <w:spacing w:before="0" w:after="0" w:line="240" w:lineRule="auto"/>
              <w:jc w:val="center"/>
              <w:textAlignment w:val="baseline"/>
              <w:rPr>
                <w:rFonts w:ascii="Calibri" w:hAnsi="Calibri" w:cs="Arial"/>
                <w:b/>
                <w:bCs/>
                <w:i/>
                <w:iCs/>
                <w:lang w:val="en-IE" w:eastAsia="en-GB" w:bidi="ar-SA"/>
              </w:rPr>
            </w:pPr>
            <w:r w:rsidRPr="00C7516F">
              <w:rPr>
                <w:rFonts w:ascii="Calibri" w:hAnsi="Calibri" w:cs="Arial"/>
                <w:b/>
                <w:bCs/>
                <w:i/>
                <w:iCs/>
                <w:lang w:val="en-IE" w:eastAsia="en-GB" w:bidi="ar-SA"/>
              </w:rPr>
              <w:t xml:space="preserve">Please return this form to Secretariat by email to </w:t>
            </w:r>
            <w:hyperlink r:id="rId12" w:history="1">
              <w:r w:rsidRPr="00C7516F">
                <w:rPr>
                  <w:rFonts w:ascii="Calibri" w:hAnsi="Calibri" w:cs="Arial"/>
                  <w:b/>
                  <w:bCs/>
                  <w:i/>
                  <w:iCs/>
                  <w:color w:val="0000FF"/>
                  <w:u w:val="single"/>
                  <w:lang w:val="en-IE" w:eastAsia="en-GB" w:bidi="ar-SA"/>
                </w:rPr>
                <w:t>modifications@sem-o.com</w:t>
              </w:r>
            </w:hyperlink>
          </w:p>
        </w:tc>
      </w:tr>
    </w:tbl>
    <w:p w:rsidR="00C7516F" w:rsidRPr="00C7516F" w:rsidRDefault="00C7516F" w:rsidP="00C7516F">
      <w:pPr>
        <w:overflowPunct w:val="0"/>
        <w:autoSpaceDE w:val="0"/>
        <w:autoSpaceDN w:val="0"/>
        <w:adjustRightInd w:val="0"/>
        <w:spacing w:before="0" w:after="0" w:line="240" w:lineRule="auto"/>
        <w:textAlignment w:val="baseline"/>
        <w:rPr>
          <w:rFonts w:ascii="Times New Roman" w:hAnsi="Times New Roman"/>
          <w:lang w:val="en-AU" w:eastAsia="en-GB" w:bidi="ar-SA"/>
        </w:rPr>
      </w:pPr>
    </w:p>
    <w:p w:rsidR="00C7516F" w:rsidRPr="00C7516F" w:rsidRDefault="00C7516F" w:rsidP="00C7516F">
      <w:pPr>
        <w:spacing w:before="0" w:after="200"/>
        <w:rPr>
          <w:rFonts w:cs="Arial"/>
          <w:b/>
          <w:sz w:val="16"/>
          <w:szCs w:val="16"/>
          <w:lang w:val="en-US" w:bidi="ar-SA"/>
        </w:rPr>
      </w:pPr>
    </w:p>
    <w:sectPr w:rsidR="00C7516F" w:rsidRPr="00C7516F" w:rsidSect="00EB1A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9B" w:rsidRDefault="009E0A9B">
      <w:r>
        <w:separator/>
      </w:r>
    </w:p>
  </w:endnote>
  <w:endnote w:type="continuationSeparator" w:id="0">
    <w:p w:rsidR="009E0A9B" w:rsidRDefault="009E0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9B" w:rsidRDefault="00D23453">
    <w:pPr>
      <w:pStyle w:val="Footer"/>
      <w:jc w:val="center"/>
    </w:pPr>
    <w:fldSimple w:instr=" PAGE   \* MERGEFORMAT ">
      <w:r w:rsidR="00F001FA">
        <w:rPr>
          <w:noProof/>
        </w:rPr>
        <w:t>2</w:t>
      </w:r>
    </w:fldSimple>
  </w:p>
  <w:p w:rsidR="009E0A9B" w:rsidRPr="00A53010" w:rsidRDefault="009E0A9B"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9B" w:rsidRDefault="009E0A9B">
      <w:r>
        <w:separator/>
      </w:r>
    </w:p>
  </w:footnote>
  <w:footnote w:type="continuationSeparator" w:id="0">
    <w:p w:rsidR="009E0A9B" w:rsidRDefault="009E0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9B" w:rsidRPr="00DA2DEE" w:rsidRDefault="009E0A9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19_18</w:t>
    </w:r>
  </w:p>
  <w:p w:rsidR="009E0A9B" w:rsidRPr="0018497A" w:rsidRDefault="009E0A9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9E0A9B" w:rsidRDefault="009E0A9B"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4FF66B6"/>
    <w:multiLevelType w:val="hybridMultilevel"/>
    <w:tmpl w:val="4CAE1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BA3127D"/>
    <w:multiLevelType w:val="hybridMultilevel"/>
    <w:tmpl w:val="DC540B92"/>
    <w:lvl w:ilvl="0" w:tplc="18090011">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EB43667"/>
    <w:multiLevelType w:val="hybridMultilevel"/>
    <w:tmpl w:val="7B1C730E"/>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E76392E"/>
    <w:multiLevelType w:val="hybridMultilevel"/>
    <w:tmpl w:val="B2421BAA"/>
    <w:lvl w:ilvl="0" w:tplc="00C4A54E">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tentative="1">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1F593E29"/>
    <w:multiLevelType w:val="hybridMultilevel"/>
    <w:tmpl w:val="836AF7B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323F4B99"/>
    <w:multiLevelType w:val="hybridMultilevel"/>
    <w:tmpl w:val="B2B07F68"/>
    <w:lvl w:ilvl="0" w:tplc="18090011">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nsid w:val="42A61F5A"/>
    <w:multiLevelType w:val="hybridMultilevel"/>
    <w:tmpl w:val="524E11E4"/>
    <w:lvl w:ilvl="0" w:tplc="70F6F9DE">
      <w:start w:val="1"/>
      <w:numFmt w:val="decimal"/>
      <w:lvlText w:val="%1)"/>
      <w:lvlJc w:val="left"/>
      <w:pPr>
        <w:ind w:left="720" w:hanging="360"/>
      </w:pPr>
      <w:rPr>
        <w:rFonts w:cs="Times New Roman" w:hint="default"/>
      </w:rPr>
    </w:lvl>
    <w:lvl w:ilvl="1" w:tplc="600ACDD8" w:tentative="1">
      <w:start w:val="1"/>
      <w:numFmt w:val="lowerLetter"/>
      <w:lvlText w:val="%2."/>
      <w:lvlJc w:val="left"/>
      <w:pPr>
        <w:ind w:left="1440" w:hanging="360"/>
      </w:pPr>
      <w:rPr>
        <w:rFonts w:cs="Times New Roman"/>
      </w:rPr>
    </w:lvl>
    <w:lvl w:ilvl="2" w:tplc="59E4197A" w:tentative="1">
      <w:start w:val="1"/>
      <w:numFmt w:val="lowerRoman"/>
      <w:lvlText w:val="%3."/>
      <w:lvlJc w:val="right"/>
      <w:pPr>
        <w:ind w:left="2160" w:hanging="180"/>
      </w:pPr>
      <w:rPr>
        <w:rFonts w:cs="Times New Roman"/>
      </w:rPr>
    </w:lvl>
    <w:lvl w:ilvl="3" w:tplc="A69E6EC4" w:tentative="1">
      <w:start w:val="1"/>
      <w:numFmt w:val="decimal"/>
      <w:lvlText w:val="%4."/>
      <w:lvlJc w:val="left"/>
      <w:pPr>
        <w:ind w:left="2880" w:hanging="360"/>
      </w:pPr>
      <w:rPr>
        <w:rFonts w:cs="Times New Roman"/>
      </w:rPr>
    </w:lvl>
    <w:lvl w:ilvl="4" w:tplc="F208A34C" w:tentative="1">
      <w:start w:val="1"/>
      <w:numFmt w:val="lowerLetter"/>
      <w:lvlText w:val="%5."/>
      <w:lvlJc w:val="left"/>
      <w:pPr>
        <w:ind w:left="3600" w:hanging="360"/>
      </w:pPr>
      <w:rPr>
        <w:rFonts w:cs="Times New Roman"/>
      </w:rPr>
    </w:lvl>
    <w:lvl w:ilvl="5" w:tplc="35EAD752" w:tentative="1">
      <w:start w:val="1"/>
      <w:numFmt w:val="lowerRoman"/>
      <w:lvlText w:val="%6."/>
      <w:lvlJc w:val="right"/>
      <w:pPr>
        <w:ind w:left="4320" w:hanging="180"/>
      </w:pPr>
      <w:rPr>
        <w:rFonts w:cs="Times New Roman"/>
      </w:rPr>
    </w:lvl>
    <w:lvl w:ilvl="6" w:tplc="10D8AED2" w:tentative="1">
      <w:start w:val="1"/>
      <w:numFmt w:val="decimal"/>
      <w:lvlText w:val="%7."/>
      <w:lvlJc w:val="left"/>
      <w:pPr>
        <w:ind w:left="5040" w:hanging="360"/>
      </w:pPr>
      <w:rPr>
        <w:rFonts w:cs="Times New Roman"/>
      </w:rPr>
    </w:lvl>
    <w:lvl w:ilvl="7" w:tplc="26CA83C2" w:tentative="1">
      <w:start w:val="1"/>
      <w:numFmt w:val="lowerLetter"/>
      <w:lvlText w:val="%8."/>
      <w:lvlJc w:val="left"/>
      <w:pPr>
        <w:ind w:left="5760" w:hanging="360"/>
      </w:pPr>
      <w:rPr>
        <w:rFonts w:cs="Times New Roman"/>
      </w:rPr>
    </w:lvl>
    <w:lvl w:ilvl="8" w:tplc="3B14D2CE" w:tentative="1">
      <w:start w:val="1"/>
      <w:numFmt w:val="lowerRoman"/>
      <w:lvlText w:val="%9."/>
      <w:lvlJc w:val="right"/>
      <w:pPr>
        <w:ind w:left="6480" w:hanging="180"/>
      </w:pPr>
      <w:rPr>
        <w:rFonts w:cs="Times New Roman"/>
      </w:rPr>
    </w:lvl>
  </w:abstractNum>
  <w:abstractNum w:abstractNumId="21">
    <w:nsid w:val="48CE559F"/>
    <w:multiLevelType w:val="hybridMultilevel"/>
    <w:tmpl w:val="7B1C730E"/>
    <w:lvl w:ilvl="0" w:tplc="1422DB1C">
      <w:start w:val="1"/>
      <w:numFmt w:val="decimal"/>
      <w:lvlText w:val="%1)"/>
      <w:lvlJc w:val="left"/>
      <w:pPr>
        <w:ind w:left="720" w:hanging="360"/>
      </w:pPr>
      <w:rPr>
        <w:rFonts w:cs="Times New Roman" w:hint="default"/>
      </w:rPr>
    </w:lvl>
    <w:lvl w:ilvl="1" w:tplc="4C5840CC" w:tentative="1">
      <w:start w:val="1"/>
      <w:numFmt w:val="lowerLetter"/>
      <w:lvlText w:val="%2."/>
      <w:lvlJc w:val="left"/>
      <w:pPr>
        <w:ind w:left="1440" w:hanging="360"/>
      </w:pPr>
      <w:rPr>
        <w:rFonts w:cs="Times New Roman"/>
      </w:rPr>
    </w:lvl>
    <w:lvl w:ilvl="2" w:tplc="4894BD9C" w:tentative="1">
      <w:start w:val="1"/>
      <w:numFmt w:val="lowerRoman"/>
      <w:lvlText w:val="%3."/>
      <w:lvlJc w:val="right"/>
      <w:pPr>
        <w:ind w:left="2160" w:hanging="180"/>
      </w:pPr>
      <w:rPr>
        <w:rFonts w:cs="Times New Roman"/>
      </w:rPr>
    </w:lvl>
    <w:lvl w:ilvl="3" w:tplc="977C1780" w:tentative="1">
      <w:start w:val="1"/>
      <w:numFmt w:val="decimal"/>
      <w:lvlText w:val="%4."/>
      <w:lvlJc w:val="left"/>
      <w:pPr>
        <w:ind w:left="2880" w:hanging="360"/>
      </w:pPr>
      <w:rPr>
        <w:rFonts w:cs="Times New Roman"/>
      </w:rPr>
    </w:lvl>
    <w:lvl w:ilvl="4" w:tplc="CE10B0EE" w:tentative="1">
      <w:start w:val="1"/>
      <w:numFmt w:val="lowerLetter"/>
      <w:lvlText w:val="%5."/>
      <w:lvlJc w:val="left"/>
      <w:pPr>
        <w:ind w:left="3600" w:hanging="360"/>
      </w:pPr>
      <w:rPr>
        <w:rFonts w:cs="Times New Roman"/>
      </w:rPr>
    </w:lvl>
    <w:lvl w:ilvl="5" w:tplc="1D80276E" w:tentative="1">
      <w:start w:val="1"/>
      <w:numFmt w:val="lowerRoman"/>
      <w:lvlText w:val="%6."/>
      <w:lvlJc w:val="right"/>
      <w:pPr>
        <w:ind w:left="4320" w:hanging="180"/>
      </w:pPr>
      <w:rPr>
        <w:rFonts w:cs="Times New Roman"/>
      </w:rPr>
    </w:lvl>
    <w:lvl w:ilvl="6" w:tplc="304E76E2" w:tentative="1">
      <w:start w:val="1"/>
      <w:numFmt w:val="decimal"/>
      <w:lvlText w:val="%7."/>
      <w:lvlJc w:val="left"/>
      <w:pPr>
        <w:ind w:left="5040" w:hanging="360"/>
      </w:pPr>
      <w:rPr>
        <w:rFonts w:cs="Times New Roman"/>
      </w:rPr>
    </w:lvl>
    <w:lvl w:ilvl="7" w:tplc="1AB2994C" w:tentative="1">
      <w:start w:val="1"/>
      <w:numFmt w:val="lowerLetter"/>
      <w:lvlText w:val="%8."/>
      <w:lvlJc w:val="left"/>
      <w:pPr>
        <w:ind w:left="5760" w:hanging="360"/>
      </w:pPr>
      <w:rPr>
        <w:rFonts w:cs="Times New Roman"/>
      </w:rPr>
    </w:lvl>
    <w:lvl w:ilvl="8" w:tplc="840C574A" w:tentative="1">
      <w:start w:val="1"/>
      <w:numFmt w:val="lowerRoman"/>
      <w:lvlText w:val="%9."/>
      <w:lvlJc w:val="right"/>
      <w:pPr>
        <w:ind w:left="6480" w:hanging="180"/>
      </w:pPr>
      <w:rPr>
        <w:rFonts w:cs="Times New Roman"/>
      </w:rPr>
    </w:lvl>
  </w:abstractNum>
  <w:abstractNum w:abstractNumId="22">
    <w:nsid w:val="4BBF1A1F"/>
    <w:multiLevelType w:val="hybridMultilevel"/>
    <w:tmpl w:val="8AB24640"/>
    <w:lvl w:ilvl="0" w:tplc="EC8E8FDA">
      <w:start w:val="1"/>
      <w:numFmt w:val="bullet"/>
      <w:lvlText w:val=""/>
      <w:lvlJc w:val="left"/>
      <w:pPr>
        <w:ind w:left="720" w:hanging="360"/>
      </w:pPr>
      <w:rPr>
        <w:rFonts w:ascii="Symbol" w:hAnsi="Symbol" w:hint="default"/>
      </w:rPr>
    </w:lvl>
    <w:lvl w:ilvl="1" w:tplc="2F4604FE" w:tentative="1">
      <w:start w:val="1"/>
      <w:numFmt w:val="bullet"/>
      <w:lvlText w:val="o"/>
      <w:lvlJc w:val="left"/>
      <w:pPr>
        <w:ind w:left="1440" w:hanging="360"/>
      </w:pPr>
      <w:rPr>
        <w:rFonts w:ascii="Courier New" w:hAnsi="Courier New" w:cs="Courier New" w:hint="default"/>
      </w:rPr>
    </w:lvl>
    <w:lvl w:ilvl="2" w:tplc="F350E398" w:tentative="1">
      <w:start w:val="1"/>
      <w:numFmt w:val="bullet"/>
      <w:lvlText w:val=""/>
      <w:lvlJc w:val="left"/>
      <w:pPr>
        <w:ind w:left="2160" w:hanging="360"/>
      </w:pPr>
      <w:rPr>
        <w:rFonts w:ascii="Wingdings" w:hAnsi="Wingdings" w:hint="default"/>
      </w:rPr>
    </w:lvl>
    <w:lvl w:ilvl="3" w:tplc="F5C07854" w:tentative="1">
      <w:start w:val="1"/>
      <w:numFmt w:val="bullet"/>
      <w:lvlText w:val=""/>
      <w:lvlJc w:val="left"/>
      <w:pPr>
        <w:ind w:left="2880" w:hanging="360"/>
      </w:pPr>
      <w:rPr>
        <w:rFonts w:ascii="Symbol" w:hAnsi="Symbol" w:hint="default"/>
      </w:rPr>
    </w:lvl>
    <w:lvl w:ilvl="4" w:tplc="B2F25D2C" w:tentative="1">
      <w:start w:val="1"/>
      <w:numFmt w:val="bullet"/>
      <w:lvlText w:val="o"/>
      <w:lvlJc w:val="left"/>
      <w:pPr>
        <w:ind w:left="3600" w:hanging="360"/>
      </w:pPr>
      <w:rPr>
        <w:rFonts w:ascii="Courier New" w:hAnsi="Courier New" w:cs="Courier New" w:hint="default"/>
      </w:rPr>
    </w:lvl>
    <w:lvl w:ilvl="5" w:tplc="F6D27BD0" w:tentative="1">
      <w:start w:val="1"/>
      <w:numFmt w:val="bullet"/>
      <w:lvlText w:val=""/>
      <w:lvlJc w:val="left"/>
      <w:pPr>
        <w:ind w:left="4320" w:hanging="360"/>
      </w:pPr>
      <w:rPr>
        <w:rFonts w:ascii="Wingdings" w:hAnsi="Wingdings" w:hint="default"/>
      </w:rPr>
    </w:lvl>
    <w:lvl w:ilvl="6" w:tplc="714C139A" w:tentative="1">
      <w:start w:val="1"/>
      <w:numFmt w:val="bullet"/>
      <w:lvlText w:val=""/>
      <w:lvlJc w:val="left"/>
      <w:pPr>
        <w:ind w:left="5040" w:hanging="360"/>
      </w:pPr>
      <w:rPr>
        <w:rFonts w:ascii="Symbol" w:hAnsi="Symbol" w:hint="default"/>
      </w:rPr>
    </w:lvl>
    <w:lvl w:ilvl="7" w:tplc="4A26037A" w:tentative="1">
      <w:start w:val="1"/>
      <w:numFmt w:val="bullet"/>
      <w:lvlText w:val="o"/>
      <w:lvlJc w:val="left"/>
      <w:pPr>
        <w:ind w:left="5760" w:hanging="360"/>
      </w:pPr>
      <w:rPr>
        <w:rFonts w:ascii="Courier New" w:hAnsi="Courier New" w:cs="Courier New" w:hint="default"/>
      </w:rPr>
    </w:lvl>
    <w:lvl w:ilvl="8" w:tplc="B78AC7A0" w:tentative="1">
      <w:start w:val="1"/>
      <w:numFmt w:val="bullet"/>
      <w:lvlText w:val=""/>
      <w:lvlJc w:val="left"/>
      <w:pPr>
        <w:ind w:left="6480" w:hanging="360"/>
      </w:pPr>
      <w:rPr>
        <w:rFonts w:ascii="Wingdings" w:hAnsi="Wingdings" w:hint="default"/>
      </w:rPr>
    </w:lvl>
  </w:abstractNum>
  <w:abstractNum w:abstractNumId="23">
    <w:nsid w:val="4C7740E1"/>
    <w:multiLevelType w:val="hybridMultilevel"/>
    <w:tmpl w:val="602C1650"/>
    <w:lvl w:ilvl="0" w:tplc="9DA20162">
      <w:start w:val="1"/>
      <w:numFmt w:val="decimal"/>
      <w:lvlText w:val="%1)"/>
      <w:lvlJc w:val="left"/>
      <w:pPr>
        <w:ind w:left="720" w:hanging="360"/>
      </w:pPr>
      <w:rPr>
        <w:rFonts w:cs="Times New Roman" w:hint="default"/>
      </w:rPr>
    </w:lvl>
    <w:lvl w:ilvl="1" w:tplc="66EA9BEE" w:tentative="1">
      <w:start w:val="1"/>
      <w:numFmt w:val="lowerLetter"/>
      <w:lvlText w:val="%2."/>
      <w:lvlJc w:val="left"/>
      <w:pPr>
        <w:ind w:left="1440" w:hanging="360"/>
      </w:pPr>
      <w:rPr>
        <w:rFonts w:cs="Times New Roman"/>
      </w:rPr>
    </w:lvl>
    <w:lvl w:ilvl="2" w:tplc="91DC3516" w:tentative="1">
      <w:start w:val="1"/>
      <w:numFmt w:val="lowerRoman"/>
      <w:lvlText w:val="%3."/>
      <w:lvlJc w:val="right"/>
      <w:pPr>
        <w:ind w:left="2160" w:hanging="180"/>
      </w:pPr>
      <w:rPr>
        <w:rFonts w:cs="Times New Roman"/>
      </w:rPr>
    </w:lvl>
    <w:lvl w:ilvl="3" w:tplc="E3CCC3C8" w:tentative="1">
      <w:start w:val="1"/>
      <w:numFmt w:val="decimal"/>
      <w:lvlText w:val="%4."/>
      <w:lvlJc w:val="left"/>
      <w:pPr>
        <w:ind w:left="2880" w:hanging="360"/>
      </w:pPr>
      <w:rPr>
        <w:rFonts w:cs="Times New Roman"/>
      </w:rPr>
    </w:lvl>
    <w:lvl w:ilvl="4" w:tplc="480EA3D4" w:tentative="1">
      <w:start w:val="1"/>
      <w:numFmt w:val="lowerLetter"/>
      <w:lvlText w:val="%5."/>
      <w:lvlJc w:val="left"/>
      <w:pPr>
        <w:ind w:left="3600" w:hanging="360"/>
      </w:pPr>
      <w:rPr>
        <w:rFonts w:cs="Times New Roman"/>
      </w:rPr>
    </w:lvl>
    <w:lvl w:ilvl="5" w:tplc="7070D50A" w:tentative="1">
      <w:start w:val="1"/>
      <w:numFmt w:val="lowerRoman"/>
      <w:lvlText w:val="%6."/>
      <w:lvlJc w:val="right"/>
      <w:pPr>
        <w:ind w:left="4320" w:hanging="180"/>
      </w:pPr>
      <w:rPr>
        <w:rFonts w:cs="Times New Roman"/>
      </w:rPr>
    </w:lvl>
    <w:lvl w:ilvl="6" w:tplc="75AE3418" w:tentative="1">
      <w:start w:val="1"/>
      <w:numFmt w:val="decimal"/>
      <w:lvlText w:val="%7."/>
      <w:lvlJc w:val="left"/>
      <w:pPr>
        <w:ind w:left="5040" w:hanging="360"/>
      </w:pPr>
      <w:rPr>
        <w:rFonts w:cs="Times New Roman"/>
      </w:rPr>
    </w:lvl>
    <w:lvl w:ilvl="7" w:tplc="E9726612" w:tentative="1">
      <w:start w:val="1"/>
      <w:numFmt w:val="lowerLetter"/>
      <w:lvlText w:val="%8."/>
      <w:lvlJc w:val="left"/>
      <w:pPr>
        <w:ind w:left="5760" w:hanging="360"/>
      </w:pPr>
      <w:rPr>
        <w:rFonts w:cs="Times New Roman"/>
      </w:rPr>
    </w:lvl>
    <w:lvl w:ilvl="8" w:tplc="47E45A9C" w:tentative="1">
      <w:start w:val="1"/>
      <w:numFmt w:val="lowerRoman"/>
      <w:lvlText w:val="%9."/>
      <w:lvlJc w:val="right"/>
      <w:pPr>
        <w:ind w:left="6480" w:hanging="180"/>
      </w:pPr>
      <w:rPr>
        <w:rFonts w:cs="Times New Roman"/>
      </w:rPr>
    </w:lvl>
  </w:abstractNum>
  <w:abstractNum w:abstractNumId="24">
    <w:nsid w:val="5037257C"/>
    <w:multiLevelType w:val="hybridMultilevel"/>
    <w:tmpl w:val="F52EA758"/>
    <w:lvl w:ilvl="0" w:tplc="4B14D51E">
      <w:start w:val="3"/>
      <w:numFmt w:val="decimal"/>
      <w:lvlText w:val="%1)"/>
      <w:lvlJc w:val="left"/>
      <w:pPr>
        <w:ind w:left="720" w:hanging="360"/>
      </w:pPr>
      <w:rPr>
        <w:rFonts w:hint="default"/>
      </w:rPr>
    </w:lvl>
    <w:lvl w:ilvl="1" w:tplc="6AC46C12" w:tentative="1">
      <w:start w:val="1"/>
      <w:numFmt w:val="lowerLetter"/>
      <w:lvlText w:val="%2."/>
      <w:lvlJc w:val="left"/>
      <w:pPr>
        <w:ind w:left="1440" w:hanging="360"/>
      </w:pPr>
    </w:lvl>
    <w:lvl w:ilvl="2" w:tplc="6A34C606" w:tentative="1">
      <w:start w:val="1"/>
      <w:numFmt w:val="lowerRoman"/>
      <w:lvlText w:val="%3."/>
      <w:lvlJc w:val="right"/>
      <w:pPr>
        <w:ind w:left="2160" w:hanging="180"/>
      </w:pPr>
    </w:lvl>
    <w:lvl w:ilvl="3" w:tplc="4AECAEE6" w:tentative="1">
      <w:start w:val="1"/>
      <w:numFmt w:val="decimal"/>
      <w:lvlText w:val="%4."/>
      <w:lvlJc w:val="left"/>
      <w:pPr>
        <w:ind w:left="2880" w:hanging="360"/>
      </w:pPr>
    </w:lvl>
    <w:lvl w:ilvl="4" w:tplc="3F40C41C" w:tentative="1">
      <w:start w:val="1"/>
      <w:numFmt w:val="lowerLetter"/>
      <w:lvlText w:val="%5."/>
      <w:lvlJc w:val="left"/>
      <w:pPr>
        <w:ind w:left="3600" w:hanging="360"/>
      </w:pPr>
    </w:lvl>
    <w:lvl w:ilvl="5" w:tplc="F098B750" w:tentative="1">
      <w:start w:val="1"/>
      <w:numFmt w:val="lowerRoman"/>
      <w:lvlText w:val="%6."/>
      <w:lvlJc w:val="right"/>
      <w:pPr>
        <w:ind w:left="4320" w:hanging="180"/>
      </w:pPr>
    </w:lvl>
    <w:lvl w:ilvl="6" w:tplc="01E03F48" w:tentative="1">
      <w:start w:val="1"/>
      <w:numFmt w:val="decimal"/>
      <w:lvlText w:val="%7."/>
      <w:lvlJc w:val="left"/>
      <w:pPr>
        <w:ind w:left="5040" w:hanging="360"/>
      </w:pPr>
    </w:lvl>
    <w:lvl w:ilvl="7" w:tplc="2DAC8948" w:tentative="1">
      <w:start w:val="1"/>
      <w:numFmt w:val="lowerLetter"/>
      <w:lvlText w:val="%8."/>
      <w:lvlJc w:val="left"/>
      <w:pPr>
        <w:ind w:left="5760" w:hanging="360"/>
      </w:pPr>
    </w:lvl>
    <w:lvl w:ilvl="8" w:tplc="1CAC4906" w:tentative="1">
      <w:start w:val="1"/>
      <w:numFmt w:val="lowerRoman"/>
      <w:lvlText w:val="%9."/>
      <w:lvlJc w:val="right"/>
      <w:pPr>
        <w:ind w:left="6480" w:hanging="180"/>
      </w:pPr>
    </w:lvl>
  </w:abstractNum>
  <w:abstractNum w:abstractNumId="25">
    <w:nsid w:val="53A069DE"/>
    <w:multiLevelType w:val="hybridMultilevel"/>
    <w:tmpl w:val="CB2CEEE8"/>
    <w:lvl w:ilvl="0" w:tplc="D8280F98">
      <w:start w:val="4"/>
      <w:numFmt w:val="decimal"/>
      <w:lvlText w:val="%1."/>
      <w:lvlJc w:val="left"/>
      <w:pPr>
        <w:ind w:left="360" w:hanging="360"/>
      </w:pPr>
      <w:rPr>
        <w:rFonts w:hint="default"/>
      </w:rPr>
    </w:lvl>
    <w:lvl w:ilvl="1" w:tplc="88408EE6" w:tentative="1">
      <w:start w:val="1"/>
      <w:numFmt w:val="lowerLetter"/>
      <w:lvlText w:val="%2."/>
      <w:lvlJc w:val="left"/>
      <w:pPr>
        <w:ind w:left="1440" w:hanging="360"/>
      </w:pPr>
    </w:lvl>
    <w:lvl w:ilvl="2" w:tplc="86C25FAE" w:tentative="1">
      <w:start w:val="1"/>
      <w:numFmt w:val="lowerRoman"/>
      <w:lvlText w:val="%3."/>
      <w:lvlJc w:val="right"/>
      <w:pPr>
        <w:ind w:left="2160" w:hanging="180"/>
      </w:pPr>
    </w:lvl>
    <w:lvl w:ilvl="3" w:tplc="ECE48B64" w:tentative="1">
      <w:start w:val="1"/>
      <w:numFmt w:val="decimal"/>
      <w:lvlText w:val="%4."/>
      <w:lvlJc w:val="left"/>
      <w:pPr>
        <w:ind w:left="2880" w:hanging="360"/>
      </w:pPr>
    </w:lvl>
    <w:lvl w:ilvl="4" w:tplc="0F98AB92" w:tentative="1">
      <w:start w:val="1"/>
      <w:numFmt w:val="lowerLetter"/>
      <w:lvlText w:val="%5."/>
      <w:lvlJc w:val="left"/>
      <w:pPr>
        <w:ind w:left="3600" w:hanging="360"/>
      </w:pPr>
    </w:lvl>
    <w:lvl w:ilvl="5" w:tplc="77FEBF5A" w:tentative="1">
      <w:start w:val="1"/>
      <w:numFmt w:val="lowerRoman"/>
      <w:lvlText w:val="%6."/>
      <w:lvlJc w:val="right"/>
      <w:pPr>
        <w:ind w:left="4320" w:hanging="180"/>
      </w:pPr>
    </w:lvl>
    <w:lvl w:ilvl="6" w:tplc="8D045420" w:tentative="1">
      <w:start w:val="1"/>
      <w:numFmt w:val="decimal"/>
      <w:lvlText w:val="%7."/>
      <w:lvlJc w:val="left"/>
      <w:pPr>
        <w:ind w:left="5040" w:hanging="360"/>
      </w:pPr>
    </w:lvl>
    <w:lvl w:ilvl="7" w:tplc="BD4A3DBA" w:tentative="1">
      <w:start w:val="1"/>
      <w:numFmt w:val="lowerLetter"/>
      <w:lvlText w:val="%8."/>
      <w:lvlJc w:val="left"/>
      <w:pPr>
        <w:ind w:left="5760" w:hanging="360"/>
      </w:pPr>
    </w:lvl>
    <w:lvl w:ilvl="8" w:tplc="891A2D26" w:tentative="1">
      <w:start w:val="1"/>
      <w:numFmt w:val="lowerRoman"/>
      <w:lvlText w:val="%9."/>
      <w:lvlJc w:val="right"/>
      <w:pPr>
        <w:ind w:left="6480" w:hanging="180"/>
      </w:pPr>
    </w:lvl>
  </w:abstractNum>
  <w:abstractNum w:abstractNumId="26">
    <w:nsid w:val="53DC7209"/>
    <w:multiLevelType w:val="hybridMultilevel"/>
    <w:tmpl w:val="A22033A2"/>
    <w:lvl w:ilvl="0" w:tplc="1A8241DE">
      <w:start w:val="1"/>
      <w:numFmt w:val="bullet"/>
      <w:lvlText w:val=""/>
      <w:lvlJc w:val="left"/>
      <w:pPr>
        <w:ind w:left="720" w:hanging="360"/>
      </w:pPr>
      <w:rPr>
        <w:rFonts w:ascii="Symbol" w:hAnsi="Symbol" w:hint="default"/>
      </w:rPr>
    </w:lvl>
    <w:lvl w:ilvl="1" w:tplc="5B16F562">
      <w:start w:val="1"/>
      <w:numFmt w:val="decimal"/>
      <w:lvlText w:val="%2."/>
      <w:lvlJc w:val="left"/>
      <w:pPr>
        <w:tabs>
          <w:tab w:val="num" w:pos="1440"/>
        </w:tabs>
        <w:ind w:left="1440" w:hanging="360"/>
      </w:pPr>
    </w:lvl>
    <w:lvl w:ilvl="2" w:tplc="46D6ED56">
      <w:start w:val="1"/>
      <w:numFmt w:val="decimal"/>
      <w:lvlText w:val="%3."/>
      <w:lvlJc w:val="left"/>
      <w:pPr>
        <w:tabs>
          <w:tab w:val="num" w:pos="2160"/>
        </w:tabs>
        <w:ind w:left="2160" w:hanging="360"/>
      </w:pPr>
    </w:lvl>
    <w:lvl w:ilvl="3" w:tplc="7E7A76B4">
      <w:start w:val="1"/>
      <w:numFmt w:val="decimal"/>
      <w:lvlText w:val="%4."/>
      <w:lvlJc w:val="left"/>
      <w:pPr>
        <w:tabs>
          <w:tab w:val="num" w:pos="2880"/>
        </w:tabs>
        <w:ind w:left="2880" w:hanging="360"/>
      </w:pPr>
    </w:lvl>
    <w:lvl w:ilvl="4" w:tplc="498E3CAC">
      <w:start w:val="1"/>
      <w:numFmt w:val="decimal"/>
      <w:lvlText w:val="%5."/>
      <w:lvlJc w:val="left"/>
      <w:pPr>
        <w:tabs>
          <w:tab w:val="num" w:pos="3600"/>
        </w:tabs>
        <w:ind w:left="3600" w:hanging="360"/>
      </w:pPr>
    </w:lvl>
    <w:lvl w:ilvl="5" w:tplc="ED8472B6">
      <w:start w:val="1"/>
      <w:numFmt w:val="decimal"/>
      <w:lvlText w:val="%6."/>
      <w:lvlJc w:val="left"/>
      <w:pPr>
        <w:tabs>
          <w:tab w:val="num" w:pos="4320"/>
        </w:tabs>
        <w:ind w:left="4320" w:hanging="360"/>
      </w:pPr>
    </w:lvl>
    <w:lvl w:ilvl="6" w:tplc="3E245B58">
      <w:start w:val="1"/>
      <w:numFmt w:val="decimal"/>
      <w:lvlText w:val="%7."/>
      <w:lvlJc w:val="left"/>
      <w:pPr>
        <w:tabs>
          <w:tab w:val="num" w:pos="5040"/>
        </w:tabs>
        <w:ind w:left="5040" w:hanging="360"/>
      </w:pPr>
    </w:lvl>
    <w:lvl w:ilvl="7" w:tplc="BE2E9856">
      <w:start w:val="1"/>
      <w:numFmt w:val="decimal"/>
      <w:lvlText w:val="%8."/>
      <w:lvlJc w:val="left"/>
      <w:pPr>
        <w:tabs>
          <w:tab w:val="num" w:pos="5760"/>
        </w:tabs>
        <w:ind w:left="5760" w:hanging="360"/>
      </w:pPr>
    </w:lvl>
    <w:lvl w:ilvl="8" w:tplc="8F7A9E82">
      <w:start w:val="1"/>
      <w:numFmt w:val="decimal"/>
      <w:lvlText w:val="%9."/>
      <w:lvlJc w:val="left"/>
      <w:pPr>
        <w:tabs>
          <w:tab w:val="num" w:pos="6480"/>
        </w:tabs>
        <w:ind w:left="6480" w:hanging="360"/>
      </w:pPr>
    </w:lvl>
  </w:abstractNum>
  <w:abstractNum w:abstractNumId="27">
    <w:nsid w:val="5C19696E"/>
    <w:multiLevelType w:val="hybridMultilevel"/>
    <w:tmpl w:val="BDDAF966"/>
    <w:lvl w:ilvl="0" w:tplc="575E140E">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CC27BE">
      <w:start w:val="1"/>
      <w:numFmt w:val="lowerLetter"/>
      <w:lvlText w:val="%2."/>
      <w:lvlJc w:val="left"/>
      <w:pPr>
        <w:tabs>
          <w:tab w:val="num" w:pos="1440"/>
        </w:tabs>
        <w:ind w:left="1440" w:hanging="360"/>
      </w:pPr>
      <w:rPr>
        <w:rFonts w:cs="Times New Roman"/>
      </w:rPr>
    </w:lvl>
    <w:lvl w:ilvl="2" w:tplc="FEB40660" w:tentative="1">
      <w:start w:val="1"/>
      <w:numFmt w:val="lowerRoman"/>
      <w:lvlText w:val="%3."/>
      <w:lvlJc w:val="right"/>
      <w:pPr>
        <w:tabs>
          <w:tab w:val="num" w:pos="2160"/>
        </w:tabs>
        <w:ind w:left="2160" w:hanging="180"/>
      </w:pPr>
      <w:rPr>
        <w:rFonts w:cs="Times New Roman"/>
      </w:rPr>
    </w:lvl>
    <w:lvl w:ilvl="3" w:tplc="00041276" w:tentative="1">
      <w:start w:val="1"/>
      <w:numFmt w:val="decimal"/>
      <w:lvlText w:val="%4."/>
      <w:lvlJc w:val="left"/>
      <w:pPr>
        <w:tabs>
          <w:tab w:val="num" w:pos="2880"/>
        </w:tabs>
        <w:ind w:left="2880" w:hanging="360"/>
      </w:pPr>
      <w:rPr>
        <w:rFonts w:cs="Times New Roman"/>
      </w:rPr>
    </w:lvl>
    <w:lvl w:ilvl="4" w:tplc="9E3840F4" w:tentative="1">
      <w:start w:val="1"/>
      <w:numFmt w:val="lowerLetter"/>
      <w:lvlText w:val="%5."/>
      <w:lvlJc w:val="left"/>
      <w:pPr>
        <w:tabs>
          <w:tab w:val="num" w:pos="3600"/>
        </w:tabs>
        <w:ind w:left="3600" w:hanging="360"/>
      </w:pPr>
      <w:rPr>
        <w:rFonts w:cs="Times New Roman"/>
      </w:rPr>
    </w:lvl>
    <w:lvl w:ilvl="5" w:tplc="2D380DE0" w:tentative="1">
      <w:start w:val="1"/>
      <w:numFmt w:val="lowerRoman"/>
      <w:lvlText w:val="%6."/>
      <w:lvlJc w:val="right"/>
      <w:pPr>
        <w:tabs>
          <w:tab w:val="num" w:pos="4320"/>
        </w:tabs>
        <w:ind w:left="4320" w:hanging="180"/>
      </w:pPr>
      <w:rPr>
        <w:rFonts w:cs="Times New Roman"/>
      </w:rPr>
    </w:lvl>
    <w:lvl w:ilvl="6" w:tplc="89669A12" w:tentative="1">
      <w:start w:val="1"/>
      <w:numFmt w:val="decimal"/>
      <w:lvlText w:val="%7."/>
      <w:lvlJc w:val="left"/>
      <w:pPr>
        <w:tabs>
          <w:tab w:val="num" w:pos="5040"/>
        </w:tabs>
        <w:ind w:left="5040" w:hanging="360"/>
      </w:pPr>
      <w:rPr>
        <w:rFonts w:cs="Times New Roman"/>
      </w:rPr>
    </w:lvl>
    <w:lvl w:ilvl="7" w:tplc="24F074C2" w:tentative="1">
      <w:start w:val="1"/>
      <w:numFmt w:val="lowerLetter"/>
      <w:lvlText w:val="%8."/>
      <w:lvlJc w:val="left"/>
      <w:pPr>
        <w:tabs>
          <w:tab w:val="num" w:pos="5760"/>
        </w:tabs>
        <w:ind w:left="5760" w:hanging="360"/>
      </w:pPr>
      <w:rPr>
        <w:rFonts w:cs="Times New Roman"/>
      </w:rPr>
    </w:lvl>
    <w:lvl w:ilvl="8" w:tplc="D540AD02" w:tentative="1">
      <w:start w:val="1"/>
      <w:numFmt w:val="lowerRoman"/>
      <w:lvlText w:val="%9."/>
      <w:lvlJc w:val="right"/>
      <w:pPr>
        <w:tabs>
          <w:tab w:val="num" w:pos="6480"/>
        </w:tabs>
        <w:ind w:left="6480" w:hanging="180"/>
      </w:pPr>
      <w:rPr>
        <w:rFonts w:cs="Times New Roman"/>
      </w:rPr>
    </w:lvl>
  </w:abstractNum>
  <w:abstractNum w:abstractNumId="28">
    <w:nsid w:val="5CC64F76"/>
    <w:multiLevelType w:val="hybridMultilevel"/>
    <w:tmpl w:val="35F0A074"/>
    <w:lvl w:ilvl="0" w:tplc="22FEE0B2">
      <w:start w:val="1"/>
      <w:numFmt w:val="decimal"/>
      <w:lvlText w:val="%1."/>
      <w:lvlJc w:val="left"/>
      <w:pPr>
        <w:tabs>
          <w:tab w:val="num" w:pos="720"/>
        </w:tabs>
        <w:ind w:left="720" w:hanging="360"/>
      </w:pPr>
    </w:lvl>
    <w:lvl w:ilvl="1" w:tplc="97EA74CC" w:tentative="1">
      <w:start w:val="1"/>
      <w:numFmt w:val="lowerLetter"/>
      <w:lvlText w:val="%2."/>
      <w:lvlJc w:val="left"/>
      <w:pPr>
        <w:tabs>
          <w:tab w:val="num" w:pos="1440"/>
        </w:tabs>
        <w:ind w:left="1440" w:hanging="360"/>
      </w:pPr>
    </w:lvl>
    <w:lvl w:ilvl="2" w:tplc="4C84C154" w:tentative="1">
      <w:start w:val="1"/>
      <w:numFmt w:val="lowerRoman"/>
      <w:lvlText w:val="%3."/>
      <w:lvlJc w:val="right"/>
      <w:pPr>
        <w:tabs>
          <w:tab w:val="num" w:pos="2160"/>
        </w:tabs>
        <w:ind w:left="2160" w:hanging="180"/>
      </w:pPr>
    </w:lvl>
    <w:lvl w:ilvl="3" w:tplc="371A666E" w:tentative="1">
      <w:start w:val="1"/>
      <w:numFmt w:val="decimal"/>
      <w:lvlText w:val="%4."/>
      <w:lvlJc w:val="left"/>
      <w:pPr>
        <w:tabs>
          <w:tab w:val="num" w:pos="2880"/>
        </w:tabs>
        <w:ind w:left="2880" w:hanging="360"/>
      </w:pPr>
    </w:lvl>
    <w:lvl w:ilvl="4" w:tplc="FB12896E" w:tentative="1">
      <w:start w:val="1"/>
      <w:numFmt w:val="lowerLetter"/>
      <w:lvlText w:val="%5."/>
      <w:lvlJc w:val="left"/>
      <w:pPr>
        <w:tabs>
          <w:tab w:val="num" w:pos="3600"/>
        </w:tabs>
        <w:ind w:left="3600" w:hanging="360"/>
      </w:pPr>
    </w:lvl>
    <w:lvl w:ilvl="5" w:tplc="AF7A825C" w:tentative="1">
      <w:start w:val="1"/>
      <w:numFmt w:val="lowerRoman"/>
      <w:lvlText w:val="%6."/>
      <w:lvlJc w:val="right"/>
      <w:pPr>
        <w:tabs>
          <w:tab w:val="num" w:pos="4320"/>
        </w:tabs>
        <w:ind w:left="4320" w:hanging="180"/>
      </w:pPr>
    </w:lvl>
    <w:lvl w:ilvl="6" w:tplc="A5B0FF32" w:tentative="1">
      <w:start w:val="1"/>
      <w:numFmt w:val="decimal"/>
      <w:lvlText w:val="%7."/>
      <w:lvlJc w:val="left"/>
      <w:pPr>
        <w:tabs>
          <w:tab w:val="num" w:pos="5040"/>
        </w:tabs>
        <w:ind w:left="5040" w:hanging="360"/>
      </w:pPr>
    </w:lvl>
    <w:lvl w:ilvl="7" w:tplc="A456091A" w:tentative="1">
      <w:start w:val="1"/>
      <w:numFmt w:val="lowerLetter"/>
      <w:lvlText w:val="%8."/>
      <w:lvlJc w:val="left"/>
      <w:pPr>
        <w:tabs>
          <w:tab w:val="num" w:pos="5760"/>
        </w:tabs>
        <w:ind w:left="5760" w:hanging="360"/>
      </w:pPr>
    </w:lvl>
    <w:lvl w:ilvl="8" w:tplc="A2261426" w:tentative="1">
      <w:start w:val="1"/>
      <w:numFmt w:val="lowerRoman"/>
      <w:lvlText w:val="%9."/>
      <w:lvlJc w:val="right"/>
      <w:pPr>
        <w:tabs>
          <w:tab w:val="num" w:pos="6480"/>
        </w:tabs>
        <w:ind w:left="6480" w:hanging="180"/>
      </w:pPr>
    </w:lvl>
  </w:abstractNum>
  <w:abstractNum w:abstractNumId="29">
    <w:nsid w:val="62C31675"/>
    <w:multiLevelType w:val="hybridMultilevel"/>
    <w:tmpl w:val="B692A90A"/>
    <w:lvl w:ilvl="0" w:tplc="5F4A2E42">
      <w:start w:val="1"/>
      <w:numFmt w:val="decimal"/>
      <w:lvlText w:val="%1)"/>
      <w:lvlJc w:val="left"/>
      <w:pPr>
        <w:ind w:left="720" w:hanging="360"/>
      </w:pPr>
      <w:rPr>
        <w:rFonts w:cs="Times New Roman" w:hint="default"/>
      </w:rPr>
    </w:lvl>
    <w:lvl w:ilvl="1" w:tplc="056442F4" w:tentative="1">
      <w:start w:val="1"/>
      <w:numFmt w:val="lowerLetter"/>
      <w:lvlText w:val="%2."/>
      <w:lvlJc w:val="left"/>
      <w:pPr>
        <w:ind w:left="1440" w:hanging="360"/>
      </w:pPr>
      <w:rPr>
        <w:rFonts w:cs="Times New Roman"/>
      </w:rPr>
    </w:lvl>
    <w:lvl w:ilvl="2" w:tplc="F00EDD96" w:tentative="1">
      <w:start w:val="1"/>
      <w:numFmt w:val="lowerRoman"/>
      <w:lvlText w:val="%3."/>
      <w:lvlJc w:val="right"/>
      <w:pPr>
        <w:ind w:left="2160" w:hanging="180"/>
      </w:pPr>
      <w:rPr>
        <w:rFonts w:cs="Times New Roman"/>
      </w:rPr>
    </w:lvl>
    <w:lvl w:ilvl="3" w:tplc="5F5A9586" w:tentative="1">
      <w:start w:val="1"/>
      <w:numFmt w:val="decimal"/>
      <w:lvlText w:val="%4."/>
      <w:lvlJc w:val="left"/>
      <w:pPr>
        <w:ind w:left="2880" w:hanging="360"/>
      </w:pPr>
      <w:rPr>
        <w:rFonts w:cs="Times New Roman"/>
      </w:rPr>
    </w:lvl>
    <w:lvl w:ilvl="4" w:tplc="D4EE3B02" w:tentative="1">
      <w:start w:val="1"/>
      <w:numFmt w:val="lowerLetter"/>
      <w:lvlText w:val="%5."/>
      <w:lvlJc w:val="left"/>
      <w:pPr>
        <w:ind w:left="3600" w:hanging="360"/>
      </w:pPr>
      <w:rPr>
        <w:rFonts w:cs="Times New Roman"/>
      </w:rPr>
    </w:lvl>
    <w:lvl w:ilvl="5" w:tplc="2190F956" w:tentative="1">
      <w:start w:val="1"/>
      <w:numFmt w:val="lowerRoman"/>
      <w:lvlText w:val="%6."/>
      <w:lvlJc w:val="right"/>
      <w:pPr>
        <w:ind w:left="4320" w:hanging="180"/>
      </w:pPr>
      <w:rPr>
        <w:rFonts w:cs="Times New Roman"/>
      </w:rPr>
    </w:lvl>
    <w:lvl w:ilvl="6" w:tplc="03FA05A2" w:tentative="1">
      <w:start w:val="1"/>
      <w:numFmt w:val="decimal"/>
      <w:lvlText w:val="%7."/>
      <w:lvlJc w:val="left"/>
      <w:pPr>
        <w:ind w:left="5040" w:hanging="360"/>
      </w:pPr>
      <w:rPr>
        <w:rFonts w:cs="Times New Roman"/>
      </w:rPr>
    </w:lvl>
    <w:lvl w:ilvl="7" w:tplc="70609510" w:tentative="1">
      <w:start w:val="1"/>
      <w:numFmt w:val="lowerLetter"/>
      <w:lvlText w:val="%8."/>
      <w:lvlJc w:val="left"/>
      <w:pPr>
        <w:ind w:left="5760" w:hanging="360"/>
      </w:pPr>
      <w:rPr>
        <w:rFonts w:cs="Times New Roman"/>
      </w:rPr>
    </w:lvl>
    <w:lvl w:ilvl="8" w:tplc="26D638E6" w:tentative="1">
      <w:start w:val="1"/>
      <w:numFmt w:val="lowerRoman"/>
      <w:lvlText w:val="%9."/>
      <w:lvlJc w:val="right"/>
      <w:pPr>
        <w:ind w:left="6480" w:hanging="180"/>
      </w:pPr>
      <w:rPr>
        <w:rFonts w:cs="Times New Roman"/>
      </w:rPr>
    </w:lvl>
  </w:abstractNum>
  <w:abstractNum w:abstractNumId="30">
    <w:nsid w:val="62E0658A"/>
    <w:multiLevelType w:val="hybridMultilevel"/>
    <w:tmpl w:val="3AA435BE"/>
    <w:lvl w:ilvl="0" w:tplc="DA8E3A3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7DB05A62">
      <w:start w:val="1"/>
      <w:numFmt w:val="bullet"/>
      <w:lvlText w:val="o"/>
      <w:lvlJc w:val="left"/>
      <w:pPr>
        <w:tabs>
          <w:tab w:val="num" w:pos="1725"/>
        </w:tabs>
        <w:ind w:left="1725" w:hanging="360"/>
      </w:pPr>
      <w:rPr>
        <w:rFonts w:ascii="Courier New" w:hAnsi="Courier New" w:hint="default"/>
      </w:rPr>
    </w:lvl>
    <w:lvl w:ilvl="2" w:tplc="C8CCAD4A">
      <w:start w:val="1"/>
      <w:numFmt w:val="bullet"/>
      <w:lvlText w:val=""/>
      <w:lvlJc w:val="left"/>
      <w:pPr>
        <w:tabs>
          <w:tab w:val="num" w:pos="2445"/>
        </w:tabs>
        <w:ind w:left="2445" w:hanging="360"/>
      </w:pPr>
      <w:rPr>
        <w:rFonts w:ascii="Wingdings" w:hAnsi="Wingdings" w:hint="default"/>
      </w:rPr>
    </w:lvl>
    <w:lvl w:ilvl="3" w:tplc="65FCE1A0">
      <w:start w:val="1"/>
      <w:numFmt w:val="decimal"/>
      <w:lvlText w:val="%4."/>
      <w:lvlJc w:val="left"/>
      <w:pPr>
        <w:tabs>
          <w:tab w:val="num" w:pos="3645"/>
        </w:tabs>
        <w:ind w:left="3645" w:hanging="840"/>
      </w:pPr>
      <w:rPr>
        <w:rFonts w:cs="Times New Roman" w:hint="default"/>
      </w:rPr>
    </w:lvl>
    <w:lvl w:ilvl="4" w:tplc="6204CBDC" w:tentative="1">
      <w:start w:val="1"/>
      <w:numFmt w:val="bullet"/>
      <w:lvlText w:val="o"/>
      <w:lvlJc w:val="left"/>
      <w:pPr>
        <w:tabs>
          <w:tab w:val="num" w:pos="3885"/>
        </w:tabs>
        <w:ind w:left="3885" w:hanging="360"/>
      </w:pPr>
      <w:rPr>
        <w:rFonts w:ascii="Courier New" w:hAnsi="Courier New" w:hint="default"/>
      </w:rPr>
    </w:lvl>
    <w:lvl w:ilvl="5" w:tplc="7318EDDE" w:tentative="1">
      <w:start w:val="1"/>
      <w:numFmt w:val="bullet"/>
      <w:lvlText w:val=""/>
      <w:lvlJc w:val="left"/>
      <w:pPr>
        <w:tabs>
          <w:tab w:val="num" w:pos="4605"/>
        </w:tabs>
        <w:ind w:left="4605" w:hanging="360"/>
      </w:pPr>
      <w:rPr>
        <w:rFonts w:ascii="Wingdings" w:hAnsi="Wingdings" w:hint="default"/>
      </w:rPr>
    </w:lvl>
    <w:lvl w:ilvl="6" w:tplc="EFECB914" w:tentative="1">
      <w:start w:val="1"/>
      <w:numFmt w:val="bullet"/>
      <w:lvlText w:val=""/>
      <w:lvlJc w:val="left"/>
      <w:pPr>
        <w:tabs>
          <w:tab w:val="num" w:pos="5325"/>
        </w:tabs>
        <w:ind w:left="5325" w:hanging="360"/>
      </w:pPr>
      <w:rPr>
        <w:rFonts w:ascii="Symbol" w:hAnsi="Symbol" w:hint="default"/>
      </w:rPr>
    </w:lvl>
    <w:lvl w:ilvl="7" w:tplc="E4C4CD90" w:tentative="1">
      <w:start w:val="1"/>
      <w:numFmt w:val="bullet"/>
      <w:lvlText w:val="o"/>
      <w:lvlJc w:val="left"/>
      <w:pPr>
        <w:tabs>
          <w:tab w:val="num" w:pos="6045"/>
        </w:tabs>
        <w:ind w:left="6045" w:hanging="360"/>
      </w:pPr>
      <w:rPr>
        <w:rFonts w:ascii="Courier New" w:hAnsi="Courier New" w:hint="default"/>
      </w:rPr>
    </w:lvl>
    <w:lvl w:ilvl="8" w:tplc="C4F8EA94" w:tentative="1">
      <w:start w:val="1"/>
      <w:numFmt w:val="bullet"/>
      <w:lvlText w:val=""/>
      <w:lvlJc w:val="left"/>
      <w:pPr>
        <w:tabs>
          <w:tab w:val="num" w:pos="6765"/>
        </w:tabs>
        <w:ind w:left="6765" w:hanging="360"/>
      </w:pPr>
      <w:rPr>
        <w:rFonts w:ascii="Wingdings" w:hAnsi="Wingdings" w:hint="default"/>
      </w:rPr>
    </w:lvl>
  </w:abstractNum>
  <w:abstractNum w:abstractNumId="3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2">
    <w:nsid w:val="663A1EF6"/>
    <w:multiLevelType w:val="hybridMultilevel"/>
    <w:tmpl w:val="82267DA2"/>
    <w:lvl w:ilvl="0" w:tplc="260E45C2">
      <w:start w:val="14"/>
      <w:numFmt w:val="decimal"/>
      <w:lvlText w:val="%1."/>
      <w:lvlJc w:val="left"/>
      <w:pPr>
        <w:ind w:left="720" w:hanging="360"/>
      </w:pPr>
      <w:rPr>
        <w:rFonts w:cs="Times New Roman" w:hint="default"/>
      </w:rPr>
    </w:lvl>
    <w:lvl w:ilvl="1" w:tplc="8C80B390" w:tentative="1">
      <w:start w:val="1"/>
      <w:numFmt w:val="lowerLetter"/>
      <w:lvlText w:val="%2."/>
      <w:lvlJc w:val="left"/>
      <w:pPr>
        <w:ind w:left="1440" w:hanging="360"/>
      </w:pPr>
      <w:rPr>
        <w:rFonts w:cs="Times New Roman"/>
      </w:rPr>
    </w:lvl>
    <w:lvl w:ilvl="2" w:tplc="307C5452" w:tentative="1">
      <w:start w:val="1"/>
      <w:numFmt w:val="lowerRoman"/>
      <w:lvlText w:val="%3."/>
      <w:lvlJc w:val="right"/>
      <w:pPr>
        <w:ind w:left="2160" w:hanging="180"/>
      </w:pPr>
      <w:rPr>
        <w:rFonts w:cs="Times New Roman"/>
      </w:rPr>
    </w:lvl>
    <w:lvl w:ilvl="3" w:tplc="235006DC" w:tentative="1">
      <w:start w:val="1"/>
      <w:numFmt w:val="decimal"/>
      <w:lvlText w:val="%4."/>
      <w:lvlJc w:val="left"/>
      <w:pPr>
        <w:ind w:left="2880" w:hanging="360"/>
      </w:pPr>
      <w:rPr>
        <w:rFonts w:cs="Times New Roman"/>
      </w:rPr>
    </w:lvl>
    <w:lvl w:ilvl="4" w:tplc="96A49B2C" w:tentative="1">
      <w:start w:val="1"/>
      <w:numFmt w:val="lowerLetter"/>
      <w:lvlText w:val="%5."/>
      <w:lvlJc w:val="left"/>
      <w:pPr>
        <w:ind w:left="3600" w:hanging="360"/>
      </w:pPr>
      <w:rPr>
        <w:rFonts w:cs="Times New Roman"/>
      </w:rPr>
    </w:lvl>
    <w:lvl w:ilvl="5" w:tplc="70D64F70" w:tentative="1">
      <w:start w:val="1"/>
      <w:numFmt w:val="lowerRoman"/>
      <w:lvlText w:val="%6."/>
      <w:lvlJc w:val="right"/>
      <w:pPr>
        <w:ind w:left="4320" w:hanging="180"/>
      </w:pPr>
      <w:rPr>
        <w:rFonts w:cs="Times New Roman"/>
      </w:rPr>
    </w:lvl>
    <w:lvl w:ilvl="6" w:tplc="0F94FEA4" w:tentative="1">
      <w:start w:val="1"/>
      <w:numFmt w:val="decimal"/>
      <w:lvlText w:val="%7."/>
      <w:lvlJc w:val="left"/>
      <w:pPr>
        <w:ind w:left="5040" w:hanging="360"/>
      </w:pPr>
      <w:rPr>
        <w:rFonts w:cs="Times New Roman"/>
      </w:rPr>
    </w:lvl>
    <w:lvl w:ilvl="7" w:tplc="6776ADA2" w:tentative="1">
      <w:start w:val="1"/>
      <w:numFmt w:val="lowerLetter"/>
      <w:lvlText w:val="%8."/>
      <w:lvlJc w:val="left"/>
      <w:pPr>
        <w:ind w:left="5760" w:hanging="360"/>
      </w:pPr>
      <w:rPr>
        <w:rFonts w:cs="Times New Roman"/>
      </w:rPr>
    </w:lvl>
    <w:lvl w:ilvl="8" w:tplc="A0929538" w:tentative="1">
      <w:start w:val="1"/>
      <w:numFmt w:val="lowerRoman"/>
      <w:lvlText w:val="%9."/>
      <w:lvlJc w:val="right"/>
      <w:pPr>
        <w:ind w:left="6480" w:hanging="180"/>
      </w:pPr>
      <w:rPr>
        <w:rFonts w:cs="Times New Roman"/>
      </w:rPr>
    </w:lvl>
  </w:abstractNum>
  <w:abstractNum w:abstractNumId="33">
    <w:nsid w:val="69140292"/>
    <w:multiLevelType w:val="hybridMultilevel"/>
    <w:tmpl w:val="173A8DCE"/>
    <w:lvl w:ilvl="0" w:tplc="8F961376">
      <w:start w:val="1"/>
      <w:numFmt w:val="lowerLetter"/>
      <w:lvlText w:val="(%1)"/>
      <w:lvlJc w:val="left"/>
      <w:pPr>
        <w:ind w:left="1080" w:hanging="360"/>
      </w:pPr>
      <w:rPr>
        <w:rFonts w:ascii="Calibri" w:hAnsi="Calibri" w:cs="Times New Roman" w:hint="default"/>
      </w:rPr>
    </w:lvl>
    <w:lvl w:ilvl="1" w:tplc="1270D58C" w:tentative="1">
      <w:start w:val="1"/>
      <w:numFmt w:val="lowerLetter"/>
      <w:lvlText w:val="%2."/>
      <w:lvlJc w:val="left"/>
      <w:pPr>
        <w:ind w:left="1800" w:hanging="360"/>
      </w:pPr>
      <w:rPr>
        <w:rFonts w:cs="Times New Roman"/>
      </w:rPr>
    </w:lvl>
    <w:lvl w:ilvl="2" w:tplc="0798A04E" w:tentative="1">
      <w:start w:val="1"/>
      <w:numFmt w:val="lowerRoman"/>
      <w:lvlText w:val="%3."/>
      <w:lvlJc w:val="right"/>
      <w:pPr>
        <w:ind w:left="2520" w:hanging="180"/>
      </w:pPr>
      <w:rPr>
        <w:rFonts w:cs="Times New Roman"/>
      </w:rPr>
    </w:lvl>
    <w:lvl w:ilvl="3" w:tplc="374A7E50" w:tentative="1">
      <w:start w:val="1"/>
      <w:numFmt w:val="decimal"/>
      <w:lvlText w:val="%4."/>
      <w:lvlJc w:val="left"/>
      <w:pPr>
        <w:ind w:left="3240" w:hanging="360"/>
      </w:pPr>
      <w:rPr>
        <w:rFonts w:cs="Times New Roman"/>
      </w:rPr>
    </w:lvl>
    <w:lvl w:ilvl="4" w:tplc="6208242E" w:tentative="1">
      <w:start w:val="1"/>
      <w:numFmt w:val="lowerLetter"/>
      <w:lvlText w:val="%5."/>
      <w:lvlJc w:val="left"/>
      <w:pPr>
        <w:ind w:left="3960" w:hanging="360"/>
      </w:pPr>
      <w:rPr>
        <w:rFonts w:cs="Times New Roman"/>
      </w:rPr>
    </w:lvl>
    <w:lvl w:ilvl="5" w:tplc="3EA6F6F6" w:tentative="1">
      <w:start w:val="1"/>
      <w:numFmt w:val="lowerRoman"/>
      <w:lvlText w:val="%6."/>
      <w:lvlJc w:val="right"/>
      <w:pPr>
        <w:ind w:left="4680" w:hanging="180"/>
      </w:pPr>
      <w:rPr>
        <w:rFonts w:cs="Times New Roman"/>
      </w:rPr>
    </w:lvl>
    <w:lvl w:ilvl="6" w:tplc="C67C0128" w:tentative="1">
      <w:start w:val="1"/>
      <w:numFmt w:val="decimal"/>
      <w:lvlText w:val="%7."/>
      <w:lvlJc w:val="left"/>
      <w:pPr>
        <w:ind w:left="5400" w:hanging="360"/>
      </w:pPr>
      <w:rPr>
        <w:rFonts w:cs="Times New Roman"/>
      </w:rPr>
    </w:lvl>
    <w:lvl w:ilvl="7" w:tplc="BEA8BD9A" w:tentative="1">
      <w:start w:val="1"/>
      <w:numFmt w:val="lowerLetter"/>
      <w:lvlText w:val="%8."/>
      <w:lvlJc w:val="left"/>
      <w:pPr>
        <w:ind w:left="6120" w:hanging="360"/>
      </w:pPr>
      <w:rPr>
        <w:rFonts w:cs="Times New Roman"/>
      </w:rPr>
    </w:lvl>
    <w:lvl w:ilvl="8" w:tplc="607E1D06" w:tentative="1">
      <w:start w:val="1"/>
      <w:numFmt w:val="lowerRoman"/>
      <w:lvlText w:val="%9."/>
      <w:lvlJc w:val="right"/>
      <w:pPr>
        <w:ind w:left="6840" w:hanging="180"/>
      </w:pPr>
      <w:rPr>
        <w:rFonts w:cs="Times New Roman"/>
      </w:r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73D61803"/>
    <w:multiLevelType w:val="hybridMultilevel"/>
    <w:tmpl w:val="E72E839A"/>
    <w:lvl w:ilvl="0" w:tplc="93862050">
      <w:start w:val="1"/>
      <w:numFmt w:val="bullet"/>
      <w:lvlText w:val=""/>
      <w:lvlJc w:val="left"/>
      <w:pPr>
        <w:ind w:left="720" w:hanging="360"/>
      </w:pPr>
      <w:rPr>
        <w:rFonts w:ascii="Symbol" w:hAnsi="Symbol" w:hint="default"/>
      </w:rPr>
    </w:lvl>
    <w:lvl w:ilvl="1" w:tplc="17D4A78A" w:tentative="1">
      <w:start w:val="1"/>
      <w:numFmt w:val="bullet"/>
      <w:lvlText w:val="o"/>
      <w:lvlJc w:val="left"/>
      <w:pPr>
        <w:ind w:left="1440" w:hanging="360"/>
      </w:pPr>
      <w:rPr>
        <w:rFonts w:ascii="Courier New" w:hAnsi="Courier New" w:hint="default"/>
      </w:rPr>
    </w:lvl>
    <w:lvl w:ilvl="2" w:tplc="02F27248" w:tentative="1">
      <w:start w:val="1"/>
      <w:numFmt w:val="bullet"/>
      <w:lvlText w:val=""/>
      <w:lvlJc w:val="left"/>
      <w:pPr>
        <w:ind w:left="2160" w:hanging="360"/>
      </w:pPr>
      <w:rPr>
        <w:rFonts w:ascii="Wingdings" w:hAnsi="Wingdings" w:hint="default"/>
      </w:rPr>
    </w:lvl>
    <w:lvl w:ilvl="3" w:tplc="A372D0A8" w:tentative="1">
      <w:start w:val="1"/>
      <w:numFmt w:val="bullet"/>
      <w:lvlText w:val=""/>
      <w:lvlJc w:val="left"/>
      <w:pPr>
        <w:ind w:left="2880" w:hanging="360"/>
      </w:pPr>
      <w:rPr>
        <w:rFonts w:ascii="Symbol" w:hAnsi="Symbol" w:hint="default"/>
      </w:rPr>
    </w:lvl>
    <w:lvl w:ilvl="4" w:tplc="6EF4037E" w:tentative="1">
      <w:start w:val="1"/>
      <w:numFmt w:val="bullet"/>
      <w:lvlText w:val="o"/>
      <w:lvlJc w:val="left"/>
      <w:pPr>
        <w:ind w:left="3600" w:hanging="360"/>
      </w:pPr>
      <w:rPr>
        <w:rFonts w:ascii="Courier New" w:hAnsi="Courier New" w:hint="default"/>
      </w:rPr>
    </w:lvl>
    <w:lvl w:ilvl="5" w:tplc="6FD0F124" w:tentative="1">
      <w:start w:val="1"/>
      <w:numFmt w:val="bullet"/>
      <w:lvlText w:val=""/>
      <w:lvlJc w:val="left"/>
      <w:pPr>
        <w:ind w:left="4320" w:hanging="360"/>
      </w:pPr>
      <w:rPr>
        <w:rFonts w:ascii="Wingdings" w:hAnsi="Wingdings" w:hint="default"/>
      </w:rPr>
    </w:lvl>
    <w:lvl w:ilvl="6" w:tplc="A7167386" w:tentative="1">
      <w:start w:val="1"/>
      <w:numFmt w:val="bullet"/>
      <w:lvlText w:val=""/>
      <w:lvlJc w:val="left"/>
      <w:pPr>
        <w:ind w:left="5040" w:hanging="360"/>
      </w:pPr>
      <w:rPr>
        <w:rFonts w:ascii="Symbol" w:hAnsi="Symbol" w:hint="default"/>
      </w:rPr>
    </w:lvl>
    <w:lvl w:ilvl="7" w:tplc="6EAA133A" w:tentative="1">
      <w:start w:val="1"/>
      <w:numFmt w:val="bullet"/>
      <w:lvlText w:val="o"/>
      <w:lvlJc w:val="left"/>
      <w:pPr>
        <w:ind w:left="5760" w:hanging="360"/>
      </w:pPr>
      <w:rPr>
        <w:rFonts w:ascii="Courier New" w:hAnsi="Courier New" w:hint="default"/>
      </w:rPr>
    </w:lvl>
    <w:lvl w:ilvl="8" w:tplc="DB26F29A" w:tentative="1">
      <w:start w:val="1"/>
      <w:numFmt w:val="bullet"/>
      <w:lvlText w:val=""/>
      <w:lvlJc w:val="left"/>
      <w:pPr>
        <w:ind w:left="6480" w:hanging="360"/>
      </w:pPr>
      <w:rPr>
        <w:rFonts w:ascii="Wingdings" w:hAnsi="Wingdings" w:hint="default"/>
      </w:rPr>
    </w:lvl>
  </w:abstractNum>
  <w:abstractNum w:abstractNumId="3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771721D"/>
    <w:multiLevelType w:val="hybridMultilevel"/>
    <w:tmpl w:val="5B4C0298"/>
    <w:lvl w:ilvl="0" w:tplc="18090001">
      <w:start w:val="1"/>
      <w:numFmt w:val="lowerLetter"/>
      <w:lvlText w:val="(%1)"/>
      <w:lvlJc w:val="left"/>
      <w:pPr>
        <w:ind w:left="720" w:hanging="360"/>
      </w:pPr>
      <w:rPr>
        <w:rFonts w:cs="Times New Roman" w:hint="default"/>
      </w:rPr>
    </w:lvl>
    <w:lvl w:ilvl="1" w:tplc="18090003" w:tentative="1">
      <w:start w:val="1"/>
      <w:numFmt w:val="lowerLetter"/>
      <w:lvlText w:val="%2."/>
      <w:lvlJc w:val="left"/>
      <w:pPr>
        <w:ind w:left="1440" w:hanging="360"/>
      </w:pPr>
      <w:rPr>
        <w:rFonts w:cs="Times New Roman"/>
      </w:rPr>
    </w:lvl>
    <w:lvl w:ilvl="2" w:tplc="18090005" w:tentative="1">
      <w:start w:val="1"/>
      <w:numFmt w:val="lowerRoman"/>
      <w:lvlText w:val="%3."/>
      <w:lvlJc w:val="right"/>
      <w:pPr>
        <w:ind w:left="2160" w:hanging="180"/>
      </w:pPr>
      <w:rPr>
        <w:rFonts w:cs="Times New Roman"/>
      </w:rPr>
    </w:lvl>
    <w:lvl w:ilvl="3" w:tplc="18090001" w:tentative="1">
      <w:start w:val="1"/>
      <w:numFmt w:val="decimal"/>
      <w:lvlText w:val="%4."/>
      <w:lvlJc w:val="left"/>
      <w:pPr>
        <w:ind w:left="2880" w:hanging="360"/>
      </w:pPr>
      <w:rPr>
        <w:rFonts w:cs="Times New Roman"/>
      </w:rPr>
    </w:lvl>
    <w:lvl w:ilvl="4" w:tplc="18090003" w:tentative="1">
      <w:start w:val="1"/>
      <w:numFmt w:val="lowerLetter"/>
      <w:lvlText w:val="%5."/>
      <w:lvlJc w:val="left"/>
      <w:pPr>
        <w:ind w:left="3600" w:hanging="360"/>
      </w:pPr>
      <w:rPr>
        <w:rFonts w:cs="Times New Roman"/>
      </w:rPr>
    </w:lvl>
    <w:lvl w:ilvl="5" w:tplc="18090005" w:tentative="1">
      <w:start w:val="1"/>
      <w:numFmt w:val="lowerRoman"/>
      <w:lvlText w:val="%6."/>
      <w:lvlJc w:val="right"/>
      <w:pPr>
        <w:ind w:left="4320" w:hanging="180"/>
      </w:pPr>
      <w:rPr>
        <w:rFonts w:cs="Times New Roman"/>
      </w:rPr>
    </w:lvl>
    <w:lvl w:ilvl="6" w:tplc="18090001" w:tentative="1">
      <w:start w:val="1"/>
      <w:numFmt w:val="decimal"/>
      <w:lvlText w:val="%7."/>
      <w:lvlJc w:val="left"/>
      <w:pPr>
        <w:ind w:left="5040" w:hanging="360"/>
      </w:pPr>
      <w:rPr>
        <w:rFonts w:cs="Times New Roman"/>
      </w:rPr>
    </w:lvl>
    <w:lvl w:ilvl="7" w:tplc="18090003" w:tentative="1">
      <w:start w:val="1"/>
      <w:numFmt w:val="lowerLetter"/>
      <w:lvlText w:val="%8."/>
      <w:lvlJc w:val="left"/>
      <w:pPr>
        <w:ind w:left="5760" w:hanging="360"/>
      </w:pPr>
      <w:rPr>
        <w:rFonts w:cs="Times New Roman"/>
      </w:rPr>
    </w:lvl>
    <w:lvl w:ilvl="8" w:tplc="18090005" w:tentative="1">
      <w:start w:val="1"/>
      <w:numFmt w:val="lowerRoman"/>
      <w:lvlText w:val="%9."/>
      <w:lvlJc w:val="right"/>
      <w:pPr>
        <w:ind w:left="6480" w:hanging="180"/>
      </w:pPr>
      <w:rPr>
        <w:rFonts w:cs="Times New Roman"/>
      </w:rPr>
    </w:lvl>
  </w:abstractNum>
  <w:abstractNum w:abstractNumId="38">
    <w:nsid w:val="77B06946"/>
    <w:multiLevelType w:val="hybridMultilevel"/>
    <w:tmpl w:val="660E9E1C"/>
    <w:lvl w:ilvl="0" w:tplc="669CC552">
      <w:start w:val="1"/>
      <w:numFmt w:val="decimal"/>
      <w:lvlText w:val="%1)"/>
      <w:lvlJc w:val="left"/>
      <w:pPr>
        <w:ind w:left="720" w:hanging="360"/>
      </w:pPr>
      <w:rPr>
        <w:rFonts w:cs="Times New Roman" w:hint="default"/>
      </w:rPr>
    </w:lvl>
    <w:lvl w:ilvl="1" w:tplc="95C07CF0" w:tentative="1">
      <w:start w:val="1"/>
      <w:numFmt w:val="lowerLetter"/>
      <w:lvlText w:val="%2."/>
      <w:lvlJc w:val="left"/>
      <w:pPr>
        <w:ind w:left="1440" w:hanging="360"/>
      </w:pPr>
      <w:rPr>
        <w:rFonts w:cs="Times New Roman"/>
      </w:rPr>
    </w:lvl>
    <w:lvl w:ilvl="2" w:tplc="A69AE5B4" w:tentative="1">
      <w:start w:val="1"/>
      <w:numFmt w:val="lowerRoman"/>
      <w:lvlText w:val="%3."/>
      <w:lvlJc w:val="right"/>
      <w:pPr>
        <w:ind w:left="2160" w:hanging="180"/>
      </w:pPr>
      <w:rPr>
        <w:rFonts w:cs="Times New Roman"/>
      </w:rPr>
    </w:lvl>
    <w:lvl w:ilvl="3" w:tplc="E5EC5234" w:tentative="1">
      <w:start w:val="1"/>
      <w:numFmt w:val="decimal"/>
      <w:lvlText w:val="%4."/>
      <w:lvlJc w:val="left"/>
      <w:pPr>
        <w:ind w:left="2880" w:hanging="360"/>
      </w:pPr>
      <w:rPr>
        <w:rFonts w:cs="Times New Roman"/>
      </w:rPr>
    </w:lvl>
    <w:lvl w:ilvl="4" w:tplc="10BA0510" w:tentative="1">
      <w:start w:val="1"/>
      <w:numFmt w:val="lowerLetter"/>
      <w:lvlText w:val="%5."/>
      <w:lvlJc w:val="left"/>
      <w:pPr>
        <w:ind w:left="3600" w:hanging="360"/>
      </w:pPr>
      <w:rPr>
        <w:rFonts w:cs="Times New Roman"/>
      </w:rPr>
    </w:lvl>
    <w:lvl w:ilvl="5" w:tplc="8D5215B0" w:tentative="1">
      <w:start w:val="1"/>
      <w:numFmt w:val="lowerRoman"/>
      <w:lvlText w:val="%6."/>
      <w:lvlJc w:val="right"/>
      <w:pPr>
        <w:ind w:left="4320" w:hanging="180"/>
      </w:pPr>
      <w:rPr>
        <w:rFonts w:cs="Times New Roman"/>
      </w:rPr>
    </w:lvl>
    <w:lvl w:ilvl="6" w:tplc="64D22308" w:tentative="1">
      <w:start w:val="1"/>
      <w:numFmt w:val="decimal"/>
      <w:lvlText w:val="%7."/>
      <w:lvlJc w:val="left"/>
      <w:pPr>
        <w:ind w:left="5040" w:hanging="360"/>
      </w:pPr>
      <w:rPr>
        <w:rFonts w:cs="Times New Roman"/>
      </w:rPr>
    </w:lvl>
    <w:lvl w:ilvl="7" w:tplc="404E5A70" w:tentative="1">
      <w:start w:val="1"/>
      <w:numFmt w:val="lowerLetter"/>
      <w:lvlText w:val="%8."/>
      <w:lvlJc w:val="left"/>
      <w:pPr>
        <w:ind w:left="5760" w:hanging="360"/>
      </w:pPr>
      <w:rPr>
        <w:rFonts w:cs="Times New Roman"/>
      </w:rPr>
    </w:lvl>
    <w:lvl w:ilvl="8" w:tplc="EE6A14FE" w:tentative="1">
      <w:start w:val="1"/>
      <w:numFmt w:val="lowerRoman"/>
      <w:lvlText w:val="%9."/>
      <w:lvlJc w:val="right"/>
      <w:pPr>
        <w:ind w:left="6480" w:hanging="180"/>
      </w:pPr>
      <w:rPr>
        <w:rFonts w:cs="Times New Roman"/>
      </w:rPr>
    </w:lvl>
  </w:abstractNum>
  <w:abstractNum w:abstractNumId="3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FBE5F19"/>
    <w:multiLevelType w:val="hybridMultilevel"/>
    <w:tmpl w:val="27AC7E24"/>
    <w:lvl w:ilvl="0" w:tplc="DBBE9908">
      <w:start w:val="6"/>
      <w:numFmt w:val="decimal"/>
      <w:lvlText w:val="%1)"/>
      <w:lvlJc w:val="left"/>
      <w:pPr>
        <w:ind w:left="720" w:hanging="360"/>
      </w:pPr>
      <w:rPr>
        <w:rFonts w:hint="default"/>
      </w:rPr>
    </w:lvl>
    <w:lvl w:ilvl="1" w:tplc="6CA0AAF8" w:tentative="1">
      <w:start w:val="1"/>
      <w:numFmt w:val="lowerLetter"/>
      <w:lvlText w:val="%2."/>
      <w:lvlJc w:val="left"/>
      <w:pPr>
        <w:ind w:left="1440" w:hanging="360"/>
      </w:pPr>
    </w:lvl>
    <w:lvl w:ilvl="2" w:tplc="88826394" w:tentative="1">
      <w:start w:val="1"/>
      <w:numFmt w:val="lowerRoman"/>
      <w:lvlText w:val="%3."/>
      <w:lvlJc w:val="right"/>
      <w:pPr>
        <w:ind w:left="2160" w:hanging="180"/>
      </w:pPr>
    </w:lvl>
    <w:lvl w:ilvl="3" w:tplc="85AA33EC" w:tentative="1">
      <w:start w:val="1"/>
      <w:numFmt w:val="decimal"/>
      <w:lvlText w:val="%4."/>
      <w:lvlJc w:val="left"/>
      <w:pPr>
        <w:ind w:left="2880" w:hanging="360"/>
      </w:pPr>
    </w:lvl>
    <w:lvl w:ilvl="4" w:tplc="3E44068A" w:tentative="1">
      <w:start w:val="1"/>
      <w:numFmt w:val="lowerLetter"/>
      <w:lvlText w:val="%5."/>
      <w:lvlJc w:val="left"/>
      <w:pPr>
        <w:ind w:left="3600" w:hanging="360"/>
      </w:pPr>
    </w:lvl>
    <w:lvl w:ilvl="5" w:tplc="308CE442" w:tentative="1">
      <w:start w:val="1"/>
      <w:numFmt w:val="lowerRoman"/>
      <w:lvlText w:val="%6."/>
      <w:lvlJc w:val="right"/>
      <w:pPr>
        <w:ind w:left="4320" w:hanging="180"/>
      </w:pPr>
    </w:lvl>
    <w:lvl w:ilvl="6" w:tplc="73563538" w:tentative="1">
      <w:start w:val="1"/>
      <w:numFmt w:val="decimal"/>
      <w:lvlText w:val="%7."/>
      <w:lvlJc w:val="left"/>
      <w:pPr>
        <w:ind w:left="5040" w:hanging="360"/>
      </w:pPr>
    </w:lvl>
    <w:lvl w:ilvl="7" w:tplc="F0A48D30" w:tentative="1">
      <w:start w:val="1"/>
      <w:numFmt w:val="lowerLetter"/>
      <w:lvlText w:val="%8."/>
      <w:lvlJc w:val="left"/>
      <w:pPr>
        <w:ind w:left="5760" w:hanging="360"/>
      </w:pPr>
    </w:lvl>
    <w:lvl w:ilvl="8" w:tplc="03D44110" w:tentative="1">
      <w:start w:val="1"/>
      <w:numFmt w:val="lowerRoman"/>
      <w:lvlText w:val="%9."/>
      <w:lvlJc w:val="right"/>
      <w:pPr>
        <w:ind w:left="6480" w:hanging="180"/>
      </w:pPr>
    </w:lvl>
  </w:abstractNum>
  <w:num w:numId="1">
    <w:abstractNumId w:val="39"/>
  </w:num>
  <w:num w:numId="2">
    <w:abstractNumId w:val="34"/>
  </w:num>
  <w:num w:numId="3">
    <w:abstractNumId w:val="8"/>
  </w:num>
  <w:num w:numId="4">
    <w:abstractNumId w:val="18"/>
  </w:num>
  <w:num w:numId="5">
    <w:abstractNumId w:val="16"/>
  </w:num>
  <w:num w:numId="6">
    <w:abstractNumId w:val="11"/>
  </w:num>
  <w:num w:numId="7">
    <w:abstractNumId w:val="31"/>
  </w:num>
  <w:num w:numId="8">
    <w:abstractNumId w:val="36"/>
  </w:num>
  <w:num w:numId="9">
    <w:abstractNumId w:val="27"/>
  </w:num>
  <w:num w:numId="10">
    <w:abstractNumId w:val="30"/>
  </w:num>
  <w:num w:numId="11">
    <w:abstractNumId w:val="13"/>
  </w:num>
  <w:num w:numId="12">
    <w:abstractNumId w:val="25"/>
  </w:num>
  <w:num w:numId="13">
    <w:abstractNumId w:val="1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5"/>
  </w:num>
  <w:num w:numId="21">
    <w:abstractNumId w:val="19"/>
  </w:num>
  <w:num w:numId="22">
    <w:abstractNumId w:val="20"/>
  </w:num>
  <w:num w:numId="23">
    <w:abstractNumId w:val="9"/>
  </w:num>
  <w:num w:numId="24">
    <w:abstractNumId w:val="29"/>
  </w:num>
  <w:num w:numId="25">
    <w:abstractNumId w:val="35"/>
  </w:num>
  <w:num w:numId="26">
    <w:abstractNumId w:val="37"/>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
  </w:num>
  <w:num w:numId="31">
    <w:abstractNumId w:val="38"/>
  </w:num>
  <w:num w:numId="32">
    <w:abstractNumId w:val="14"/>
  </w:num>
  <w:num w:numId="33">
    <w:abstractNumId w:val="21"/>
  </w:num>
  <w:num w:numId="34">
    <w:abstractNumId w:val="7"/>
  </w:num>
  <w:num w:numId="35">
    <w:abstractNumId w:val="23"/>
  </w:num>
  <w:num w:numId="36">
    <w:abstractNumId w:val="12"/>
  </w:num>
  <w:num w:numId="37">
    <w:abstractNumId w:val="32"/>
  </w:num>
  <w:num w:numId="38">
    <w:abstractNumId w:val="22"/>
  </w:num>
  <w:num w:numId="39">
    <w:abstractNumId w:val="24"/>
  </w:num>
  <w:num w:numId="40">
    <w:abstractNumId w:val="17"/>
  </w:num>
  <w:num w:numId="41">
    <w:abstractNumId w:val="6"/>
  </w:num>
  <w:num w:numId="42">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5F66"/>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5C0"/>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4DDF"/>
    <w:rsid w:val="00185404"/>
    <w:rsid w:val="00185D5D"/>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6BDF"/>
    <w:rsid w:val="002B72B3"/>
    <w:rsid w:val="002C008E"/>
    <w:rsid w:val="002C0C7E"/>
    <w:rsid w:val="002C12E4"/>
    <w:rsid w:val="002C1586"/>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566C"/>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33B4"/>
    <w:rsid w:val="0039426D"/>
    <w:rsid w:val="00394685"/>
    <w:rsid w:val="003958CD"/>
    <w:rsid w:val="00396C62"/>
    <w:rsid w:val="00397632"/>
    <w:rsid w:val="003979D0"/>
    <w:rsid w:val="003A00C5"/>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666"/>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3849"/>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6FF9"/>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000"/>
    <w:rsid w:val="00540943"/>
    <w:rsid w:val="00540EF4"/>
    <w:rsid w:val="00541829"/>
    <w:rsid w:val="0054297E"/>
    <w:rsid w:val="00542A5A"/>
    <w:rsid w:val="00543040"/>
    <w:rsid w:val="0054335E"/>
    <w:rsid w:val="00543673"/>
    <w:rsid w:val="00544091"/>
    <w:rsid w:val="00544343"/>
    <w:rsid w:val="005450C7"/>
    <w:rsid w:val="00545E75"/>
    <w:rsid w:val="00546C88"/>
    <w:rsid w:val="00547C44"/>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1EEF"/>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4D6"/>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D32"/>
    <w:rsid w:val="00627978"/>
    <w:rsid w:val="006301CF"/>
    <w:rsid w:val="00630D67"/>
    <w:rsid w:val="006329DC"/>
    <w:rsid w:val="0063341E"/>
    <w:rsid w:val="006337CE"/>
    <w:rsid w:val="00633AEF"/>
    <w:rsid w:val="00635BEB"/>
    <w:rsid w:val="00636776"/>
    <w:rsid w:val="00636ACC"/>
    <w:rsid w:val="00636B8B"/>
    <w:rsid w:val="00637B21"/>
    <w:rsid w:val="00640C77"/>
    <w:rsid w:val="0064301F"/>
    <w:rsid w:val="00643E25"/>
    <w:rsid w:val="00645540"/>
    <w:rsid w:val="00645D38"/>
    <w:rsid w:val="00646026"/>
    <w:rsid w:val="0064672A"/>
    <w:rsid w:val="006519ED"/>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23D"/>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4DE2"/>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6E3A"/>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18F9"/>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D87"/>
    <w:rsid w:val="007A3EA7"/>
    <w:rsid w:val="007A5DB9"/>
    <w:rsid w:val="007A60F1"/>
    <w:rsid w:val="007A6999"/>
    <w:rsid w:val="007B0630"/>
    <w:rsid w:val="007B0D35"/>
    <w:rsid w:val="007B0E30"/>
    <w:rsid w:val="007B137F"/>
    <w:rsid w:val="007B1394"/>
    <w:rsid w:val="007B1DF2"/>
    <w:rsid w:val="007B1F40"/>
    <w:rsid w:val="007B26E5"/>
    <w:rsid w:val="007B27F6"/>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17F44"/>
    <w:rsid w:val="00822E5C"/>
    <w:rsid w:val="0082641B"/>
    <w:rsid w:val="00826E8D"/>
    <w:rsid w:val="008301FA"/>
    <w:rsid w:val="00830F6C"/>
    <w:rsid w:val="00831061"/>
    <w:rsid w:val="00831437"/>
    <w:rsid w:val="008315F2"/>
    <w:rsid w:val="008331BE"/>
    <w:rsid w:val="008336A6"/>
    <w:rsid w:val="00833BE5"/>
    <w:rsid w:val="008341C7"/>
    <w:rsid w:val="00834FB0"/>
    <w:rsid w:val="008354DD"/>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3AB1"/>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33E1"/>
    <w:rsid w:val="008B4394"/>
    <w:rsid w:val="008B4B6D"/>
    <w:rsid w:val="008B4E46"/>
    <w:rsid w:val="008B512C"/>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525"/>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A9B"/>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1956"/>
    <w:rsid w:val="00A5239F"/>
    <w:rsid w:val="00A524E0"/>
    <w:rsid w:val="00A53010"/>
    <w:rsid w:val="00A53DA1"/>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1C0E"/>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864"/>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0940"/>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68CA"/>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66A7"/>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16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0876"/>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2B05"/>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17CA6"/>
    <w:rsid w:val="00D21441"/>
    <w:rsid w:val="00D21889"/>
    <w:rsid w:val="00D22338"/>
    <w:rsid w:val="00D229BA"/>
    <w:rsid w:val="00D2304E"/>
    <w:rsid w:val="00D23453"/>
    <w:rsid w:val="00D2496C"/>
    <w:rsid w:val="00D256D4"/>
    <w:rsid w:val="00D26080"/>
    <w:rsid w:val="00D26904"/>
    <w:rsid w:val="00D273C4"/>
    <w:rsid w:val="00D30F71"/>
    <w:rsid w:val="00D318A3"/>
    <w:rsid w:val="00D324D5"/>
    <w:rsid w:val="00D32D91"/>
    <w:rsid w:val="00D330F2"/>
    <w:rsid w:val="00D33224"/>
    <w:rsid w:val="00D3417D"/>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5D93"/>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3"/>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2E5"/>
    <w:rsid w:val="00EC47D1"/>
    <w:rsid w:val="00EC4B1C"/>
    <w:rsid w:val="00EC5516"/>
    <w:rsid w:val="00EC5F76"/>
    <w:rsid w:val="00EC635C"/>
    <w:rsid w:val="00EC6904"/>
    <w:rsid w:val="00EC695A"/>
    <w:rsid w:val="00ED0926"/>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0D8D"/>
    <w:rsid w:val="00EF13E3"/>
    <w:rsid w:val="00EF16B0"/>
    <w:rsid w:val="00EF1936"/>
    <w:rsid w:val="00EF1BD1"/>
    <w:rsid w:val="00EF1C2D"/>
    <w:rsid w:val="00EF4233"/>
    <w:rsid w:val="00EF453F"/>
    <w:rsid w:val="00EF473F"/>
    <w:rsid w:val="00EF479B"/>
    <w:rsid w:val="00EF5BE2"/>
    <w:rsid w:val="00EF6F6C"/>
    <w:rsid w:val="00EF740D"/>
    <w:rsid w:val="00F001FA"/>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6BDB"/>
    <w:rsid w:val="00F57C89"/>
    <w:rsid w:val="00F603C7"/>
    <w:rsid w:val="00F60768"/>
    <w:rsid w:val="00F619C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266"/>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2710702">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589628531">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9_18%20Part%20B%20Housekeeping%201.ppt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m-o.com/MarketDevelopment/ModificationDocuments/Mod_22_18%20Part%20B%20Credit%20Cover%20Signage%20and%20Subscript%20Correction.docx" TargetMode="Externa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57294-F3E4-4825-B348-8D38B54A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8991</Words>
  <Characters>54018</Characters>
  <Application>Microsoft Office Word</Application>
  <DocSecurity>0</DocSecurity>
  <Lines>450</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62884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2018-11-05T10:25:00Z</dcterms:created>
  <dcterms:modified xsi:type="dcterms:W3CDTF">2018-11-05T10:25:00Z</dcterms:modified>
</cp:coreProperties>
</file>