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0CB3F587" w:rsidR="00564D58" w:rsidRPr="003D3D96" w:rsidRDefault="000C4F3B" w:rsidP="00E56F35">
            <w:pPr>
              <w:pStyle w:val="DocTitle"/>
            </w:pPr>
            <w:r w:rsidRPr="003D3D96">
              <w:t>Mod_</w:t>
            </w:r>
            <w:r w:rsidR="00A24BDE">
              <w:t>0</w:t>
            </w:r>
            <w:r w:rsidR="00642487">
              <w:t>5</w:t>
            </w:r>
            <w:r w:rsidR="00A24BDE">
              <w:t xml:space="preserve">_22 </w:t>
            </w:r>
            <w:r w:rsidR="00642487">
              <w:t>SEMO Performance REporting Frequency</w:t>
            </w:r>
          </w:p>
          <w:p w14:paraId="7EE54A33" w14:textId="260C290F" w:rsidR="00A572DA" w:rsidRPr="003D3D96" w:rsidRDefault="00642487" w:rsidP="00623556">
            <w:pPr>
              <w:pStyle w:val="DocTitle"/>
              <w:tabs>
                <w:tab w:val="center" w:pos="4771"/>
                <w:tab w:val="left" w:pos="6570"/>
              </w:tabs>
            </w:pPr>
            <w:r>
              <w:t>16 June</w:t>
            </w:r>
            <w:r w:rsidR="00BC5D0D">
              <w:t xml:space="preserve"> 2022</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1377"/>
        <w:gridCol w:w="2826"/>
        <w:gridCol w:w="3536"/>
      </w:tblGrid>
      <w:tr w:rsidR="005A6C6E" w:rsidRPr="003D3D96" w14:paraId="7EE54A45" w14:textId="77777777" w:rsidTr="00B2450B">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9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63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B2450B">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98" w:type="pct"/>
            <w:shd w:val="clear" w:color="auto" w:fill="auto"/>
          </w:tcPr>
          <w:p w14:paraId="7EE54A47" w14:textId="3270D848" w:rsidR="007A6999" w:rsidRPr="003D3D96" w:rsidRDefault="00690219" w:rsidP="00A13466">
            <w:pPr>
              <w:spacing w:before="0" w:after="0" w:line="240" w:lineRule="auto"/>
              <w:rPr>
                <w:rStyle w:val="TableText"/>
              </w:rPr>
            </w:pPr>
            <w:r>
              <w:rPr>
                <w:rStyle w:val="TableText"/>
              </w:rPr>
              <w:t>14</w:t>
            </w:r>
            <w:r w:rsidRPr="00690219">
              <w:rPr>
                <w:rStyle w:val="TableText"/>
                <w:vertAlign w:val="superscript"/>
              </w:rPr>
              <w:t>th</w:t>
            </w:r>
            <w:r>
              <w:rPr>
                <w:rStyle w:val="TableText"/>
              </w:rPr>
              <w:t xml:space="preserve"> July 2022</w:t>
            </w:r>
          </w:p>
        </w:tc>
        <w:tc>
          <w:tcPr>
            <w:tcW w:w="163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B2450B">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98" w:type="pct"/>
            <w:shd w:val="clear" w:color="auto" w:fill="auto"/>
          </w:tcPr>
          <w:p w14:paraId="7EE54A4C" w14:textId="376D3556" w:rsidR="007A6999" w:rsidRPr="003D3D96" w:rsidRDefault="00B65AD3" w:rsidP="008C599B">
            <w:pPr>
              <w:spacing w:before="0" w:after="0" w:line="240" w:lineRule="auto"/>
              <w:rPr>
                <w:rStyle w:val="TableText"/>
              </w:rPr>
            </w:pPr>
            <w:r>
              <w:rPr>
                <w:rStyle w:val="TableText"/>
              </w:rPr>
              <w:t>21</w:t>
            </w:r>
            <w:r w:rsidRPr="00B65AD3">
              <w:rPr>
                <w:rStyle w:val="TableText"/>
                <w:vertAlign w:val="superscript"/>
              </w:rPr>
              <w:t>st</w:t>
            </w:r>
            <w:r>
              <w:rPr>
                <w:rStyle w:val="TableText"/>
              </w:rPr>
              <w:t xml:space="preserve"> July 2022</w:t>
            </w:r>
          </w:p>
        </w:tc>
        <w:tc>
          <w:tcPr>
            <w:tcW w:w="163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FD17FE"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3F4BC4" w:rsidRPr="003D3D96" w14:paraId="7EE54A5B" w14:textId="77777777" w:rsidTr="007840E4">
        <w:trPr>
          <w:trHeight w:val="64"/>
        </w:trPr>
        <w:tc>
          <w:tcPr>
            <w:tcW w:w="5000" w:type="pct"/>
          </w:tcPr>
          <w:p w14:paraId="7EE54A5A" w14:textId="593DB564" w:rsidR="003F4BC4" w:rsidRPr="003D3D96" w:rsidRDefault="00FD17FE" w:rsidP="00A830EF">
            <w:pPr>
              <w:spacing w:before="0" w:after="0" w:line="240" w:lineRule="auto"/>
            </w:pPr>
            <w:hyperlink r:id="rId13" w:history="1">
              <w:r w:rsidR="009D0321" w:rsidRPr="009D0321">
                <w:rPr>
                  <w:rStyle w:val="Hyperlink"/>
                </w:rPr>
                <w:t>Mod_05_22 SEMO Performance Reporting Frequency</w:t>
              </w:r>
            </w:hyperlink>
          </w:p>
        </w:tc>
      </w:tr>
    </w:tbl>
    <w:p w14:paraId="7EE54A5E" w14:textId="77777777" w:rsidR="00C12DA8" w:rsidRPr="003D3D96" w:rsidRDefault="00C12DA8"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65D4D2B5" w14:textId="01AC9884" w:rsidR="00F11540"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108082468" w:history="1">
        <w:r w:rsidR="00F11540" w:rsidRPr="005D5C35">
          <w:rPr>
            <w:rStyle w:val="Hyperlink"/>
            <w:noProof/>
            <w:lang w:eastAsia="en-GB"/>
          </w:rPr>
          <w:t>1.</w:t>
        </w:r>
        <w:r w:rsidR="00F11540">
          <w:rPr>
            <w:rFonts w:asciiTheme="minorHAnsi" w:eastAsiaTheme="minorEastAsia" w:hAnsiTheme="minorHAnsi" w:cstheme="minorBidi"/>
            <w:b w:val="0"/>
            <w:bCs w:val="0"/>
            <w:caps w:val="0"/>
            <w:noProof/>
            <w:sz w:val="22"/>
            <w:szCs w:val="22"/>
            <w:lang w:val="en-IE" w:eastAsia="en-IE" w:bidi="ar-SA"/>
          </w:rPr>
          <w:tab/>
        </w:r>
        <w:r w:rsidR="00F11540" w:rsidRPr="005D5C35">
          <w:rPr>
            <w:rStyle w:val="Hyperlink"/>
            <w:noProof/>
            <w:lang w:eastAsia="en-GB"/>
          </w:rPr>
          <w:t>MODIFICATIONS COMMITTEE RECOMMENDATION</w:t>
        </w:r>
        <w:r w:rsidR="00F11540">
          <w:rPr>
            <w:noProof/>
            <w:webHidden/>
          </w:rPr>
          <w:tab/>
        </w:r>
        <w:r w:rsidR="00F11540">
          <w:rPr>
            <w:noProof/>
            <w:webHidden/>
          </w:rPr>
          <w:fldChar w:fldCharType="begin"/>
        </w:r>
        <w:r w:rsidR="00F11540">
          <w:rPr>
            <w:noProof/>
            <w:webHidden/>
          </w:rPr>
          <w:instrText xml:space="preserve"> PAGEREF _Toc108082468 \h </w:instrText>
        </w:r>
        <w:r w:rsidR="00F11540">
          <w:rPr>
            <w:noProof/>
            <w:webHidden/>
          </w:rPr>
        </w:r>
        <w:r w:rsidR="00F11540">
          <w:rPr>
            <w:noProof/>
            <w:webHidden/>
          </w:rPr>
          <w:fldChar w:fldCharType="separate"/>
        </w:r>
        <w:r w:rsidR="00F11540">
          <w:rPr>
            <w:noProof/>
            <w:webHidden/>
          </w:rPr>
          <w:t>3</w:t>
        </w:r>
        <w:r w:rsidR="00F11540">
          <w:rPr>
            <w:noProof/>
            <w:webHidden/>
          </w:rPr>
          <w:fldChar w:fldCharType="end"/>
        </w:r>
      </w:hyperlink>
    </w:p>
    <w:p w14:paraId="30A4453E" w14:textId="7FC7C91F" w:rsidR="00F11540" w:rsidRDefault="00FD17FE">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08082469" w:history="1">
        <w:r w:rsidR="00F11540" w:rsidRPr="005D5C35">
          <w:rPr>
            <w:rStyle w:val="Hyperlink"/>
            <w:b/>
            <w:bCs/>
            <w:noProof/>
            <w:spacing w:val="5"/>
          </w:rPr>
          <w:t>Recommended for Approval– Unanimous Vote</w:t>
        </w:r>
        <w:r w:rsidR="00F11540">
          <w:rPr>
            <w:noProof/>
            <w:webHidden/>
          </w:rPr>
          <w:tab/>
        </w:r>
        <w:r w:rsidR="00F11540">
          <w:rPr>
            <w:noProof/>
            <w:webHidden/>
          </w:rPr>
          <w:fldChar w:fldCharType="begin"/>
        </w:r>
        <w:r w:rsidR="00F11540">
          <w:rPr>
            <w:noProof/>
            <w:webHidden/>
          </w:rPr>
          <w:instrText xml:space="preserve"> PAGEREF _Toc108082469 \h </w:instrText>
        </w:r>
        <w:r w:rsidR="00F11540">
          <w:rPr>
            <w:noProof/>
            <w:webHidden/>
          </w:rPr>
        </w:r>
        <w:r w:rsidR="00F11540">
          <w:rPr>
            <w:noProof/>
            <w:webHidden/>
          </w:rPr>
          <w:fldChar w:fldCharType="separate"/>
        </w:r>
        <w:r w:rsidR="00F11540">
          <w:rPr>
            <w:noProof/>
            <w:webHidden/>
          </w:rPr>
          <w:t>3</w:t>
        </w:r>
        <w:r w:rsidR="00F11540">
          <w:rPr>
            <w:noProof/>
            <w:webHidden/>
          </w:rPr>
          <w:fldChar w:fldCharType="end"/>
        </w:r>
      </w:hyperlink>
    </w:p>
    <w:p w14:paraId="29012D0C" w14:textId="284E79B5" w:rsidR="00F11540" w:rsidRDefault="00FD17F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08082470" w:history="1">
        <w:r w:rsidR="00F11540" w:rsidRPr="005D5C35">
          <w:rPr>
            <w:rStyle w:val="Hyperlink"/>
            <w:noProof/>
            <w:lang w:eastAsia="en-GB"/>
          </w:rPr>
          <w:t>2.</w:t>
        </w:r>
        <w:r w:rsidR="00F11540">
          <w:rPr>
            <w:rFonts w:asciiTheme="minorHAnsi" w:eastAsiaTheme="minorEastAsia" w:hAnsiTheme="minorHAnsi" w:cstheme="minorBidi"/>
            <w:b w:val="0"/>
            <w:bCs w:val="0"/>
            <w:caps w:val="0"/>
            <w:noProof/>
            <w:sz w:val="22"/>
            <w:szCs w:val="22"/>
            <w:lang w:val="en-IE" w:eastAsia="en-IE" w:bidi="ar-SA"/>
          </w:rPr>
          <w:tab/>
        </w:r>
        <w:r w:rsidR="00F11540" w:rsidRPr="005D5C35">
          <w:rPr>
            <w:rStyle w:val="Hyperlink"/>
            <w:noProof/>
            <w:lang w:eastAsia="en-GB"/>
          </w:rPr>
          <w:t>Background</w:t>
        </w:r>
        <w:r w:rsidR="00F11540">
          <w:rPr>
            <w:noProof/>
            <w:webHidden/>
          </w:rPr>
          <w:tab/>
        </w:r>
        <w:r w:rsidR="00F11540">
          <w:rPr>
            <w:noProof/>
            <w:webHidden/>
          </w:rPr>
          <w:fldChar w:fldCharType="begin"/>
        </w:r>
        <w:r w:rsidR="00F11540">
          <w:rPr>
            <w:noProof/>
            <w:webHidden/>
          </w:rPr>
          <w:instrText xml:space="preserve"> PAGEREF _Toc108082470 \h </w:instrText>
        </w:r>
        <w:r w:rsidR="00F11540">
          <w:rPr>
            <w:noProof/>
            <w:webHidden/>
          </w:rPr>
        </w:r>
        <w:r w:rsidR="00F11540">
          <w:rPr>
            <w:noProof/>
            <w:webHidden/>
          </w:rPr>
          <w:fldChar w:fldCharType="separate"/>
        </w:r>
        <w:r w:rsidR="00F11540">
          <w:rPr>
            <w:noProof/>
            <w:webHidden/>
          </w:rPr>
          <w:t>3</w:t>
        </w:r>
        <w:r w:rsidR="00F11540">
          <w:rPr>
            <w:noProof/>
            <w:webHidden/>
          </w:rPr>
          <w:fldChar w:fldCharType="end"/>
        </w:r>
      </w:hyperlink>
    </w:p>
    <w:p w14:paraId="2D29F0D0" w14:textId="1BE8FE02" w:rsidR="00F11540" w:rsidRDefault="00FD17F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08082471" w:history="1">
        <w:r w:rsidR="00F11540" w:rsidRPr="005D5C35">
          <w:rPr>
            <w:rStyle w:val="Hyperlink"/>
            <w:noProof/>
            <w:lang w:eastAsia="en-GB"/>
          </w:rPr>
          <w:t>3.</w:t>
        </w:r>
        <w:r w:rsidR="00F11540">
          <w:rPr>
            <w:rFonts w:asciiTheme="minorHAnsi" w:eastAsiaTheme="minorEastAsia" w:hAnsiTheme="minorHAnsi" w:cstheme="minorBidi"/>
            <w:b w:val="0"/>
            <w:bCs w:val="0"/>
            <w:caps w:val="0"/>
            <w:noProof/>
            <w:sz w:val="22"/>
            <w:szCs w:val="22"/>
            <w:lang w:val="en-IE" w:eastAsia="en-IE" w:bidi="ar-SA"/>
          </w:rPr>
          <w:tab/>
        </w:r>
        <w:r w:rsidR="00F11540" w:rsidRPr="005D5C35">
          <w:rPr>
            <w:rStyle w:val="Hyperlink"/>
            <w:noProof/>
            <w:lang w:eastAsia="en-GB"/>
          </w:rPr>
          <w:t>PURPOSE OF PROPOSED MODIFICATION</w:t>
        </w:r>
        <w:r w:rsidR="00F11540">
          <w:rPr>
            <w:noProof/>
            <w:webHidden/>
          </w:rPr>
          <w:tab/>
        </w:r>
        <w:r w:rsidR="00F11540">
          <w:rPr>
            <w:noProof/>
            <w:webHidden/>
          </w:rPr>
          <w:fldChar w:fldCharType="begin"/>
        </w:r>
        <w:r w:rsidR="00F11540">
          <w:rPr>
            <w:noProof/>
            <w:webHidden/>
          </w:rPr>
          <w:instrText xml:space="preserve"> PAGEREF _Toc108082471 \h </w:instrText>
        </w:r>
        <w:r w:rsidR="00F11540">
          <w:rPr>
            <w:noProof/>
            <w:webHidden/>
          </w:rPr>
        </w:r>
        <w:r w:rsidR="00F11540">
          <w:rPr>
            <w:noProof/>
            <w:webHidden/>
          </w:rPr>
          <w:fldChar w:fldCharType="separate"/>
        </w:r>
        <w:r w:rsidR="00F11540">
          <w:rPr>
            <w:noProof/>
            <w:webHidden/>
          </w:rPr>
          <w:t>4</w:t>
        </w:r>
        <w:r w:rsidR="00F11540">
          <w:rPr>
            <w:noProof/>
            <w:webHidden/>
          </w:rPr>
          <w:fldChar w:fldCharType="end"/>
        </w:r>
      </w:hyperlink>
    </w:p>
    <w:p w14:paraId="3D083208" w14:textId="7D530E01" w:rsidR="00F11540" w:rsidRDefault="00FD17FE">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08082472" w:history="1">
        <w:r w:rsidR="00F11540" w:rsidRPr="005D5C35">
          <w:rPr>
            <w:rStyle w:val="Hyperlink"/>
            <w:b/>
            <w:bCs/>
            <w:caps/>
            <w:noProof/>
            <w:spacing w:val="5"/>
            <w:lang w:eastAsia="en-GB"/>
          </w:rPr>
          <w:t>3A.) justification of Modification</w:t>
        </w:r>
        <w:r w:rsidR="00F11540">
          <w:rPr>
            <w:noProof/>
            <w:webHidden/>
          </w:rPr>
          <w:tab/>
        </w:r>
        <w:r w:rsidR="00F11540">
          <w:rPr>
            <w:noProof/>
            <w:webHidden/>
          </w:rPr>
          <w:fldChar w:fldCharType="begin"/>
        </w:r>
        <w:r w:rsidR="00F11540">
          <w:rPr>
            <w:noProof/>
            <w:webHidden/>
          </w:rPr>
          <w:instrText xml:space="preserve"> PAGEREF _Toc108082472 \h </w:instrText>
        </w:r>
        <w:r w:rsidR="00F11540">
          <w:rPr>
            <w:noProof/>
            <w:webHidden/>
          </w:rPr>
        </w:r>
        <w:r w:rsidR="00F11540">
          <w:rPr>
            <w:noProof/>
            <w:webHidden/>
          </w:rPr>
          <w:fldChar w:fldCharType="separate"/>
        </w:r>
        <w:r w:rsidR="00F11540">
          <w:rPr>
            <w:noProof/>
            <w:webHidden/>
          </w:rPr>
          <w:t>4</w:t>
        </w:r>
        <w:r w:rsidR="00F11540">
          <w:rPr>
            <w:noProof/>
            <w:webHidden/>
          </w:rPr>
          <w:fldChar w:fldCharType="end"/>
        </w:r>
      </w:hyperlink>
    </w:p>
    <w:p w14:paraId="7E7427E8" w14:textId="4438BE79" w:rsidR="00F11540" w:rsidRDefault="00FD17FE">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08082473" w:history="1">
        <w:r w:rsidR="00F11540" w:rsidRPr="005D5C35">
          <w:rPr>
            <w:rStyle w:val="Hyperlink"/>
            <w:b/>
            <w:bCs/>
            <w:caps/>
            <w:noProof/>
            <w:spacing w:val="5"/>
            <w:lang w:eastAsia="en-GB"/>
          </w:rPr>
          <w:t>3B.) Impact of not Implementing a Solution</w:t>
        </w:r>
        <w:r w:rsidR="00F11540">
          <w:rPr>
            <w:noProof/>
            <w:webHidden/>
          </w:rPr>
          <w:tab/>
        </w:r>
        <w:r w:rsidR="00F11540">
          <w:rPr>
            <w:noProof/>
            <w:webHidden/>
          </w:rPr>
          <w:fldChar w:fldCharType="begin"/>
        </w:r>
        <w:r w:rsidR="00F11540">
          <w:rPr>
            <w:noProof/>
            <w:webHidden/>
          </w:rPr>
          <w:instrText xml:space="preserve"> PAGEREF _Toc108082473 \h </w:instrText>
        </w:r>
        <w:r w:rsidR="00F11540">
          <w:rPr>
            <w:noProof/>
            <w:webHidden/>
          </w:rPr>
        </w:r>
        <w:r w:rsidR="00F11540">
          <w:rPr>
            <w:noProof/>
            <w:webHidden/>
          </w:rPr>
          <w:fldChar w:fldCharType="separate"/>
        </w:r>
        <w:r w:rsidR="00F11540">
          <w:rPr>
            <w:noProof/>
            <w:webHidden/>
          </w:rPr>
          <w:t>4</w:t>
        </w:r>
        <w:r w:rsidR="00F11540">
          <w:rPr>
            <w:noProof/>
            <w:webHidden/>
          </w:rPr>
          <w:fldChar w:fldCharType="end"/>
        </w:r>
      </w:hyperlink>
    </w:p>
    <w:p w14:paraId="492BE8AA" w14:textId="22DAC564" w:rsidR="00F11540" w:rsidRDefault="00FD17FE">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08082474" w:history="1">
        <w:r w:rsidR="00F11540" w:rsidRPr="005D5C35">
          <w:rPr>
            <w:rStyle w:val="Hyperlink"/>
            <w:b/>
            <w:bCs/>
            <w:caps/>
            <w:noProof/>
            <w:spacing w:val="5"/>
            <w:lang w:eastAsia="en-GB"/>
          </w:rPr>
          <w:t>3c.) Impact on Code Objectives</w:t>
        </w:r>
        <w:r w:rsidR="00F11540">
          <w:rPr>
            <w:noProof/>
            <w:webHidden/>
          </w:rPr>
          <w:tab/>
        </w:r>
        <w:r w:rsidR="00F11540">
          <w:rPr>
            <w:noProof/>
            <w:webHidden/>
          </w:rPr>
          <w:fldChar w:fldCharType="begin"/>
        </w:r>
        <w:r w:rsidR="00F11540">
          <w:rPr>
            <w:noProof/>
            <w:webHidden/>
          </w:rPr>
          <w:instrText xml:space="preserve"> PAGEREF _Toc108082474 \h </w:instrText>
        </w:r>
        <w:r w:rsidR="00F11540">
          <w:rPr>
            <w:noProof/>
            <w:webHidden/>
          </w:rPr>
        </w:r>
        <w:r w:rsidR="00F11540">
          <w:rPr>
            <w:noProof/>
            <w:webHidden/>
          </w:rPr>
          <w:fldChar w:fldCharType="separate"/>
        </w:r>
        <w:r w:rsidR="00F11540">
          <w:rPr>
            <w:noProof/>
            <w:webHidden/>
          </w:rPr>
          <w:t>4</w:t>
        </w:r>
        <w:r w:rsidR="00F11540">
          <w:rPr>
            <w:noProof/>
            <w:webHidden/>
          </w:rPr>
          <w:fldChar w:fldCharType="end"/>
        </w:r>
      </w:hyperlink>
    </w:p>
    <w:p w14:paraId="3489A57D" w14:textId="6161E8DD" w:rsidR="00F11540" w:rsidRDefault="00FD17F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08082475" w:history="1">
        <w:r w:rsidR="00F11540" w:rsidRPr="005D5C35">
          <w:rPr>
            <w:rStyle w:val="Hyperlink"/>
            <w:noProof/>
            <w:lang w:eastAsia="en-GB"/>
          </w:rPr>
          <w:t>4.</w:t>
        </w:r>
        <w:r w:rsidR="00F11540">
          <w:rPr>
            <w:rFonts w:asciiTheme="minorHAnsi" w:eastAsiaTheme="minorEastAsia" w:hAnsiTheme="minorHAnsi" w:cstheme="minorBidi"/>
            <w:b w:val="0"/>
            <w:bCs w:val="0"/>
            <w:caps w:val="0"/>
            <w:noProof/>
            <w:sz w:val="22"/>
            <w:szCs w:val="22"/>
            <w:lang w:val="en-IE" w:eastAsia="en-IE" w:bidi="ar-SA"/>
          </w:rPr>
          <w:tab/>
        </w:r>
        <w:r w:rsidR="00F11540" w:rsidRPr="005D5C35">
          <w:rPr>
            <w:rStyle w:val="Hyperlink"/>
            <w:noProof/>
            <w:lang w:eastAsia="en-GB"/>
          </w:rPr>
          <w:t>Working Group and/or Consultation</w:t>
        </w:r>
        <w:r w:rsidR="00F11540">
          <w:rPr>
            <w:noProof/>
            <w:webHidden/>
          </w:rPr>
          <w:tab/>
        </w:r>
        <w:r w:rsidR="00F11540">
          <w:rPr>
            <w:noProof/>
            <w:webHidden/>
          </w:rPr>
          <w:fldChar w:fldCharType="begin"/>
        </w:r>
        <w:r w:rsidR="00F11540">
          <w:rPr>
            <w:noProof/>
            <w:webHidden/>
          </w:rPr>
          <w:instrText xml:space="preserve"> PAGEREF _Toc108082475 \h </w:instrText>
        </w:r>
        <w:r w:rsidR="00F11540">
          <w:rPr>
            <w:noProof/>
            <w:webHidden/>
          </w:rPr>
        </w:r>
        <w:r w:rsidR="00F11540">
          <w:rPr>
            <w:noProof/>
            <w:webHidden/>
          </w:rPr>
          <w:fldChar w:fldCharType="separate"/>
        </w:r>
        <w:r w:rsidR="00F11540">
          <w:rPr>
            <w:noProof/>
            <w:webHidden/>
          </w:rPr>
          <w:t>4</w:t>
        </w:r>
        <w:r w:rsidR="00F11540">
          <w:rPr>
            <w:noProof/>
            <w:webHidden/>
          </w:rPr>
          <w:fldChar w:fldCharType="end"/>
        </w:r>
      </w:hyperlink>
    </w:p>
    <w:p w14:paraId="1F9E7D2F" w14:textId="76D50073" w:rsidR="00F11540" w:rsidRDefault="00FD17F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08082476" w:history="1">
        <w:r w:rsidR="00F11540" w:rsidRPr="005D5C35">
          <w:rPr>
            <w:rStyle w:val="Hyperlink"/>
            <w:noProof/>
            <w:lang w:eastAsia="en-GB"/>
          </w:rPr>
          <w:t>5.</w:t>
        </w:r>
        <w:r w:rsidR="00F11540">
          <w:rPr>
            <w:rFonts w:asciiTheme="minorHAnsi" w:eastAsiaTheme="minorEastAsia" w:hAnsiTheme="minorHAnsi" w:cstheme="minorBidi"/>
            <w:b w:val="0"/>
            <w:bCs w:val="0"/>
            <w:caps w:val="0"/>
            <w:noProof/>
            <w:sz w:val="22"/>
            <w:szCs w:val="22"/>
            <w:lang w:val="en-IE" w:eastAsia="en-IE" w:bidi="ar-SA"/>
          </w:rPr>
          <w:tab/>
        </w:r>
        <w:r w:rsidR="00F11540" w:rsidRPr="005D5C35">
          <w:rPr>
            <w:rStyle w:val="Hyperlink"/>
            <w:noProof/>
            <w:lang w:eastAsia="en-GB"/>
          </w:rPr>
          <w:t>impact on systems and resources</w:t>
        </w:r>
        <w:r w:rsidR="00F11540">
          <w:rPr>
            <w:noProof/>
            <w:webHidden/>
          </w:rPr>
          <w:tab/>
        </w:r>
        <w:r w:rsidR="00F11540">
          <w:rPr>
            <w:noProof/>
            <w:webHidden/>
          </w:rPr>
          <w:fldChar w:fldCharType="begin"/>
        </w:r>
        <w:r w:rsidR="00F11540">
          <w:rPr>
            <w:noProof/>
            <w:webHidden/>
          </w:rPr>
          <w:instrText xml:space="preserve"> PAGEREF _Toc108082476 \h </w:instrText>
        </w:r>
        <w:r w:rsidR="00F11540">
          <w:rPr>
            <w:noProof/>
            <w:webHidden/>
          </w:rPr>
        </w:r>
        <w:r w:rsidR="00F11540">
          <w:rPr>
            <w:noProof/>
            <w:webHidden/>
          </w:rPr>
          <w:fldChar w:fldCharType="separate"/>
        </w:r>
        <w:r w:rsidR="00F11540">
          <w:rPr>
            <w:noProof/>
            <w:webHidden/>
          </w:rPr>
          <w:t>4</w:t>
        </w:r>
        <w:r w:rsidR="00F11540">
          <w:rPr>
            <w:noProof/>
            <w:webHidden/>
          </w:rPr>
          <w:fldChar w:fldCharType="end"/>
        </w:r>
      </w:hyperlink>
    </w:p>
    <w:p w14:paraId="1E354693" w14:textId="47500561" w:rsidR="00F11540" w:rsidRDefault="00FD17F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08082477" w:history="1">
        <w:r w:rsidR="00F11540" w:rsidRPr="005D5C35">
          <w:rPr>
            <w:rStyle w:val="Hyperlink"/>
            <w:noProof/>
            <w:lang w:eastAsia="en-GB"/>
          </w:rPr>
          <w:t>6.</w:t>
        </w:r>
        <w:r w:rsidR="00F11540">
          <w:rPr>
            <w:rFonts w:asciiTheme="minorHAnsi" w:eastAsiaTheme="minorEastAsia" w:hAnsiTheme="minorHAnsi" w:cstheme="minorBidi"/>
            <w:b w:val="0"/>
            <w:bCs w:val="0"/>
            <w:caps w:val="0"/>
            <w:noProof/>
            <w:sz w:val="22"/>
            <w:szCs w:val="22"/>
            <w:lang w:val="en-IE" w:eastAsia="en-IE" w:bidi="ar-SA"/>
          </w:rPr>
          <w:tab/>
        </w:r>
        <w:r w:rsidR="00F11540" w:rsidRPr="005D5C35">
          <w:rPr>
            <w:rStyle w:val="Hyperlink"/>
            <w:noProof/>
            <w:lang w:eastAsia="en-GB"/>
          </w:rPr>
          <w:t>Impact on other Codes/Documents</w:t>
        </w:r>
        <w:r w:rsidR="00F11540">
          <w:rPr>
            <w:noProof/>
            <w:webHidden/>
          </w:rPr>
          <w:tab/>
        </w:r>
        <w:r w:rsidR="00F11540">
          <w:rPr>
            <w:noProof/>
            <w:webHidden/>
          </w:rPr>
          <w:fldChar w:fldCharType="begin"/>
        </w:r>
        <w:r w:rsidR="00F11540">
          <w:rPr>
            <w:noProof/>
            <w:webHidden/>
          </w:rPr>
          <w:instrText xml:space="preserve"> PAGEREF _Toc108082477 \h </w:instrText>
        </w:r>
        <w:r w:rsidR="00F11540">
          <w:rPr>
            <w:noProof/>
            <w:webHidden/>
          </w:rPr>
        </w:r>
        <w:r w:rsidR="00F11540">
          <w:rPr>
            <w:noProof/>
            <w:webHidden/>
          </w:rPr>
          <w:fldChar w:fldCharType="separate"/>
        </w:r>
        <w:r w:rsidR="00F11540">
          <w:rPr>
            <w:noProof/>
            <w:webHidden/>
          </w:rPr>
          <w:t>4</w:t>
        </w:r>
        <w:r w:rsidR="00F11540">
          <w:rPr>
            <w:noProof/>
            <w:webHidden/>
          </w:rPr>
          <w:fldChar w:fldCharType="end"/>
        </w:r>
      </w:hyperlink>
    </w:p>
    <w:p w14:paraId="7CE1285A" w14:textId="10298A46" w:rsidR="00F11540" w:rsidRDefault="00FD17F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08082478" w:history="1">
        <w:r w:rsidR="00F11540" w:rsidRPr="005D5C35">
          <w:rPr>
            <w:rStyle w:val="Hyperlink"/>
            <w:noProof/>
            <w:lang w:eastAsia="en-GB"/>
          </w:rPr>
          <w:t>7.</w:t>
        </w:r>
        <w:r w:rsidR="00F11540">
          <w:rPr>
            <w:rFonts w:asciiTheme="minorHAnsi" w:eastAsiaTheme="minorEastAsia" w:hAnsiTheme="minorHAnsi" w:cstheme="minorBidi"/>
            <w:b w:val="0"/>
            <w:bCs w:val="0"/>
            <w:caps w:val="0"/>
            <w:noProof/>
            <w:sz w:val="22"/>
            <w:szCs w:val="22"/>
            <w:lang w:val="en-IE" w:eastAsia="en-IE" w:bidi="ar-SA"/>
          </w:rPr>
          <w:tab/>
        </w:r>
        <w:r w:rsidR="00F11540" w:rsidRPr="005D5C35">
          <w:rPr>
            <w:rStyle w:val="Hyperlink"/>
            <w:noProof/>
            <w:lang w:eastAsia="en-GB"/>
          </w:rPr>
          <w:t>MODIFICATION COMMITTEE VIEWS</w:t>
        </w:r>
        <w:r w:rsidR="00F11540">
          <w:rPr>
            <w:noProof/>
            <w:webHidden/>
          </w:rPr>
          <w:tab/>
        </w:r>
        <w:r w:rsidR="00F11540">
          <w:rPr>
            <w:noProof/>
            <w:webHidden/>
          </w:rPr>
          <w:fldChar w:fldCharType="begin"/>
        </w:r>
        <w:r w:rsidR="00F11540">
          <w:rPr>
            <w:noProof/>
            <w:webHidden/>
          </w:rPr>
          <w:instrText xml:space="preserve"> PAGEREF _Toc108082478 \h </w:instrText>
        </w:r>
        <w:r w:rsidR="00F11540">
          <w:rPr>
            <w:noProof/>
            <w:webHidden/>
          </w:rPr>
        </w:r>
        <w:r w:rsidR="00F11540">
          <w:rPr>
            <w:noProof/>
            <w:webHidden/>
          </w:rPr>
          <w:fldChar w:fldCharType="separate"/>
        </w:r>
        <w:r w:rsidR="00F11540">
          <w:rPr>
            <w:noProof/>
            <w:webHidden/>
          </w:rPr>
          <w:t>5</w:t>
        </w:r>
        <w:r w:rsidR="00F11540">
          <w:rPr>
            <w:noProof/>
            <w:webHidden/>
          </w:rPr>
          <w:fldChar w:fldCharType="end"/>
        </w:r>
      </w:hyperlink>
    </w:p>
    <w:p w14:paraId="64D5F250" w14:textId="6E96932C" w:rsidR="00F11540" w:rsidRDefault="00FD17FE">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108082479" w:history="1">
        <w:r w:rsidR="00F11540" w:rsidRPr="005D5C35">
          <w:rPr>
            <w:rStyle w:val="Hyperlink"/>
            <w:b/>
            <w:bCs/>
            <w:noProof/>
            <w:spacing w:val="5"/>
          </w:rPr>
          <w:t>Modifications Meeting 111 – 16</w:t>
        </w:r>
        <w:r w:rsidR="00F11540" w:rsidRPr="005D5C35">
          <w:rPr>
            <w:rStyle w:val="Hyperlink"/>
            <w:b/>
            <w:bCs/>
            <w:noProof/>
            <w:spacing w:val="5"/>
            <w:vertAlign w:val="superscript"/>
          </w:rPr>
          <w:t>th</w:t>
        </w:r>
        <w:r w:rsidR="00F11540" w:rsidRPr="005D5C35">
          <w:rPr>
            <w:rStyle w:val="Hyperlink"/>
            <w:b/>
            <w:bCs/>
            <w:noProof/>
            <w:spacing w:val="5"/>
          </w:rPr>
          <w:t xml:space="preserve"> June 2022</w:t>
        </w:r>
        <w:r w:rsidR="00F11540">
          <w:rPr>
            <w:noProof/>
            <w:webHidden/>
          </w:rPr>
          <w:tab/>
        </w:r>
        <w:r w:rsidR="00F11540">
          <w:rPr>
            <w:noProof/>
            <w:webHidden/>
          </w:rPr>
          <w:fldChar w:fldCharType="begin"/>
        </w:r>
        <w:r w:rsidR="00F11540">
          <w:rPr>
            <w:noProof/>
            <w:webHidden/>
          </w:rPr>
          <w:instrText xml:space="preserve"> PAGEREF _Toc108082479 \h </w:instrText>
        </w:r>
        <w:r w:rsidR="00F11540">
          <w:rPr>
            <w:noProof/>
            <w:webHidden/>
          </w:rPr>
        </w:r>
        <w:r w:rsidR="00F11540">
          <w:rPr>
            <w:noProof/>
            <w:webHidden/>
          </w:rPr>
          <w:fldChar w:fldCharType="separate"/>
        </w:r>
        <w:r w:rsidR="00F11540">
          <w:rPr>
            <w:noProof/>
            <w:webHidden/>
          </w:rPr>
          <w:t>5</w:t>
        </w:r>
        <w:r w:rsidR="00F11540">
          <w:rPr>
            <w:noProof/>
            <w:webHidden/>
          </w:rPr>
          <w:fldChar w:fldCharType="end"/>
        </w:r>
      </w:hyperlink>
    </w:p>
    <w:p w14:paraId="7EBDDD5F" w14:textId="503C9D39" w:rsidR="00F11540" w:rsidRDefault="00FD17F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08082480" w:history="1">
        <w:r w:rsidR="00F11540" w:rsidRPr="005D5C35">
          <w:rPr>
            <w:rStyle w:val="Hyperlink"/>
            <w:noProof/>
            <w:lang w:eastAsia="en-GB"/>
          </w:rPr>
          <w:t>8.</w:t>
        </w:r>
        <w:r w:rsidR="00F11540">
          <w:rPr>
            <w:rFonts w:asciiTheme="minorHAnsi" w:eastAsiaTheme="minorEastAsia" w:hAnsiTheme="minorHAnsi" w:cstheme="minorBidi"/>
            <w:b w:val="0"/>
            <w:bCs w:val="0"/>
            <w:caps w:val="0"/>
            <w:noProof/>
            <w:sz w:val="22"/>
            <w:szCs w:val="22"/>
            <w:lang w:val="en-IE" w:eastAsia="en-IE" w:bidi="ar-SA"/>
          </w:rPr>
          <w:tab/>
        </w:r>
        <w:r w:rsidR="00F11540" w:rsidRPr="005D5C35">
          <w:rPr>
            <w:rStyle w:val="Hyperlink"/>
            <w:noProof/>
            <w:lang w:eastAsia="en-GB"/>
          </w:rPr>
          <w:t>Proposed Legal Drafting</w:t>
        </w:r>
        <w:r w:rsidR="00F11540">
          <w:rPr>
            <w:noProof/>
            <w:webHidden/>
          </w:rPr>
          <w:tab/>
        </w:r>
        <w:r w:rsidR="00F11540">
          <w:rPr>
            <w:noProof/>
            <w:webHidden/>
          </w:rPr>
          <w:fldChar w:fldCharType="begin"/>
        </w:r>
        <w:r w:rsidR="00F11540">
          <w:rPr>
            <w:noProof/>
            <w:webHidden/>
          </w:rPr>
          <w:instrText xml:space="preserve"> PAGEREF _Toc108082480 \h </w:instrText>
        </w:r>
        <w:r w:rsidR="00F11540">
          <w:rPr>
            <w:noProof/>
            <w:webHidden/>
          </w:rPr>
        </w:r>
        <w:r w:rsidR="00F11540">
          <w:rPr>
            <w:noProof/>
            <w:webHidden/>
          </w:rPr>
          <w:fldChar w:fldCharType="separate"/>
        </w:r>
        <w:r w:rsidR="00F11540">
          <w:rPr>
            <w:noProof/>
            <w:webHidden/>
          </w:rPr>
          <w:t>5</w:t>
        </w:r>
        <w:r w:rsidR="00F11540">
          <w:rPr>
            <w:noProof/>
            <w:webHidden/>
          </w:rPr>
          <w:fldChar w:fldCharType="end"/>
        </w:r>
      </w:hyperlink>
    </w:p>
    <w:p w14:paraId="54E27E72" w14:textId="480776B3" w:rsidR="00F11540" w:rsidRDefault="00FD17F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08082481" w:history="1">
        <w:r w:rsidR="00F11540" w:rsidRPr="005D5C35">
          <w:rPr>
            <w:rStyle w:val="Hyperlink"/>
            <w:smallCaps/>
            <w:noProof/>
            <w:lang w:eastAsia="en-GB"/>
          </w:rPr>
          <w:t>9.</w:t>
        </w:r>
        <w:r w:rsidR="00F11540">
          <w:rPr>
            <w:rFonts w:asciiTheme="minorHAnsi" w:eastAsiaTheme="minorEastAsia" w:hAnsiTheme="minorHAnsi" w:cstheme="minorBidi"/>
            <w:b w:val="0"/>
            <w:bCs w:val="0"/>
            <w:caps w:val="0"/>
            <w:noProof/>
            <w:sz w:val="22"/>
            <w:szCs w:val="22"/>
            <w:lang w:val="en-IE" w:eastAsia="en-IE" w:bidi="ar-SA"/>
          </w:rPr>
          <w:tab/>
        </w:r>
        <w:r w:rsidR="00F11540" w:rsidRPr="005D5C35">
          <w:rPr>
            <w:rStyle w:val="Hyperlink"/>
            <w:smallCaps/>
            <w:noProof/>
            <w:lang w:eastAsia="en-GB"/>
          </w:rPr>
          <w:t>LEGAL REVIEW</w:t>
        </w:r>
        <w:r w:rsidR="00F11540">
          <w:rPr>
            <w:noProof/>
            <w:webHidden/>
          </w:rPr>
          <w:tab/>
        </w:r>
        <w:r w:rsidR="00F11540">
          <w:rPr>
            <w:noProof/>
            <w:webHidden/>
          </w:rPr>
          <w:fldChar w:fldCharType="begin"/>
        </w:r>
        <w:r w:rsidR="00F11540">
          <w:rPr>
            <w:noProof/>
            <w:webHidden/>
          </w:rPr>
          <w:instrText xml:space="preserve"> PAGEREF _Toc108082481 \h </w:instrText>
        </w:r>
        <w:r w:rsidR="00F11540">
          <w:rPr>
            <w:noProof/>
            <w:webHidden/>
          </w:rPr>
        </w:r>
        <w:r w:rsidR="00F11540">
          <w:rPr>
            <w:noProof/>
            <w:webHidden/>
          </w:rPr>
          <w:fldChar w:fldCharType="separate"/>
        </w:r>
        <w:r w:rsidR="00F11540">
          <w:rPr>
            <w:noProof/>
            <w:webHidden/>
          </w:rPr>
          <w:t>5</w:t>
        </w:r>
        <w:r w:rsidR="00F11540">
          <w:rPr>
            <w:noProof/>
            <w:webHidden/>
          </w:rPr>
          <w:fldChar w:fldCharType="end"/>
        </w:r>
      </w:hyperlink>
    </w:p>
    <w:p w14:paraId="1019BBDA" w14:textId="56F3DB93" w:rsidR="00F11540" w:rsidRDefault="00FD17FE">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08082482" w:history="1">
        <w:r w:rsidR="00F11540" w:rsidRPr="005D5C35">
          <w:rPr>
            <w:rStyle w:val="Hyperlink"/>
            <w:noProof/>
            <w:lang w:eastAsia="en-GB"/>
          </w:rPr>
          <w:t>10.</w:t>
        </w:r>
        <w:r w:rsidR="00F11540">
          <w:rPr>
            <w:rFonts w:asciiTheme="minorHAnsi" w:eastAsiaTheme="minorEastAsia" w:hAnsiTheme="minorHAnsi" w:cstheme="minorBidi"/>
            <w:b w:val="0"/>
            <w:bCs w:val="0"/>
            <w:caps w:val="0"/>
            <w:noProof/>
            <w:sz w:val="22"/>
            <w:szCs w:val="22"/>
            <w:lang w:val="en-IE" w:eastAsia="en-IE" w:bidi="ar-SA"/>
          </w:rPr>
          <w:tab/>
        </w:r>
        <w:r w:rsidR="00F11540" w:rsidRPr="005D5C35">
          <w:rPr>
            <w:rStyle w:val="Hyperlink"/>
            <w:noProof/>
            <w:lang w:eastAsia="en-GB"/>
          </w:rPr>
          <w:t>IMPLEMENTATION TIMESCALE</w:t>
        </w:r>
        <w:r w:rsidR="00F11540">
          <w:rPr>
            <w:noProof/>
            <w:webHidden/>
          </w:rPr>
          <w:tab/>
        </w:r>
        <w:r w:rsidR="00F11540">
          <w:rPr>
            <w:noProof/>
            <w:webHidden/>
          </w:rPr>
          <w:fldChar w:fldCharType="begin"/>
        </w:r>
        <w:r w:rsidR="00F11540">
          <w:rPr>
            <w:noProof/>
            <w:webHidden/>
          </w:rPr>
          <w:instrText xml:space="preserve"> PAGEREF _Toc108082482 \h </w:instrText>
        </w:r>
        <w:r w:rsidR="00F11540">
          <w:rPr>
            <w:noProof/>
            <w:webHidden/>
          </w:rPr>
        </w:r>
        <w:r w:rsidR="00F11540">
          <w:rPr>
            <w:noProof/>
            <w:webHidden/>
          </w:rPr>
          <w:fldChar w:fldCharType="separate"/>
        </w:r>
        <w:r w:rsidR="00F11540">
          <w:rPr>
            <w:noProof/>
            <w:webHidden/>
          </w:rPr>
          <w:t>5</w:t>
        </w:r>
        <w:r w:rsidR="00F11540">
          <w:rPr>
            <w:noProof/>
            <w:webHidden/>
          </w:rPr>
          <w:fldChar w:fldCharType="end"/>
        </w:r>
      </w:hyperlink>
    </w:p>
    <w:p w14:paraId="464844E8" w14:textId="028A8E51" w:rsidR="00F11540" w:rsidRDefault="00FD17F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108082483" w:history="1">
        <w:r w:rsidR="00F11540" w:rsidRPr="005D5C35">
          <w:rPr>
            <w:rStyle w:val="Hyperlink"/>
            <w:noProof/>
            <w:lang w:eastAsia="en-GB"/>
          </w:rPr>
          <w:t>1</w:t>
        </w:r>
        <w:r w:rsidR="00F11540">
          <w:rPr>
            <w:rFonts w:asciiTheme="minorHAnsi" w:eastAsiaTheme="minorEastAsia" w:hAnsiTheme="minorHAnsi" w:cstheme="minorBidi"/>
            <w:b w:val="0"/>
            <w:bCs w:val="0"/>
            <w:caps w:val="0"/>
            <w:noProof/>
            <w:sz w:val="22"/>
            <w:szCs w:val="22"/>
            <w:lang w:val="en-IE" w:eastAsia="en-IE" w:bidi="ar-SA"/>
          </w:rPr>
          <w:tab/>
        </w:r>
        <w:r w:rsidR="00F11540" w:rsidRPr="005D5C35">
          <w:rPr>
            <w:rStyle w:val="Hyperlink"/>
            <w:noProof/>
            <w:lang w:eastAsia="en-GB"/>
          </w:rPr>
          <w:t>Appendix 1: Mod_05_22 SEMO Performance REporting Publication Frequency</w:t>
        </w:r>
        <w:r w:rsidR="00F11540">
          <w:rPr>
            <w:noProof/>
            <w:webHidden/>
          </w:rPr>
          <w:tab/>
        </w:r>
        <w:r w:rsidR="00F11540">
          <w:rPr>
            <w:noProof/>
            <w:webHidden/>
          </w:rPr>
          <w:fldChar w:fldCharType="begin"/>
        </w:r>
        <w:r w:rsidR="00F11540">
          <w:rPr>
            <w:noProof/>
            <w:webHidden/>
          </w:rPr>
          <w:instrText xml:space="preserve"> PAGEREF _Toc108082483 \h </w:instrText>
        </w:r>
        <w:r w:rsidR="00F11540">
          <w:rPr>
            <w:noProof/>
            <w:webHidden/>
          </w:rPr>
        </w:r>
        <w:r w:rsidR="00F11540">
          <w:rPr>
            <w:noProof/>
            <w:webHidden/>
          </w:rPr>
          <w:fldChar w:fldCharType="separate"/>
        </w:r>
        <w:r w:rsidR="00F11540">
          <w:rPr>
            <w:noProof/>
            <w:webHidden/>
          </w:rPr>
          <w:t>6</w:t>
        </w:r>
        <w:r w:rsidR="00F11540">
          <w:rPr>
            <w:noProof/>
            <w:webHidden/>
          </w:rPr>
          <w:fldChar w:fldCharType="end"/>
        </w:r>
      </w:hyperlink>
    </w:p>
    <w:p w14:paraId="3130C017" w14:textId="4F171FB6" w:rsidR="006C7510" w:rsidRDefault="002B607E" w:rsidP="00FC23FE">
      <w:pPr>
        <w:tabs>
          <w:tab w:val="center" w:pos="4771"/>
        </w:tabs>
      </w:pPr>
      <w:r w:rsidRPr="003D3D96">
        <w:fldChar w:fldCharType="end"/>
      </w:r>
    </w:p>
    <w:p w14:paraId="5F8C171A" w14:textId="77777777" w:rsidR="006C7510" w:rsidRDefault="006C7510" w:rsidP="00FC23FE">
      <w:pPr>
        <w:tabs>
          <w:tab w:val="center" w:pos="4771"/>
        </w:tabs>
      </w:pPr>
    </w:p>
    <w:p w14:paraId="1C5F1B7C" w14:textId="77777777" w:rsidR="006C7510" w:rsidRDefault="006C7510" w:rsidP="00FC23FE">
      <w:pPr>
        <w:tabs>
          <w:tab w:val="center" w:pos="4771"/>
        </w:tabs>
      </w:pPr>
    </w:p>
    <w:p w14:paraId="4969359E" w14:textId="6A85395C" w:rsidR="00224A83" w:rsidRDefault="00224A83" w:rsidP="00FC23FE">
      <w:pPr>
        <w:tabs>
          <w:tab w:val="center" w:pos="4771"/>
        </w:tabs>
      </w:pPr>
    </w:p>
    <w:p w14:paraId="396172FD" w14:textId="23DEFB44" w:rsidR="00224A83" w:rsidRDefault="00224A83" w:rsidP="00FC23FE">
      <w:pPr>
        <w:tabs>
          <w:tab w:val="center" w:pos="4771"/>
        </w:tabs>
      </w:pPr>
    </w:p>
    <w:p w14:paraId="3C5A2E87" w14:textId="6AB7CE2D" w:rsidR="0016058E" w:rsidRDefault="0016058E" w:rsidP="00FC23FE">
      <w:pPr>
        <w:tabs>
          <w:tab w:val="center" w:pos="4771"/>
        </w:tabs>
      </w:pPr>
    </w:p>
    <w:p w14:paraId="286D8C16" w14:textId="77777777" w:rsidR="0016058E" w:rsidRDefault="0016058E" w:rsidP="00FC23FE">
      <w:pPr>
        <w:tabs>
          <w:tab w:val="center" w:pos="4771"/>
        </w:tabs>
      </w:pPr>
    </w:p>
    <w:p w14:paraId="6FC228F7" w14:textId="77777777" w:rsidR="00CE2D87" w:rsidRDefault="00CE2D87" w:rsidP="00FC23FE">
      <w:pPr>
        <w:tabs>
          <w:tab w:val="center" w:pos="4771"/>
        </w:tabs>
      </w:pPr>
    </w:p>
    <w:p w14:paraId="7EE54A72" w14:textId="4BC7CF76" w:rsidR="00B74531" w:rsidRPr="003D3D96" w:rsidRDefault="00FC23FE" w:rsidP="00FC23FE">
      <w:pPr>
        <w:tabs>
          <w:tab w:val="center" w:pos="4771"/>
        </w:tabs>
      </w:pPr>
      <w:r>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108082468"/>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5" w14:textId="24479B45" w:rsidR="00416668" w:rsidRPr="00277C4C" w:rsidRDefault="00BE4526" w:rsidP="00277C4C">
      <w:pPr>
        <w:pStyle w:val="Heading2"/>
        <w:numPr>
          <w:ilvl w:val="0"/>
          <w:numId w:val="0"/>
        </w:numPr>
        <w:rPr>
          <w:b/>
          <w:bCs/>
          <w:smallCaps/>
          <w:color w:val="1F497D"/>
          <w:spacing w:val="5"/>
          <w:sz w:val="18"/>
          <w:szCs w:val="18"/>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108082469"/>
      <w:r w:rsidRPr="003D3D96">
        <w:rPr>
          <w:rStyle w:val="IntenseReference"/>
          <w:color w:val="1F497D"/>
          <w:sz w:val="18"/>
          <w:szCs w:val="18"/>
          <w:u w:val="none"/>
        </w:rPr>
        <w:t xml:space="preserve">Recommended for </w:t>
      </w:r>
      <w:r w:rsidR="00CB2A30">
        <w:rPr>
          <w:rStyle w:val="IntenseReference"/>
          <w:color w:val="1F497D"/>
          <w:sz w:val="18"/>
          <w:szCs w:val="18"/>
          <w:u w:val="none"/>
        </w:rPr>
        <w:t>Approval</w:t>
      </w:r>
      <w:r w:rsidR="00987EFC" w:rsidRPr="003D3D96">
        <w:rPr>
          <w:rStyle w:val="IntenseReference"/>
          <w:color w:val="1F497D"/>
          <w:sz w:val="18"/>
          <w:szCs w:val="18"/>
          <w:u w:val="none"/>
        </w:rPr>
        <w:t xml:space="preserve">– </w:t>
      </w:r>
      <w:r w:rsidR="00E30C04">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4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509"/>
        <w:gridCol w:w="1751"/>
      </w:tblGrid>
      <w:tr w:rsidR="008A753C" w:rsidRPr="00756CCD" w14:paraId="7EE54A78" w14:textId="77777777" w:rsidTr="00CB2A3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69BE8AFB" w:rsidR="008A753C" w:rsidRPr="00756CCD" w:rsidRDefault="008A753C" w:rsidP="00B50824">
            <w:pPr>
              <w:spacing w:before="40" w:after="40"/>
              <w:jc w:val="center"/>
              <w:rPr>
                <w:b/>
                <w:color w:val="FFFFFF"/>
              </w:rPr>
            </w:pPr>
            <w:r w:rsidRPr="00AC22FA">
              <w:rPr>
                <w:b/>
                <w:color w:val="FFFFFF"/>
              </w:rPr>
              <w:t xml:space="preserve">Recommended for </w:t>
            </w:r>
            <w:r w:rsidR="00E30C04">
              <w:rPr>
                <w:b/>
                <w:color w:val="FFFFFF"/>
              </w:rPr>
              <w:t xml:space="preserve">Approval by Unanimous </w:t>
            </w:r>
            <w:r w:rsidR="007234B9">
              <w:rPr>
                <w:b/>
                <w:color w:val="FFFFFF"/>
              </w:rPr>
              <w:t>Vote</w:t>
            </w:r>
          </w:p>
        </w:tc>
      </w:tr>
      <w:tr w:rsidR="00312D77" w:rsidRPr="00164B6B" w14:paraId="7EE54A7C" w14:textId="77777777" w:rsidTr="00874012">
        <w:trPr>
          <w:jc w:val="center"/>
        </w:trPr>
        <w:tc>
          <w:tcPr>
            <w:tcW w:w="1504" w:type="pct"/>
            <w:shd w:val="clear" w:color="auto" w:fill="auto"/>
            <w:vAlign w:val="center"/>
          </w:tcPr>
          <w:p w14:paraId="7EE54A79" w14:textId="33F013C4" w:rsidR="00312D77" w:rsidRPr="00CE31E6" w:rsidRDefault="00312D77" w:rsidP="00312D77">
            <w:pPr>
              <w:spacing w:before="40" w:after="40"/>
              <w:jc w:val="center"/>
              <w:rPr>
                <w:rFonts w:cs="Arial"/>
                <w:sz w:val="16"/>
                <w:szCs w:val="16"/>
              </w:rPr>
            </w:pPr>
            <w:r>
              <w:rPr>
                <w:color w:val="000000"/>
              </w:rPr>
              <w:t>Paraic Higgins (Chair)</w:t>
            </w:r>
          </w:p>
        </w:tc>
        <w:tc>
          <w:tcPr>
            <w:tcW w:w="2332" w:type="pct"/>
            <w:shd w:val="clear" w:color="auto" w:fill="auto"/>
            <w:vAlign w:val="center"/>
          </w:tcPr>
          <w:p w14:paraId="7EE54A7A" w14:textId="711BEF42" w:rsidR="00312D77" w:rsidRPr="00CE31E6" w:rsidRDefault="00312D77" w:rsidP="00312D77">
            <w:pPr>
              <w:spacing w:before="40" w:after="40"/>
              <w:jc w:val="center"/>
              <w:rPr>
                <w:rFonts w:cs="Arial"/>
                <w:sz w:val="16"/>
                <w:szCs w:val="16"/>
              </w:rPr>
            </w:pPr>
            <w:r>
              <w:rPr>
                <w:color w:val="000000"/>
              </w:rPr>
              <w:t>Generator Member</w:t>
            </w:r>
          </w:p>
        </w:tc>
        <w:tc>
          <w:tcPr>
            <w:tcW w:w="1164" w:type="pct"/>
            <w:shd w:val="clear" w:color="auto" w:fill="auto"/>
          </w:tcPr>
          <w:p w14:paraId="7EE54A7B" w14:textId="17A6D126" w:rsidR="00312D77" w:rsidRPr="00164B6B" w:rsidRDefault="00312D77" w:rsidP="00312D77">
            <w:pPr>
              <w:spacing w:before="40" w:after="40"/>
              <w:jc w:val="center"/>
              <w:rPr>
                <w:sz w:val="16"/>
                <w:szCs w:val="16"/>
              </w:rPr>
            </w:pPr>
            <w:r>
              <w:rPr>
                <w:color w:val="000000"/>
              </w:rPr>
              <w:t>Approve</w:t>
            </w:r>
          </w:p>
        </w:tc>
      </w:tr>
      <w:tr w:rsidR="00312D77" w14:paraId="7EE54A80" w14:textId="77777777" w:rsidTr="00874012">
        <w:trPr>
          <w:jc w:val="center"/>
        </w:trPr>
        <w:tc>
          <w:tcPr>
            <w:tcW w:w="1504" w:type="pct"/>
            <w:shd w:val="clear" w:color="auto" w:fill="auto"/>
            <w:vAlign w:val="center"/>
          </w:tcPr>
          <w:p w14:paraId="7EE54A7D" w14:textId="553683E3" w:rsidR="00312D77" w:rsidRPr="00CE31E6" w:rsidRDefault="00312D77" w:rsidP="00312D77">
            <w:pPr>
              <w:spacing w:before="40" w:after="40"/>
              <w:jc w:val="center"/>
              <w:rPr>
                <w:rFonts w:cs="Arial"/>
                <w:sz w:val="16"/>
                <w:szCs w:val="16"/>
              </w:rPr>
            </w:pPr>
            <w:r>
              <w:rPr>
                <w:color w:val="000000"/>
              </w:rPr>
              <w:t>Nick Heyward</w:t>
            </w:r>
          </w:p>
        </w:tc>
        <w:tc>
          <w:tcPr>
            <w:tcW w:w="2332" w:type="pct"/>
            <w:shd w:val="clear" w:color="auto" w:fill="auto"/>
            <w:vAlign w:val="center"/>
          </w:tcPr>
          <w:p w14:paraId="7EE54A7E" w14:textId="55C4A9EB" w:rsidR="00312D77" w:rsidRPr="00CE31E6" w:rsidRDefault="00312D77" w:rsidP="00312D77">
            <w:pPr>
              <w:spacing w:before="40" w:after="40"/>
              <w:jc w:val="center"/>
              <w:rPr>
                <w:rFonts w:cs="Arial"/>
                <w:sz w:val="16"/>
                <w:szCs w:val="16"/>
              </w:rPr>
            </w:pPr>
            <w:r>
              <w:rPr>
                <w:color w:val="000000"/>
              </w:rPr>
              <w:t>Flexible Participant Alternate</w:t>
            </w:r>
          </w:p>
        </w:tc>
        <w:tc>
          <w:tcPr>
            <w:tcW w:w="1164" w:type="pct"/>
            <w:shd w:val="clear" w:color="auto" w:fill="auto"/>
            <w:vAlign w:val="center"/>
          </w:tcPr>
          <w:p w14:paraId="7EE54A7F" w14:textId="3E193D76" w:rsidR="00312D77" w:rsidRDefault="00312D77" w:rsidP="00312D77">
            <w:pPr>
              <w:jc w:val="center"/>
            </w:pPr>
            <w:r>
              <w:rPr>
                <w:color w:val="000000"/>
              </w:rPr>
              <w:t>Approve</w:t>
            </w:r>
          </w:p>
        </w:tc>
      </w:tr>
      <w:tr w:rsidR="00312D77" w14:paraId="7EE54A84" w14:textId="77777777" w:rsidTr="00E30C04">
        <w:trPr>
          <w:trHeight w:val="437"/>
          <w:jc w:val="center"/>
        </w:trPr>
        <w:tc>
          <w:tcPr>
            <w:tcW w:w="1504" w:type="pct"/>
            <w:shd w:val="clear" w:color="auto" w:fill="auto"/>
            <w:vAlign w:val="center"/>
          </w:tcPr>
          <w:p w14:paraId="7EE54A81" w14:textId="634C49CE" w:rsidR="00312D77" w:rsidRPr="00CE31E6" w:rsidRDefault="00312D77" w:rsidP="00312D77">
            <w:pPr>
              <w:spacing w:before="40" w:after="40"/>
              <w:jc w:val="center"/>
              <w:rPr>
                <w:rFonts w:cs="Arial"/>
                <w:sz w:val="16"/>
                <w:szCs w:val="16"/>
              </w:rPr>
            </w:pPr>
            <w:r>
              <w:rPr>
                <w:color w:val="000000"/>
              </w:rPr>
              <w:t>David Caldwell</w:t>
            </w:r>
          </w:p>
        </w:tc>
        <w:tc>
          <w:tcPr>
            <w:tcW w:w="2332" w:type="pct"/>
            <w:shd w:val="clear" w:color="auto" w:fill="auto"/>
            <w:vAlign w:val="center"/>
          </w:tcPr>
          <w:p w14:paraId="7EE54A82" w14:textId="39AC8A4B" w:rsidR="00312D77" w:rsidRPr="00030699" w:rsidRDefault="00312D77" w:rsidP="00312D77">
            <w:pPr>
              <w:spacing w:before="40" w:after="40"/>
              <w:jc w:val="center"/>
              <w:rPr>
                <w:sz w:val="16"/>
                <w:szCs w:val="16"/>
              </w:rPr>
            </w:pPr>
            <w:r>
              <w:rPr>
                <w:color w:val="000000"/>
              </w:rPr>
              <w:t>Supplier Alternate</w:t>
            </w:r>
          </w:p>
        </w:tc>
        <w:tc>
          <w:tcPr>
            <w:tcW w:w="1164" w:type="pct"/>
            <w:shd w:val="clear" w:color="auto" w:fill="auto"/>
          </w:tcPr>
          <w:p w14:paraId="7EE54A83" w14:textId="24EB7145" w:rsidR="00312D77" w:rsidRDefault="00312D77" w:rsidP="00312D77">
            <w:pPr>
              <w:jc w:val="center"/>
            </w:pPr>
            <w:r>
              <w:rPr>
                <w:color w:val="000000"/>
              </w:rPr>
              <w:t>Approve</w:t>
            </w:r>
          </w:p>
        </w:tc>
      </w:tr>
      <w:tr w:rsidR="00312D77" w14:paraId="7EE54A88" w14:textId="77777777" w:rsidTr="00CB2A30">
        <w:trPr>
          <w:jc w:val="center"/>
        </w:trPr>
        <w:tc>
          <w:tcPr>
            <w:tcW w:w="1504" w:type="pct"/>
            <w:shd w:val="clear" w:color="auto" w:fill="auto"/>
            <w:vAlign w:val="center"/>
          </w:tcPr>
          <w:p w14:paraId="7EE54A85" w14:textId="002A744C" w:rsidR="00312D77" w:rsidRPr="00CE31E6" w:rsidRDefault="00312D77" w:rsidP="00312D77">
            <w:pPr>
              <w:spacing w:before="40" w:after="40"/>
              <w:jc w:val="center"/>
              <w:rPr>
                <w:rFonts w:cs="Arial"/>
                <w:sz w:val="16"/>
                <w:szCs w:val="16"/>
              </w:rPr>
            </w:pPr>
            <w:r>
              <w:rPr>
                <w:color w:val="000000"/>
              </w:rPr>
              <w:t>Robert McCarthy</w:t>
            </w:r>
          </w:p>
        </w:tc>
        <w:tc>
          <w:tcPr>
            <w:tcW w:w="2332" w:type="pct"/>
            <w:shd w:val="clear" w:color="auto" w:fill="auto"/>
            <w:vAlign w:val="center"/>
          </w:tcPr>
          <w:p w14:paraId="7EE54A86" w14:textId="098FDF8D" w:rsidR="00312D77" w:rsidRPr="00CE31E6" w:rsidRDefault="00312D77" w:rsidP="00312D77">
            <w:pPr>
              <w:spacing w:before="40" w:after="40"/>
              <w:jc w:val="center"/>
              <w:rPr>
                <w:rFonts w:cs="Arial"/>
                <w:sz w:val="16"/>
                <w:szCs w:val="16"/>
              </w:rPr>
            </w:pPr>
            <w:r>
              <w:rPr>
                <w:color w:val="000000"/>
              </w:rPr>
              <w:t>DSU Member</w:t>
            </w:r>
          </w:p>
        </w:tc>
        <w:tc>
          <w:tcPr>
            <w:tcW w:w="1164" w:type="pct"/>
            <w:shd w:val="clear" w:color="auto" w:fill="auto"/>
            <w:vAlign w:val="center"/>
          </w:tcPr>
          <w:p w14:paraId="7EE54A87" w14:textId="16C7BC99" w:rsidR="00312D77" w:rsidRDefault="00312D77" w:rsidP="00312D77">
            <w:pPr>
              <w:jc w:val="center"/>
            </w:pPr>
            <w:r>
              <w:rPr>
                <w:color w:val="000000"/>
              </w:rPr>
              <w:t>Approve</w:t>
            </w:r>
          </w:p>
        </w:tc>
      </w:tr>
      <w:tr w:rsidR="00312D77" w14:paraId="7EE54A8C" w14:textId="77777777" w:rsidTr="00E30C04">
        <w:trPr>
          <w:jc w:val="center"/>
        </w:trPr>
        <w:tc>
          <w:tcPr>
            <w:tcW w:w="1504" w:type="pct"/>
            <w:shd w:val="clear" w:color="auto" w:fill="auto"/>
            <w:vAlign w:val="center"/>
          </w:tcPr>
          <w:p w14:paraId="7EE54A89" w14:textId="5FE68EB4" w:rsidR="00312D77" w:rsidRPr="00CE31E6" w:rsidRDefault="00312D77" w:rsidP="00312D77">
            <w:pPr>
              <w:spacing w:before="40" w:after="40"/>
              <w:jc w:val="center"/>
              <w:rPr>
                <w:rFonts w:cs="Arial"/>
                <w:sz w:val="16"/>
                <w:szCs w:val="16"/>
              </w:rPr>
            </w:pPr>
            <w:r>
              <w:rPr>
                <w:color w:val="000000"/>
              </w:rPr>
              <w:t>Colm Oireachtaigh</w:t>
            </w:r>
          </w:p>
        </w:tc>
        <w:tc>
          <w:tcPr>
            <w:tcW w:w="2332" w:type="pct"/>
            <w:shd w:val="clear" w:color="auto" w:fill="auto"/>
            <w:vAlign w:val="center"/>
          </w:tcPr>
          <w:p w14:paraId="7EE54A8A" w14:textId="57F6FFE1" w:rsidR="00312D77" w:rsidRPr="00CE31E6" w:rsidRDefault="00312D77" w:rsidP="00312D77">
            <w:pPr>
              <w:spacing w:before="40" w:after="40"/>
              <w:jc w:val="center"/>
              <w:rPr>
                <w:rFonts w:cs="Arial"/>
                <w:sz w:val="16"/>
                <w:szCs w:val="16"/>
              </w:rPr>
            </w:pPr>
            <w:r>
              <w:rPr>
                <w:color w:val="000000"/>
              </w:rPr>
              <w:t xml:space="preserve">Supplier Member </w:t>
            </w:r>
          </w:p>
        </w:tc>
        <w:tc>
          <w:tcPr>
            <w:tcW w:w="1164" w:type="pct"/>
            <w:shd w:val="clear" w:color="auto" w:fill="auto"/>
          </w:tcPr>
          <w:p w14:paraId="7EE54A8B" w14:textId="11C1D80F" w:rsidR="00312D77" w:rsidRDefault="00312D77" w:rsidP="00312D77">
            <w:pPr>
              <w:jc w:val="center"/>
            </w:pPr>
            <w:r>
              <w:rPr>
                <w:color w:val="000000"/>
              </w:rPr>
              <w:t>Approve</w:t>
            </w:r>
          </w:p>
        </w:tc>
      </w:tr>
      <w:tr w:rsidR="00312D77" w14:paraId="7EE54A90" w14:textId="77777777" w:rsidTr="00E30C04">
        <w:trPr>
          <w:jc w:val="center"/>
        </w:trPr>
        <w:tc>
          <w:tcPr>
            <w:tcW w:w="1504" w:type="pct"/>
            <w:shd w:val="clear" w:color="auto" w:fill="auto"/>
            <w:vAlign w:val="center"/>
          </w:tcPr>
          <w:p w14:paraId="7EE54A8D" w14:textId="60487455" w:rsidR="00312D77" w:rsidRPr="00CE31E6" w:rsidRDefault="00312D77" w:rsidP="00312D77">
            <w:pPr>
              <w:spacing w:before="40" w:after="40"/>
              <w:jc w:val="center"/>
              <w:rPr>
                <w:rFonts w:cs="Arial"/>
                <w:sz w:val="16"/>
                <w:szCs w:val="16"/>
              </w:rPr>
            </w:pPr>
            <w:r>
              <w:rPr>
                <w:color w:val="000000"/>
              </w:rPr>
              <w:t>Ian Mullins</w:t>
            </w:r>
          </w:p>
        </w:tc>
        <w:tc>
          <w:tcPr>
            <w:tcW w:w="2332" w:type="pct"/>
            <w:shd w:val="clear" w:color="auto" w:fill="auto"/>
            <w:vAlign w:val="center"/>
          </w:tcPr>
          <w:p w14:paraId="7EE54A8E" w14:textId="656F51C9" w:rsidR="00312D77" w:rsidRPr="00CE31E6" w:rsidRDefault="00312D77" w:rsidP="00312D77">
            <w:pPr>
              <w:spacing w:before="40" w:after="40"/>
              <w:jc w:val="center"/>
              <w:rPr>
                <w:rFonts w:cs="Arial"/>
                <w:sz w:val="16"/>
                <w:szCs w:val="16"/>
              </w:rPr>
            </w:pPr>
            <w:r>
              <w:rPr>
                <w:color w:val="000000"/>
              </w:rPr>
              <w:t>Supplier Member</w:t>
            </w:r>
          </w:p>
        </w:tc>
        <w:tc>
          <w:tcPr>
            <w:tcW w:w="1164" w:type="pct"/>
            <w:shd w:val="clear" w:color="auto" w:fill="auto"/>
          </w:tcPr>
          <w:p w14:paraId="7EE54A8F" w14:textId="1F909AC8" w:rsidR="00312D77" w:rsidRDefault="00312D77" w:rsidP="00312D77">
            <w:pPr>
              <w:jc w:val="center"/>
            </w:pPr>
            <w:r>
              <w:rPr>
                <w:color w:val="000000"/>
              </w:rPr>
              <w:t>Approve</w:t>
            </w:r>
          </w:p>
        </w:tc>
      </w:tr>
      <w:tr w:rsidR="00312D77" w14:paraId="7EE54A94" w14:textId="77777777" w:rsidTr="00E30C04">
        <w:trPr>
          <w:jc w:val="center"/>
        </w:trPr>
        <w:tc>
          <w:tcPr>
            <w:tcW w:w="1504" w:type="pct"/>
            <w:shd w:val="clear" w:color="auto" w:fill="auto"/>
            <w:vAlign w:val="center"/>
          </w:tcPr>
          <w:p w14:paraId="7EE54A91" w14:textId="42912AC7" w:rsidR="00312D77" w:rsidRDefault="00312D77" w:rsidP="00312D77">
            <w:pPr>
              <w:spacing w:before="40" w:after="40"/>
              <w:jc w:val="center"/>
              <w:rPr>
                <w:rFonts w:cs="Arial"/>
                <w:sz w:val="16"/>
                <w:szCs w:val="16"/>
              </w:rPr>
            </w:pPr>
            <w:r>
              <w:rPr>
                <w:color w:val="000000"/>
              </w:rPr>
              <w:t>Cormac Daly</w:t>
            </w:r>
          </w:p>
        </w:tc>
        <w:tc>
          <w:tcPr>
            <w:tcW w:w="2332" w:type="pct"/>
            <w:shd w:val="clear" w:color="auto" w:fill="auto"/>
            <w:vAlign w:val="center"/>
          </w:tcPr>
          <w:p w14:paraId="7EE54A92" w14:textId="15611CAA" w:rsidR="00312D77" w:rsidRPr="00CE31E6" w:rsidRDefault="00312D77" w:rsidP="00312D77">
            <w:pPr>
              <w:spacing w:before="40" w:after="40"/>
              <w:jc w:val="center"/>
              <w:rPr>
                <w:rFonts w:cs="Arial"/>
                <w:sz w:val="16"/>
                <w:szCs w:val="16"/>
              </w:rPr>
            </w:pPr>
            <w:r>
              <w:rPr>
                <w:color w:val="000000"/>
              </w:rPr>
              <w:t>Generator Member</w:t>
            </w:r>
          </w:p>
        </w:tc>
        <w:tc>
          <w:tcPr>
            <w:tcW w:w="1164" w:type="pct"/>
            <w:shd w:val="clear" w:color="auto" w:fill="auto"/>
          </w:tcPr>
          <w:p w14:paraId="7EE54A93" w14:textId="02AC978A" w:rsidR="00312D77" w:rsidRDefault="00312D77" w:rsidP="00312D77">
            <w:pPr>
              <w:jc w:val="center"/>
            </w:pPr>
            <w:r>
              <w:rPr>
                <w:color w:val="000000"/>
              </w:rPr>
              <w:t>Approve</w:t>
            </w:r>
          </w:p>
        </w:tc>
      </w:tr>
      <w:tr w:rsidR="00312D77" w14:paraId="7EE54A98" w14:textId="77777777" w:rsidTr="00874012">
        <w:trPr>
          <w:jc w:val="center"/>
        </w:trPr>
        <w:tc>
          <w:tcPr>
            <w:tcW w:w="1504" w:type="pct"/>
            <w:shd w:val="clear" w:color="auto" w:fill="auto"/>
            <w:vAlign w:val="center"/>
          </w:tcPr>
          <w:p w14:paraId="7EE54A95" w14:textId="1A122E0E" w:rsidR="00312D77" w:rsidRPr="00CE31E6" w:rsidRDefault="00312D77" w:rsidP="00312D77">
            <w:pPr>
              <w:spacing w:before="40" w:after="40"/>
              <w:jc w:val="center"/>
              <w:rPr>
                <w:rFonts w:cs="Arial"/>
                <w:sz w:val="16"/>
                <w:szCs w:val="16"/>
              </w:rPr>
            </w:pPr>
            <w:r>
              <w:rPr>
                <w:color w:val="000000"/>
              </w:rPr>
              <w:t>Andrew Burke</w:t>
            </w:r>
          </w:p>
        </w:tc>
        <w:tc>
          <w:tcPr>
            <w:tcW w:w="2332" w:type="pct"/>
            <w:shd w:val="clear" w:color="auto" w:fill="auto"/>
            <w:vAlign w:val="center"/>
          </w:tcPr>
          <w:p w14:paraId="7EE54A96" w14:textId="58543C7E" w:rsidR="00312D77" w:rsidRPr="00CE31E6" w:rsidRDefault="00312D77" w:rsidP="00312D77">
            <w:pPr>
              <w:spacing w:before="40" w:after="40"/>
              <w:jc w:val="center"/>
              <w:rPr>
                <w:rFonts w:cs="Arial"/>
                <w:sz w:val="16"/>
                <w:szCs w:val="16"/>
              </w:rPr>
            </w:pPr>
            <w:r>
              <w:rPr>
                <w:color w:val="000000"/>
              </w:rPr>
              <w:t>Renewable Generator Member</w:t>
            </w:r>
          </w:p>
        </w:tc>
        <w:tc>
          <w:tcPr>
            <w:tcW w:w="1164" w:type="pct"/>
            <w:shd w:val="clear" w:color="auto" w:fill="auto"/>
            <w:vAlign w:val="center"/>
          </w:tcPr>
          <w:p w14:paraId="7EE54A97" w14:textId="7A5DBDE2" w:rsidR="00312D77" w:rsidRDefault="00312D77" w:rsidP="00312D77">
            <w:pPr>
              <w:jc w:val="center"/>
            </w:pPr>
            <w:r>
              <w:rPr>
                <w:color w:val="000000"/>
              </w:rPr>
              <w:t>Approve</w:t>
            </w:r>
          </w:p>
        </w:tc>
      </w:tr>
      <w:tr w:rsidR="00312D77" w14:paraId="7EE54A9C" w14:textId="77777777" w:rsidTr="00874012">
        <w:trPr>
          <w:jc w:val="center"/>
        </w:trPr>
        <w:tc>
          <w:tcPr>
            <w:tcW w:w="1504" w:type="pct"/>
            <w:shd w:val="clear" w:color="auto" w:fill="auto"/>
            <w:vAlign w:val="center"/>
          </w:tcPr>
          <w:p w14:paraId="7EE54A99" w14:textId="3C18A2F1" w:rsidR="00312D77" w:rsidRDefault="00312D77" w:rsidP="00312D77">
            <w:pPr>
              <w:spacing w:before="40" w:after="40"/>
              <w:jc w:val="center"/>
              <w:rPr>
                <w:rFonts w:cs="Arial"/>
                <w:sz w:val="16"/>
                <w:szCs w:val="16"/>
              </w:rPr>
            </w:pPr>
            <w:r>
              <w:rPr>
                <w:color w:val="000000"/>
              </w:rPr>
              <w:t>Rochelle Broderick</w:t>
            </w:r>
          </w:p>
        </w:tc>
        <w:tc>
          <w:tcPr>
            <w:tcW w:w="2332" w:type="pct"/>
            <w:shd w:val="clear" w:color="auto" w:fill="auto"/>
            <w:vAlign w:val="center"/>
          </w:tcPr>
          <w:p w14:paraId="7EE54A9A" w14:textId="7CBD43CA" w:rsidR="00312D77" w:rsidRDefault="00312D77" w:rsidP="00312D77">
            <w:pPr>
              <w:spacing w:before="40" w:after="40"/>
              <w:jc w:val="center"/>
              <w:rPr>
                <w:rFonts w:cs="Arial"/>
                <w:sz w:val="16"/>
                <w:szCs w:val="16"/>
              </w:rPr>
            </w:pPr>
            <w:r>
              <w:rPr>
                <w:color w:val="000000"/>
              </w:rPr>
              <w:t>Supplier Member</w:t>
            </w:r>
          </w:p>
        </w:tc>
        <w:tc>
          <w:tcPr>
            <w:tcW w:w="1164" w:type="pct"/>
            <w:shd w:val="clear" w:color="auto" w:fill="auto"/>
          </w:tcPr>
          <w:p w14:paraId="7EE54A9B" w14:textId="0FD924D8" w:rsidR="00312D77" w:rsidRDefault="00312D77" w:rsidP="00312D77">
            <w:pPr>
              <w:jc w:val="center"/>
              <w:rPr>
                <w:sz w:val="16"/>
                <w:szCs w:val="16"/>
              </w:rPr>
            </w:pPr>
            <w:r>
              <w:rPr>
                <w:color w:val="000000"/>
              </w:rPr>
              <w:t>Approve</w:t>
            </w:r>
          </w:p>
        </w:tc>
      </w:tr>
      <w:tr w:rsidR="00312D77" w14:paraId="4EA88CBF" w14:textId="77777777" w:rsidTr="00E30C04">
        <w:trPr>
          <w:jc w:val="center"/>
        </w:trPr>
        <w:tc>
          <w:tcPr>
            <w:tcW w:w="1504" w:type="pct"/>
            <w:shd w:val="clear" w:color="auto" w:fill="auto"/>
            <w:vAlign w:val="center"/>
          </w:tcPr>
          <w:p w14:paraId="3D8023B0" w14:textId="487AE2D6" w:rsidR="00312D77" w:rsidRDefault="00312D77" w:rsidP="00312D77">
            <w:pPr>
              <w:spacing w:before="40" w:after="40"/>
              <w:jc w:val="center"/>
              <w:rPr>
                <w:rFonts w:cs="Arial"/>
              </w:rPr>
            </w:pPr>
            <w:r>
              <w:rPr>
                <w:color w:val="000000"/>
              </w:rPr>
              <w:t>Sean McParland</w:t>
            </w:r>
          </w:p>
        </w:tc>
        <w:tc>
          <w:tcPr>
            <w:tcW w:w="2332" w:type="pct"/>
            <w:shd w:val="clear" w:color="auto" w:fill="auto"/>
            <w:vAlign w:val="center"/>
          </w:tcPr>
          <w:p w14:paraId="77E5FB91" w14:textId="63F11F34" w:rsidR="00312D77" w:rsidRDefault="00312D77" w:rsidP="00312D77">
            <w:pPr>
              <w:spacing w:before="40" w:after="40"/>
              <w:jc w:val="center"/>
              <w:rPr>
                <w:rFonts w:cs="Arial"/>
              </w:rPr>
            </w:pPr>
            <w:r>
              <w:rPr>
                <w:color w:val="000000"/>
              </w:rPr>
              <w:t>Generator Alternate</w:t>
            </w:r>
          </w:p>
        </w:tc>
        <w:tc>
          <w:tcPr>
            <w:tcW w:w="1164" w:type="pct"/>
            <w:shd w:val="clear" w:color="auto" w:fill="auto"/>
          </w:tcPr>
          <w:p w14:paraId="4CF0D858" w14:textId="24C96255" w:rsidR="00312D77" w:rsidRDefault="00312D77" w:rsidP="00312D77">
            <w:pPr>
              <w:tabs>
                <w:tab w:val="left" w:pos="276"/>
                <w:tab w:val="center" w:pos="789"/>
              </w:tabs>
              <w:jc w:val="center"/>
            </w:pPr>
            <w:r>
              <w:rPr>
                <w:color w:val="000000"/>
              </w:rPr>
              <w:t>Approve</w:t>
            </w:r>
          </w:p>
        </w:tc>
      </w:tr>
      <w:tr w:rsidR="00312D77" w14:paraId="1AC1E96F" w14:textId="77777777" w:rsidTr="00E30C04">
        <w:trPr>
          <w:jc w:val="center"/>
        </w:trPr>
        <w:tc>
          <w:tcPr>
            <w:tcW w:w="1504" w:type="pct"/>
            <w:shd w:val="clear" w:color="auto" w:fill="auto"/>
            <w:vAlign w:val="center"/>
          </w:tcPr>
          <w:p w14:paraId="48365883" w14:textId="6AE28F06" w:rsidR="00312D77" w:rsidRDefault="00312D77" w:rsidP="00312D77">
            <w:pPr>
              <w:spacing w:before="40" w:after="40"/>
              <w:jc w:val="center"/>
              <w:rPr>
                <w:color w:val="000000"/>
              </w:rPr>
            </w:pPr>
            <w:r>
              <w:rPr>
                <w:color w:val="000000"/>
              </w:rPr>
              <w:t>Stacy Feldmann</w:t>
            </w:r>
          </w:p>
        </w:tc>
        <w:tc>
          <w:tcPr>
            <w:tcW w:w="2332" w:type="pct"/>
            <w:shd w:val="clear" w:color="auto" w:fill="auto"/>
            <w:vAlign w:val="center"/>
          </w:tcPr>
          <w:p w14:paraId="67EE7A03" w14:textId="5FCFB5A0" w:rsidR="00312D77" w:rsidRDefault="00312D77" w:rsidP="00312D77">
            <w:pPr>
              <w:spacing w:before="40" w:after="40"/>
              <w:jc w:val="center"/>
              <w:rPr>
                <w:color w:val="000000"/>
              </w:rPr>
            </w:pPr>
            <w:r>
              <w:rPr>
                <w:color w:val="000000"/>
              </w:rPr>
              <w:t>Generator Member</w:t>
            </w:r>
          </w:p>
        </w:tc>
        <w:tc>
          <w:tcPr>
            <w:tcW w:w="1164" w:type="pct"/>
            <w:shd w:val="clear" w:color="auto" w:fill="auto"/>
          </w:tcPr>
          <w:p w14:paraId="42CBAD3E" w14:textId="0F329B88" w:rsidR="00312D77" w:rsidRDefault="00312D77" w:rsidP="00312D77">
            <w:pPr>
              <w:tabs>
                <w:tab w:val="left" w:pos="276"/>
                <w:tab w:val="center" w:pos="789"/>
              </w:tabs>
              <w:jc w:val="center"/>
              <w:rPr>
                <w:color w:val="000000"/>
              </w:rPr>
            </w:pPr>
            <w:r>
              <w:rPr>
                <w:color w:val="000000"/>
              </w:rPr>
              <w:t>Approve</w:t>
            </w:r>
          </w:p>
        </w:tc>
      </w:tr>
      <w:tr w:rsidR="00312D77" w14:paraId="48A2CCB4" w14:textId="77777777" w:rsidTr="00E30C04">
        <w:trPr>
          <w:jc w:val="center"/>
        </w:trPr>
        <w:tc>
          <w:tcPr>
            <w:tcW w:w="1504" w:type="pct"/>
            <w:shd w:val="clear" w:color="auto" w:fill="auto"/>
            <w:vAlign w:val="center"/>
          </w:tcPr>
          <w:p w14:paraId="4061AD3E" w14:textId="50557B43" w:rsidR="00312D77" w:rsidRDefault="00312D77" w:rsidP="00312D77">
            <w:pPr>
              <w:spacing w:before="40" w:after="40"/>
              <w:jc w:val="center"/>
              <w:rPr>
                <w:color w:val="000000"/>
              </w:rPr>
            </w:pPr>
            <w:r>
              <w:rPr>
                <w:color w:val="000000"/>
              </w:rPr>
              <w:t>Patrick Larkin</w:t>
            </w:r>
          </w:p>
        </w:tc>
        <w:tc>
          <w:tcPr>
            <w:tcW w:w="2332" w:type="pct"/>
            <w:shd w:val="clear" w:color="auto" w:fill="auto"/>
            <w:vAlign w:val="center"/>
          </w:tcPr>
          <w:p w14:paraId="7E3FFB7C" w14:textId="4E9EA10F" w:rsidR="00312D77" w:rsidRDefault="00312D77" w:rsidP="00312D77">
            <w:pPr>
              <w:spacing w:before="40" w:after="40"/>
              <w:jc w:val="center"/>
              <w:rPr>
                <w:color w:val="000000"/>
              </w:rPr>
            </w:pPr>
            <w:proofErr w:type="spellStart"/>
            <w:r>
              <w:rPr>
                <w:color w:val="000000"/>
              </w:rPr>
              <w:t>Assetless</w:t>
            </w:r>
            <w:proofErr w:type="spellEnd"/>
            <w:r>
              <w:rPr>
                <w:color w:val="000000"/>
              </w:rPr>
              <w:t xml:space="preserve"> Alternate</w:t>
            </w:r>
          </w:p>
        </w:tc>
        <w:tc>
          <w:tcPr>
            <w:tcW w:w="1164" w:type="pct"/>
            <w:shd w:val="clear" w:color="auto" w:fill="auto"/>
          </w:tcPr>
          <w:p w14:paraId="779FCDB0" w14:textId="265F87C7" w:rsidR="00312D77" w:rsidRDefault="00312D77" w:rsidP="00312D77">
            <w:pPr>
              <w:tabs>
                <w:tab w:val="left" w:pos="276"/>
                <w:tab w:val="center" w:pos="789"/>
              </w:tabs>
              <w:jc w:val="center"/>
              <w:rPr>
                <w:color w:val="000000"/>
              </w:rPr>
            </w:pPr>
            <w:r>
              <w:rPr>
                <w:color w:val="000000"/>
              </w:rPr>
              <w:t>Approve</w:t>
            </w:r>
          </w:p>
        </w:tc>
      </w:tr>
    </w:tbl>
    <w:p w14:paraId="7EE54AA1" w14:textId="77777777" w:rsidR="008A753C" w:rsidRPr="003D3D96" w:rsidRDefault="008A753C" w:rsidP="00BA48D9">
      <w:pPr>
        <w:rPr>
          <w:lang w:bidi="ar-SA"/>
        </w:rPr>
      </w:pPr>
    </w:p>
    <w:p w14:paraId="7EE54AA2" w14:textId="77777777" w:rsidR="00FC3FEE" w:rsidRPr="003D3D96" w:rsidRDefault="00FC3FEE" w:rsidP="00727BBB">
      <w:pPr>
        <w:pStyle w:val="Bullet1"/>
        <w:numPr>
          <w:ilvl w:val="0"/>
          <w:numId w:val="0"/>
        </w:numPr>
      </w:pPr>
    </w:p>
    <w:p w14:paraId="20CF85EC" w14:textId="7472F7F7" w:rsidR="00870C8D" w:rsidRPr="00CB2665" w:rsidRDefault="003E7F8C" w:rsidP="00CB2665">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108082470"/>
      <w:r w:rsidRPr="003D3D96">
        <w:rPr>
          <w:lang w:eastAsia="en-GB"/>
        </w:rPr>
        <w:t>Background</w:t>
      </w:r>
      <w:bookmarkEnd w:id="19"/>
      <w:bookmarkEnd w:id="20"/>
      <w:bookmarkEnd w:id="21"/>
      <w:bookmarkEnd w:id="22"/>
      <w:bookmarkEnd w:id="23"/>
      <w:bookmarkEnd w:id="24"/>
      <w:bookmarkEnd w:id="25"/>
    </w:p>
    <w:p w14:paraId="4FA0E3BC" w14:textId="7403B4C3" w:rsidR="00C56D9E" w:rsidRPr="005E3813" w:rsidRDefault="00CB2665" w:rsidP="005E3813">
      <w:pPr>
        <w:jc w:val="both"/>
        <w:rPr>
          <w:rFonts w:cs="Arial"/>
          <w:lang w:val="en-IE"/>
        </w:rPr>
      </w:pPr>
      <w:r w:rsidRPr="005E3813">
        <w:rPr>
          <w:rFonts w:cs="Arial"/>
          <w:lang w:val="en-IE"/>
        </w:rPr>
        <w:t>This</w:t>
      </w:r>
      <w:r w:rsidR="005E3813" w:rsidRPr="005E3813">
        <w:rPr>
          <w:rFonts w:cs="Arial"/>
          <w:lang w:val="en-IE"/>
        </w:rPr>
        <w:t xml:space="preserve"> </w:t>
      </w:r>
      <w:r w:rsidRPr="005E3813">
        <w:rPr>
          <w:rFonts w:cs="Arial"/>
          <w:lang w:val="en-IE"/>
        </w:rPr>
        <w:t>Modifica</w:t>
      </w:r>
      <w:r w:rsidR="00E73149" w:rsidRPr="005E3813">
        <w:rPr>
          <w:rFonts w:cs="Arial"/>
          <w:lang w:val="en-IE"/>
        </w:rPr>
        <w:t xml:space="preserve">tion Proposal was raised by </w:t>
      </w:r>
      <w:r w:rsidR="005E3813" w:rsidRPr="005E3813">
        <w:rPr>
          <w:rFonts w:cs="Arial"/>
          <w:lang w:val="en-IE"/>
        </w:rPr>
        <w:t xml:space="preserve">CRU and </w:t>
      </w:r>
      <w:proofErr w:type="spellStart"/>
      <w:r w:rsidR="005E3813" w:rsidRPr="005E3813">
        <w:rPr>
          <w:rFonts w:cs="Arial"/>
          <w:lang w:val="en-IE"/>
        </w:rPr>
        <w:t>Uregni</w:t>
      </w:r>
      <w:proofErr w:type="spellEnd"/>
      <w:r w:rsidRPr="005E3813">
        <w:rPr>
          <w:rFonts w:cs="Arial"/>
          <w:lang w:val="en-IE"/>
        </w:rPr>
        <w:t xml:space="preserve"> and received by the Secretariat on the </w:t>
      </w:r>
      <w:r w:rsidR="005E3813" w:rsidRPr="005E3813">
        <w:rPr>
          <w:rFonts w:cs="Arial"/>
          <w:lang w:val="en-IE"/>
        </w:rPr>
        <w:t>31</w:t>
      </w:r>
      <w:r w:rsidR="005E3813" w:rsidRPr="005E3813">
        <w:rPr>
          <w:rFonts w:cs="Arial"/>
          <w:vertAlign w:val="superscript"/>
          <w:lang w:val="en-IE"/>
        </w:rPr>
        <w:t>st</w:t>
      </w:r>
      <w:r w:rsidR="005E3813" w:rsidRPr="005E3813">
        <w:rPr>
          <w:rFonts w:cs="Arial"/>
          <w:lang w:val="en-IE"/>
        </w:rPr>
        <w:t xml:space="preserve"> May</w:t>
      </w:r>
      <w:r w:rsidRPr="005E3813">
        <w:rPr>
          <w:rFonts w:cs="Arial"/>
          <w:lang w:val="en-IE"/>
        </w:rPr>
        <w:t xml:space="preserve"> 202</w:t>
      </w:r>
      <w:r w:rsidR="00C56D9E" w:rsidRPr="005E3813">
        <w:rPr>
          <w:rFonts w:cs="Arial"/>
          <w:lang w:val="en-IE"/>
        </w:rPr>
        <w:t>2</w:t>
      </w:r>
      <w:r w:rsidRPr="005E3813">
        <w:rPr>
          <w:rFonts w:cs="Arial"/>
          <w:lang w:val="en-IE"/>
        </w:rPr>
        <w:t>. The Proposal was ra</w:t>
      </w:r>
      <w:r w:rsidR="00E73149" w:rsidRPr="005E3813">
        <w:rPr>
          <w:rFonts w:cs="Arial"/>
          <w:lang w:val="en-IE"/>
        </w:rPr>
        <w:t xml:space="preserve">ised </w:t>
      </w:r>
      <w:r w:rsidR="00C56D9E" w:rsidRPr="005E3813">
        <w:rPr>
          <w:rFonts w:cs="Arial"/>
          <w:lang w:val="en-IE"/>
        </w:rPr>
        <w:t xml:space="preserve">and voted on </w:t>
      </w:r>
      <w:r w:rsidR="0084595E" w:rsidRPr="005E3813">
        <w:rPr>
          <w:rFonts w:cs="Arial"/>
          <w:lang w:val="en-IE"/>
        </w:rPr>
        <w:t>at Meeting 1</w:t>
      </w:r>
      <w:r w:rsidR="005E3813" w:rsidRPr="005E3813">
        <w:rPr>
          <w:rFonts w:cs="Arial"/>
          <w:lang w:val="en-IE"/>
        </w:rPr>
        <w:t>11</w:t>
      </w:r>
      <w:r w:rsidR="0084595E" w:rsidRPr="005E3813">
        <w:rPr>
          <w:rFonts w:cs="Arial"/>
          <w:lang w:val="en-IE"/>
        </w:rPr>
        <w:t xml:space="preserve"> on the </w:t>
      </w:r>
      <w:r w:rsidR="005E3813" w:rsidRPr="005E3813">
        <w:rPr>
          <w:rFonts w:cs="Arial"/>
          <w:lang w:val="en-IE"/>
        </w:rPr>
        <w:t>16</w:t>
      </w:r>
      <w:r w:rsidR="005E3813" w:rsidRPr="005E3813">
        <w:rPr>
          <w:rFonts w:cs="Arial"/>
          <w:vertAlign w:val="superscript"/>
          <w:lang w:val="en-IE"/>
        </w:rPr>
        <w:t>th</w:t>
      </w:r>
      <w:r w:rsidR="005E3813" w:rsidRPr="005E3813">
        <w:rPr>
          <w:rFonts w:cs="Arial"/>
          <w:lang w:val="en-IE"/>
        </w:rPr>
        <w:t xml:space="preserve"> June 2022.</w:t>
      </w:r>
    </w:p>
    <w:p w14:paraId="5A125E7D" w14:textId="77777777" w:rsidR="005E3813" w:rsidRPr="005E3813" w:rsidRDefault="005E3813" w:rsidP="005E3813">
      <w:pPr>
        <w:jc w:val="both"/>
        <w:rPr>
          <w:rFonts w:cs="Arial"/>
          <w:lang w:val="en-IE"/>
        </w:rPr>
      </w:pPr>
      <w:r w:rsidRPr="005E3813">
        <w:rPr>
          <w:rFonts w:cs="Arial"/>
          <w:lang w:val="en-IE"/>
        </w:rPr>
        <w:t>This Modification proposes to change the frequency of preparation and publication of the SEMO Performance Reports from monthly to quarterly.</w:t>
      </w:r>
    </w:p>
    <w:p w14:paraId="0ECA4013" w14:textId="77777777" w:rsidR="005E3813" w:rsidRPr="005E3813" w:rsidRDefault="005E3813" w:rsidP="005E3813">
      <w:pPr>
        <w:jc w:val="both"/>
        <w:rPr>
          <w:rFonts w:cs="Arial"/>
          <w:lang w:val="en-IE"/>
        </w:rPr>
      </w:pPr>
      <w:r w:rsidRPr="005E3813">
        <w:rPr>
          <w:rFonts w:cs="Arial"/>
          <w:lang w:val="en-IE"/>
        </w:rPr>
        <w:t xml:space="preserve">The RAs have in recent months considered the possibility of streamlining some of SEMO’s reports and have earmarked the SEMO monthly performance report as a report which could potentially be prepared and published less frequently while still providing important and relevant information. </w:t>
      </w:r>
    </w:p>
    <w:p w14:paraId="649DEDB3" w14:textId="2A21234C" w:rsidR="005E3813" w:rsidRPr="005E3813" w:rsidRDefault="005E3813" w:rsidP="005E3813">
      <w:pPr>
        <w:jc w:val="both"/>
        <w:rPr>
          <w:rFonts w:cs="Arial"/>
          <w:lang w:val="en-IE"/>
        </w:rPr>
      </w:pPr>
      <w:r w:rsidRPr="005E3813">
        <w:rPr>
          <w:rFonts w:cs="Arial"/>
          <w:lang w:val="en-IE"/>
        </w:rPr>
        <w:t>The RAs are of the view that it is important that the information contained in this performance report would continue to be broken down by month so as the current transparency is maintained. This proposal also allows time for information which at times hasn’t been available in monthly reports to be provided in the quarterly report.</w:t>
      </w:r>
    </w:p>
    <w:p w14:paraId="19B4E5F0" w14:textId="77777777" w:rsidR="005E3813" w:rsidRPr="005E3813" w:rsidRDefault="005E3813" w:rsidP="005E3813">
      <w:pPr>
        <w:rPr>
          <w:rFonts w:cs="Arial"/>
          <w:lang w:val="en-IE"/>
        </w:rPr>
      </w:pPr>
      <w:r w:rsidRPr="005E3813">
        <w:rPr>
          <w:rFonts w:cs="Arial"/>
          <w:lang w:val="en-IE"/>
        </w:rPr>
        <w:t xml:space="preserve">In advance of the RAs raising this Modification we requested SEMO raise this possible change with market participants and so SEMO raised it at the January 2022 MOUG and asked for any feedback. We understand no feedback was received.    </w:t>
      </w:r>
    </w:p>
    <w:p w14:paraId="4BE5EFF8" w14:textId="77777777" w:rsidR="005E3813" w:rsidRDefault="005E3813" w:rsidP="005E3813">
      <w:pPr>
        <w:rPr>
          <w:rFonts w:ascii="Calibri" w:hAnsi="Calibri" w:cs="Arial"/>
          <w:lang w:val="en-IE"/>
        </w:rPr>
      </w:pPr>
    </w:p>
    <w:p w14:paraId="4F33D762" w14:textId="77777777" w:rsidR="005E3813" w:rsidRPr="005E3813" w:rsidRDefault="005E3813" w:rsidP="005E3813">
      <w:pPr>
        <w:jc w:val="both"/>
        <w:rPr>
          <w:rFonts w:cs="Arial"/>
          <w:lang w:val="en-IE"/>
        </w:rPr>
      </w:pPr>
      <w:r w:rsidRPr="005E3813">
        <w:rPr>
          <w:rFonts w:cs="Arial"/>
          <w:lang w:val="en-IE"/>
        </w:rPr>
        <w:lastRenderedPageBreak/>
        <w:t>Following feedback from market participants as part of the SEMO Price Control process a SEMO Focus Group was set up to aid transparency and accountability of SEMO’s performance and development.  This group first met on 22 March 2022 and the proposal to move from monthly to quarterly for the SEMO Performance Report was again raised.  Limited feedback was received in general to the reporting section and the RAs indicated that if there were no additional comments from participants it would be taken as general support for the reporting proposals.</w:t>
      </w:r>
    </w:p>
    <w:p w14:paraId="338312CC" w14:textId="2CB759B6" w:rsidR="005E3813" w:rsidRPr="005E3813" w:rsidRDefault="005E3813" w:rsidP="005E3813">
      <w:pPr>
        <w:jc w:val="both"/>
        <w:rPr>
          <w:rFonts w:cs="Arial"/>
          <w:lang w:val="en-IE"/>
        </w:rPr>
      </w:pPr>
      <w:r w:rsidRPr="005E3813">
        <w:rPr>
          <w:rFonts w:cs="Arial"/>
          <w:lang w:val="en-IE"/>
        </w:rPr>
        <w:t>SEMO have published separate monthly performance reports up to and including March 2022.  No report has been published for April 2022.  If this Modification is approved it is expected that the first quarterly performance report would relate to April, May and June 2022 with a view to being published July/early August 2022.</w:t>
      </w: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108082471"/>
      <w:r w:rsidRPr="003D3D96">
        <w:rPr>
          <w:lang w:eastAsia="en-GB"/>
        </w:rPr>
        <w:t>PURPOSE OF PROPOSED MODIFICATION</w:t>
      </w:r>
      <w:bookmarkEnd w:id="26"/>
      <w:bookmarkEnd w:id="27"/>
      <w:bookmarkEnd w:id="28"/>
      <w:bookmarkEnd w:id="29"/>
      <w:bookmarkEnd w:id="30"/>
      <w:bookmarkEnd w:id="31"/>
      <w:bookmarkEnd w:id="32"/>
    </w:p>
    <w:p w14:paraId="7C3A3AA4" w14:textId="00B53E3A" w:rsidR="00C56D9E" w:rsidRPr="00C56D9E" w:rsidRDefault="00E41097" w:rsidP="00C56D9E">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108082472"/>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Start w:id="47" w:name="_Toc334796302"/>
      <w:bookmarkEnd w:id="33"/>
      <w:bookmarkEnd w:id="34"/>
      <w:bookmarkEnd w:id="35"/>
      <w:bookmarkEnd w:id="36"/>
      <w:bookmarkEnd w:id="37"/>
      <w:bookmarkEnd w:id="38"/>
      <w:bookmarkEnd w:id="39"/>
      <w:bookmarkEnd w:id="40"/>
    </w:p>
    <w:p w14:paraId="752CE6BA" w14:textId="64E999D2" w:rsidR="006823CE" w:rsidRPr="006823CE" w:rsidRDefault="006823CE" w:rsidP="006823CE">
      <w:pPr>
        <w:rPr>
          <w:rFonts w:cs="Arial"/>
          <w:lang w:val="en-IE"/>
        </w:rPr>
      </w:pPr>
      <w:r w:rsidRPr="006823CE">
        <w:rPr>
          <w:rFonts w:cs="Arial"/>
          <w:lang w:val="en-IE"/>
        </w:rPr>
        <w:t>This Modification seeks to streamline the publication of SEMO’s regulatory reporting while maintaining transparency on a monthly basis.</w:t>
      </w:r>
    </w:p>
    <w:p w14:paraId="653BC9D3" w14:textId="6EA1B2B4" w:rsidR="0044512C" w:rsidRPr="0044512C" w:rsidRDefault="00E41097" w:rsidP="00C471EA">
      <w:pPr>
        <w:pBdr>
          <w:top w:val="single" w:sz="24" w:space="0" w:color="DBE5F1"/>
          <w:left w:val="single" w:sz="24" w:space="0" w:color="DBE5F1"/>
          <w:bottom w:val="single" w:sz="24" w:space="0" w:color="DBE5F1"/>
          <w:right w:val="single" w:sz="24" w:space="0" w:color="DBE5F1"/>
        </w:pBdr>
        <w:shd w:val="clear" w:color="auto" w:fill="DBE5F1"/>
        <w:spacing w:after="0"/>
        <w:ind w:left="576" w:hanging="576"/>
        <w:jc w:val="both"/>
        <w:outlineLvl w:val="1"/>
        <w:rPr>
          <w:b/>
          <w:bCs/>
          <w:caps/>
          <w:smallCaps/>
          <w:color w:val="1F497D"/>
          <w:spacing w:val="5"/>
          <w:sz w:val="22"/>
          <w:szCs w:val="22"/>
          <w:u w:val="single"/>
          <w:lang w:eastAsia="en-GB" w:bidi="ar-SA"/>
        </w:rPr>
      </w:pPr>
      <w:bookmarkStart w:id="48" w:name="_Toc108082473"/>
      <w:r w:rsidRPr="003D3D96">
        <w:rPr>
          <w:b/>
          <w:bCs/>
          <w:caps/>
          <w:smallCaps/>
          <w:color w:val="1F497D"/>
          <w:spacing w:val="5"/>
          <w:sz w:val="22"/>
          <w:szCs w:val="22"/>
          <w:u w:val="single"/>
          <w:lang w:eastAsia="en-GB" w:bidi="ar-SA"/>
        </w:rPr>
        <w:t>3B.) Impact of not Implementing a Solution</w:t>
      </w:r>
      <w:bookmarkStart w:id="49" w:name="_Toc334796303"/>
      <w:bookmarkEnd w:id="47"/>
      <w:bookmarkEnd w:id="48"/>
    </w:p>
    <w:p w14:paraId="3676E70A" w14:textId="5501D0E3" w:rsidR="006823CE" w:rsidRPr="00EE4534" w:rsidRDefault="006823CE" w:rsidP="006823CE">
      <w:pPr>
        <w:rPr>
          <w:rFonts w:cs="Arial"/>
          <w:lang w:val="en-IE"/>
        </w:rPr>
      </w:pPr>
      <w:r w:rsidRPr="006823CE">
        <w:rPr>
          <w:rFonts w:cs="Arial"/>
          <w:lang w:val="en-IE"/>
        </w:rPr>
        <w:t>If this Modification is not implemented SEMO will continue to publish performance reports each month. It may continue to be the case that some information may not be available when the report is due to be published.</w:t>
      </w:r>
    </w:p>
    <w:p w14:paraId="5C53AD99" w14:textId="18D90763" w:rsidR="006823CE" w:rsidRPr="006823CE" w:rsidRDefault="00E41097" w:rsidP="006823CE">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108082474"/>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09B115A7" w14:textId="77777777" w:rsidR="006823CE" w:rsidRPr="006823CE" w:rsidRDefault="006823CE" w:rsidP="006823CE">
      <w:pPr>
        <w:pStyle w:val="CERLEVEL5"/>
        <w:numPr>
          <w:ilvl w:val="4"/>
          <w:numId w:val="40"/>
        </w:numPr>
        <w:rPr>
          <w:rFonts w:cs="Arial"/>
          <w:sz w:val="20"/>
          <w:szCs w:val="20"/>
        </w:rPr>
      </w:pPr>
      <w:r w:rsidRPr="006823CE">
        <w:rPr>
          <w:rFonts w:cs="Arial"/>
          <w:sz w:val="20"/>
          <w:szCs w:val="20"/>
        </w:rPr>
        <w:t xml:space="preserve">to facilitate the efficient, economic and coordinated operation, administration and development of the Single Electricity Market in a financially secure manner; </w:t>
      </w:r>
    </w:p>
    <w:p w14:paraId="69986209" w14:textId="77777777" w:rsidR="006823CE" w:rsidRPr="006823CE" w:rsidRDefault="006823CE" w:rsidP="006823CE">
      <w:pPr>
        <w:pStyle w:val="CERLEVEL5"/>
        <w:rPr>
          <w:rFonts w:cs="Arial"/>
          <w:sz w:val="20"/>
          <w:szCs w:val="20"/>
        </w:rPr>
      </w:pPr>
      <w:r w:rsidRPr="006823CE">
        <w:rPr>
          <w:rFonts w:cs="Arial"/>
          <w:sz w:val="20"/>
          <w:szCs w:val="20"/>
          <w:lang w:val="en-IE"/>
        </w:rPr>
        <w:t>This Modification aims to facilitate the efficient administration of the SEM by reducing the number of reports to be produced while maintaining transparency of the information which will continue to be presented on a monthly basis.</w:t>
      </w:r>
    </w:p>
    <w:p w14:paraId="15F5E038" w14:textId="77777777" w:rsidR="006823CE" w:rsidRPr="006823CE" w:rsidRDefault="006823CE" w:rsidP="006823CE">
      <w:pPr>
        <w:pStyle w:val="CERLEVEL5"/>
        <w:rPr>
          <w:rFonts w:cs="Arial"/>
          <w:sz w:val="20"/>
          <w:szCs w:val="20"/>
        </w:rPr>
      </w:pPr>
    </w:p>
    <w:p w14:paraId="14A77BDE" w14:textId="77777777" w:rsidR="006823CE" w:rsidRPr="006823CE" w:rsidRDefault="006823CE" w:rsidP="006823CE">
      <w:pPr>
        <w:pStyle w:val="CERLEVEL5"/>
        <w:numPr>
          <w:ilvl w:val="4"/>
          <w:numId w:val="39"/>
        </w:numPr>
        <w:rPr>
          <w:rFonts w:cs="Arial"/>
          <w:sz w:val="20"/>
          <w:szCs w:val="20"/>
        </w:rPr>
      </w:pPr>
      <w:r w:rsidRPr="006823CE">
        <w:rPr>
          <w:rFonts w:cs="Arial"/>
          <w:sz w:val="20"/>
          <w:szCs w:val="20"/>
          <w:lang w:val="en-IE"/>
        </w:rPr>
        <w:t xml:space="preserve">to provide transparency in the operation of the Single Electricity Market; </w:t>
      </w:r>
    </w:p>
    <w:p w14:paraId="7847BDF9" w14:textId="77777777" w:rsidR="006823CE" w:rsidRPr="006823CE" w:rsidRDefault="006823CE" w:rsidP="006823CE">
      <w:pPr>
        <w:rPr>
          <w:rFonts w:cs="Arial"/>
          <w:lang w:val="en-IE"/>
        </w:rPr>
      </w:pPr>
      <w:r w:rsidRPr="006823CE">
        <w:rPr>
          <w:rFonts w:cs="Arial"/>
          <w:lang w:val="en-IE"/>
        </w:rPr>
        <w:t>Transparency of the performance of the SEM may be furthered by the Modification as more time is available to ensure information is available to be reported upon.</w:t>
      </w:r>
    </w:p>
    <w:p w14:paraId="1E3D3EF8" w14:textId="77777777" w:rsidR="006823CE" w:rsidRPr="00EE4534" w:rsidRDefault="006823CE" w:rsidP="00EE4534">
      <w:pPr>
        <w:pStyle w:val="ListBullet"/>
        <w:numPr>
          <w:ilvl w:val="0"/>
          <w:numId w:val="0"/>
        </w:numPr>
        <w:spacing w:before="0"/>
        <w:ind w:left="142"/>
        <w:jc w:val="both"/>
        <w:rPr>
          <w:rFonts w:cs="Arial"/>
        </w:rPr>
      </w:pPr>
    </w:p>
    <w:p w14:paraId="7EE54AB8" w14:textId="77777777" w:rsidR="00425E05" w:rsidRPr="003D3D96" w:rsidRDefault="00425E05" w:rsidP="00AD60CD">
      <w:pPr>
        <w:pStyle w:val="Heading1"/>
        <w:pageBreakBefore w:val="0"/>
        <w:numPr>
          <w:ilvl w:val="0"/>
          <w:numId w:val="12"/>
        </w:numPr>
        <w:rPr>
          <w:lang w:eastAsia="en-GB"/>
        </w:rPr>
      </w:pPr>
      <w:bookmarkStart w:id="59" w:name="_Toc108082475"/>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108082476"/>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67B2ED6A" w14:textId="11628AAC" w:rsidR="0081391B" w:rsidRPr="0081391B" w:rsidRDefault="00EE4534" w:rsidP="00277C4C">
      <w:pPr>
        <w:spacing w:line="360" w:lineRule="auto"/>
        <w:rPr>
          <w:rFonts w:cs="Arial"/>
          <w:lang w:val="en-IE"/>
        </w:rPr>
      </w:pPr>
      <w:r>
        <w:rPr>
          <w:rFonts w:cs="Arial"/>
          <w:lang w:val="en-IE"/>
        </w:rPr>
        <w:t>n/a</w:t>
      </w:r>
    </w:p>
    <w:p w14:paraId="7EE54ABC" w14:textId="77777777" w:rsidR="00425E05" w:rsidRPr="003D3D96" w:rsidRDefault="00425E05" w:rsidP="0081391B">
      <w:pPr>
        <w:pStyle w:val="Heading1"/>
        <w:pageBreakBefore w:val="0"/>
        <w:numPr>
          <w:ilvl w:val="0"/>
          <w:numId w:val="12"/>
        </w:numPr>
        <w:pBdr>
          <w:top w:val="single" w:sz="24" w:space="6" w:color="4F81BD"/>
        </w:pBdr>
        <w:rPr>
          <w:lang w:eastAsia="en-GB"/>
        </w:rPr>
      </w:pPr>
      <w:bookmarkStart w:id="73" w:name="_Toc108082477"/>
      <w:r w:rsidRPr="003D3D96">
        <w:rPr>
          <w:lang w:eastAsia="en-GB"/>
        </w:rPr>
        <w:t>Impact on other Codes/Documents</w:t>
      </w:r>
      <w:bookmarkEnd w:id="67"/>
      <w:bookmarkEnd w:id="68"/>
      <w:bookmarkEnd w:id="69"/>
      <w:bookmarkEnd w:id="70"/>
      <w:bookmarkEnd w:id="71"/>
      <w:bookmarkEnd w:id="72"/>
      <w:bookmarkEnd w:id="73"/>
    </w:p>
    <w:p w14:paraId="1D01311C" w14:textId="1EDDDA4E" w:rsidR="00E36447" w:rsidRDefault="00425E05" w:rsidP="00511493">
      <w:pPr>
        <w:jc w:val="both"/>
      </w:pPr>
      <w:r w:rsidRPr="003D3D96">
        <w:t>N/A</w:t>
      </w:r>
    </w:p>
    <w:p w14:paraId="400CB2F6" w14:textId="423A4BED" w:rsidR="006823CE" w:rsidRDefault="006823CE" w:rsidP="00511493">
      <w:pPr>
        <w:jc w:val="both"/>
      </w:pPr>
    </w:p>
    <w:p w14:paraId="517FA4A7" w14:textId="0DCB112D" w:rsidR="006823CE" w:rsidRDefault="006823CE" w:rsidP="00511493">
      <w:pPr>
        <w:jc w:val="both"/>
      </w:pPr>
    </w:p>
    <w:p w14:paraId="425EA5A4" w14:textId="77777777" w:rsidR="006823CE" w:rsidRPr="003D3D96" w:rsidRDefault="006823CE" w:rsidP="00511493">
      <w:pPr>
        <w:jc w:val="both"/>
      </w:pPr>
    </w:p>
    <w:p w14:paraId="66ED02D8" w14:textId="4DA10E24" w:rsidR="002606D5" w:rsidRPr="002606D5" w:rsidRDefault="00F82A51" w:rsidP="002606D5">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108082478"/>
      <w:r w:rsidRPr="003D3D96">
        <w:rPr>
          <w:lang w:eastAsia="en-GB"/>
        </w:rPr>
        <w:lastRenderedPageBreak/>
        <w:t>MODIFICATION COMMITTEE VIEWS</w:t>
      </w:r>
      <w:bookmarkStart w:id="81" w:name="_Toc313526639"/>
      <w:bookmarkStart w:id="82" w:name="_Toc313526780"/>
      <w:bookmarkStart w:id="83" w:name="_Toc313526834"/>
      <w:bookmarkStart w:id="84" w:name="_Toc313526920"/>
      <w:bookmarkStart w:id="85" w:name="_Toc313527009"/>
      <w:bookmarkStart w:id="86" w:name="_Toc313527119"/>
      <w:bookmarkEnd w:id="74"/>
      <w:bookmarkEnd w:id="75"/>
      <w:bookmarkEnd w:id="76"/>
      <w:bookmarkEnd w:id="77"/>
      <w:bookmarkEnd w:id="78"/>
      <w:bookmarkEnd w:id="79"/>
      <w:bookmarkEnd w:id="80"/>
    </w:p>
    <w:p w14:paraId="6A28A652" w14:textId="22DD734C" w:rsidR="006823CE" w:rsidRPr="006823CE" w:rsidRDefault="004B5FA7" w:rsidP="006823CE">
      <w:pPr>
        <w:pStyle w:val="Heading2"/>
        <w:numPr>
          <w:ilvl w:val="0"/>
          <w:numId w:val="0"/>
        </w:numPr>
        <w:rPr>
          <w:b/>
          <w:bCs/>
          <w:smallCaps/>
          <w:color w:val="1F497D"/>
          <w:spacing w:val="5"/>
          <w:u w:val="single"/>
        </w:rPr>
      </w:pPr>
      <w:bookmarkStart w:id="87" w:name="_Toc108082479"/>
      <w:r>
        <w:rPr>
          <w:rStyle w:val="IntenseReference"/>
          <w:color w:val="1F497D"/>
        </w:rPr>
        <w:t xml:space="preserve">Modifications </w:t>
      </w:r>
      <w:r w:rsidRPr="003D3D96">
        <w:rPr>
          <w:rStyle w:val="IntenseReference"/>
          <w:color w:val="1F497D"/>
        </w:rPr>
        <w:t xml:space="preserve">Meeting </w:t>
      </w:r>
      <w:r>
        <w:rPr>
          <w:b/>
          <w:bCs/>
          <w:smallCaps/>
          <w:color w:val="1F497D"/>
          <w:spacing w:val="5"/>
          <w:u w:val="single"/>
        </w:rPr>
        <w:t>1</w:t>
      </w:r>
      <w:r w:rsidR="006823CE">
        <w:rPr>
          <w:b/>
          <w:bCs/>
          <w:smallCaps/>
          <w:color w:val="1F497D"/>
          <w:spacing w:val="5"/>
          <w:u w:val="single"/>
        </w:rPr>
        <w:t>11 – 16</w:t>
      </w:r>
      <w:r w:rsidR="006823CE" w:rsidRPr="006823CE">
        <w:rPr>
          <w:b/>
          <w:bCs/>
          <w:smallCaps/>
          <w:color w:val="1F497D"/>
          <w:spacing w:val="5"/>
          <w:u w:val="single"/>
          <w:vertAlign w:val="superscript"/>
        </w:rPr>
        <w:t>th</w:t>
      </w:r>
      <w:r w:rsidR="006823CE">
        <w:rPr>
          <w:b/>
          <w:bCs/>
          <w:smallCaps/>
          <w:color w:val="1F497D"/>
          <w:spacing w:val="5"/>
          <w:u w:val="single"/>
        </w:rPr>
        <w:t xml:space="preserve"> June 2022</w:t>
      </w:r>
      <w:bookmarkEnd w:id="87"/>
    </w:p>
    <w:p w14:paraId="5EA18903" w14:textId="75230C72" w:rsidR="007531EE" w:rsidRDefault="007531EE" w:rsidP="006823CE">
      <w:pPr>
        <w:spacing w:before="240"/>
        <w:jc w:val="both"/>
      </w:pPr>
      <w:r>
        <w:t xml:space="preserve">The Proposer provided an update on this Modification noting that its purpose was to change the frequency of publication from monthly to quarterly but advised that the data would continue to be broken down on a monthly basis and this would provide SEMO with more time to gather </w:t>
      </w:r>
      <w:r w:rsidR="00F11540">
        <w:t>a full set of data.</w:t>
      </w:r>
    </w:p>
    <w:p w14:paraId="407EABB4" w14:textId="77777777" w:rsidR="00F11540" w:rsidRDefault="00F11540" w:rsidP="00F11540">
      <w:pPr>
        <w:spacing w:before="240"/>
        <w:jc w:val="both"/>
      </w:pPr>
      <w:r>
        <w:t>The Proposer advised that before submitting this Modification Proposal it was raised with Participants at the MOUG and there was no feedback received. SEMO have already published that monthly performance report for March, and at the request of the RAs, they paused the report in April or May to await the outcome of this Modification. If the Modification is approved, the first quarterly report would be issued in late July / August.</w:t>
      </w:r>
    </w:p>
    <w:p w14:paraId="50D7691A" w14:textId="51B8EAEE" w:rsidR="007531EE" w:rsidRDefault="00F11540" w:rsidP="007531EE">
      <w:pPr>
        <w:spacing w:before="240"/>
        <w:jc w:val="both"/>
      </w:pPr>
      <w:r>
        <w:t>A Supplier Member queried the timelines for publication to take place one month after the end of the quarter and voiced concerns that any delays could cause it to move into the following month. MO Member advised that a month is appropriate to allow SEMO enough time to gather a finalized set of data for the quarter considering timelines for queries etc.  The Proposer provided assurance that there would be an allowance on the first report, to account to some re-design and formatting but this would not be allowed to happen on a regular basis.</w:t>
      </w:r>
    </w:p>
    <w:p w14:paraId="7EE54ACC" w14:textId="77777777" w:rsidR="001D05B9" w:rsidRPr="003D3D96" w:rsidRDefault="00425E05" w:rsidP="00AD60CD">
      <w:pPr>
        <w:pStyle w:val="Heading1"/>
        <w:pageBreakBefore w:val="0"/>
        <w:numPr>
          <w:ilvl w:val="0"/>
          <w:numId w:val="12"/>
        </w:numPr>
        <w:rPr>
          <w:lang w:eastAsia="en-GB"/>
        </w:rPr>
      </w:pPr>
      <w:bookmarkStart w:id="88" w:name="_Toc108082480"/>
      <w:r w:rsidRPr="003D3D96">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1"/>
      <w:bookmarkEnd w:id="82"/>
      <w:bookmarkEnd w:id="83"/>
      <w:bookmarkEnd w:id="84"/>
      <w:bookmarkEnd w:id="85"/>
      <w:bookmarkEnd w:id="86"/>
      <w:bookmarkEnd w:id="88"/>
    </w:p>
    <w:p w14:paraId="0D464038" w14:textId="2E54ACB5" w:rsidR="008D1281" w:rsidRPr="007531EE" w:rsidRDefault="007531EE" w:rsidP="007531EE">
      <w:pPr>
        <w:spacing w:before="0" w:after="0"/>
        <w:rPr>
          <w:rFonts w:cs="Arial"/>
          <w:lang w:val="en-IE"/>
        </w:rPr>
      </w:pPr>
      <w:r>
        <w:rPr>
          <w:rFonts w:cs="Arial"/>
          <w:lang w:val="en-IE"/>
        </w:rPr>
        <w:t>As per Appendix 1.</w:t>
      </w:r>
    </w:p>
    <w:p w14:paraId="7EE54ACE" w14:textId="77777777" w:rsidR="00132649" w:rsidRPr="003D3D96" w:rsidRDefault="00132649" w:rsidP="008D1281">
      <w:pPr>
        <w:pStyle w:val="Heading1"/>
        <w:pageBreakBefore w:val="0"/>
        <w:numPr>
          <w:ilvl w:val="0"/>
          <w:numId w:val="38"/>
        </w:numPr>
        <w:rPr>
          <w:bCs w:val="0"/>
          <w:smallCaps/>
          <w:lang w:eastAsia="en-GB"/>
        </w:rPr>
      </w:pPr>
      <w:bookmarkStart w:id="96" w:name="_Toc108082481"/>
      <w:r w:rsidRPr="003D3D96">
        <w:rPr>
          <w:bCs w:val="0"/>
          <w:smallCaps/>
          <w:lang w:eastAsia="en-GB"/>
        </w:rPr>
        <w:t>LEGAL REVIEW</w:t>
      </w:r>
      <w:bookmarkEnd w:id="89"/>
      <w:bookmarkEnd w:id="90"/>
      <w:bookmarkEnd w:id="91"/>
      <w:bookmarkEnd w:id="92"/>
      <w:bookmarkEnd w:id="93"/>
      <w:bookmarkEnd w:id="94"/>
      <w:bookmarkEnd w:id="95"/>
      <w:bookmarkEnd w:id="96"/>
    </w:p>
    <w:p w14:paraId="4CE3ED6F" w14:textId="317B7667" w:rsidR="00755320" w:rsidRPr="003D3D96" w:rsidRDefault="003A374B" w:rsidP="009C65C6">
      <w:pPr>
        <w:pStyle w:val="Bullet1"/>
        <w:numPr>
          <w:ilvl w:val="0"/>
          <w:numId w:val="0"/>
        </w:numPr>
        <w:jc w:val="both"/>
        <w:rPr>
          <w:color w:val="000000"/>
        </w:rPr>
      </w:pPr>
      <w:r>
        <w:rPr>
          <w:color w:val="000000"/>
        </w:rPr>
        <w:t>N/A</w:t>
      </w:r>
    </w:p>
    <w:p w14:paraId="7EE54AD0" w14:textId="77777777" w:rsidR="00AF6434" w:rsidRDefault="00C32CED" w:rsidP="008D1281">
      <w:pPr>
        <w:pStyle w:val="Heading1"/>
        <w:pageBreakBefore w:val="0"/>
        <w:numPr>
          <w:ilvl w:val="0"/>
          <w:numId w:val="38"/>
        </w:numPr>
        <w:rPr>
          <w:lang w:eastAsia="en-GB"/>
        </w:rPr>
      </w:pPr>
      <w:bookmarkStart w:id="97" w:name="_Toc313526641"/>
      <w:bookmarkStart w:id="98" w:name="_Toc313526782"/>
      <w:bookmarkStart w:id="99" w:name="_Toc313526836"/>
      <w:bookmarkStart w:id="100" w:name="_Toc313526922"/>
      <w:bookmarkStart w:id="101" w:name="_Toc313527011"/>
      <w:bookmarkStart w:id="102" w:name="_Toc313527121"/>
      <w:bookmarkStart w:id="103" w:name="_Toc108082482"/>
      <w:r w:rsidRPr="003D3D96">
        <w:rPr>
          <w:lang w:eastAsia="en-GB"/>
        </w:rPr>
        <w:t>IMPLEMENTATION TIMESCALE</w:t>
      </w:r>
      <w:bookmarkEnd w:id="97"/>
      <w:bookmarkEnd w:id="98"/>
      <w:bookmarkEnd w:id="99"/>
      <w:bookmarkEnd w:id="100"/>
      <w:bookmarkEnd w:id="101"/>
      <w:bookmarkEnd w:id="102"/>
      <w:bookmarkEnd w:id="103"/>
    </w:p>
    <w:p w14:paraId="2851E6C8" w14:textId="3575DF2A" w:rsidR="004E1781" w:rsidRPr="004E1781" w:rsidRDefault="004E1781" w:rsidP="004E1781">
      <w:pPr>
        <w:jc w:val="both"/>
      </w:pPr>
      <w:bookmarkStart w:id="104" w:name="_Toc359934986"/>
      <w:bookmarkStart w:id="105" w:name="_Toc380138275"/>
      <w:bookmarkStart w:id="106" w:name="_Toc472669023"/>
      <w:bookmarkStart w:id="107" w:name="_Toc522090845"/>
      <w:r w:rsidRPr="00690219">
        <w:t xml:space="preserve">It is recommended that this Modification is implemented on a </w:t>
      </w:r>
      <w:r w:rsidR="00214FC2" w:rsidRPr="00690219">
        <w:t>Settlement</w:t>
      </w:r>
      <w:r w:rsidRPr="00690219">
        <w:t xml:space="preserve"> Day basis on the first </w:t>
      </w:r>
      <w:r w:rsidR="00214FC2" w:rsidRPr="00690219">
        <w:t xml:space="preserve">Settlement Day </w:t>
      </w:r>
      <w:r w:rsidR="00CB2665" w:rsidRPr="00690219">
        <w:t>following publication</w:t>
      </w:r>
      <w:r w:rsidRPr="00690219">
        <w:t xml:space="preserve"> of RAs decision.</w:t>
      </w:r>
    </w:p>
    <w:p w14:paraId="7A1A8A18" w14:textId="4D56D9EC" w:rsidR="008456EC" w:rsidRPr="003D3D96" w:rsidRDefault="008456EC" w:rsidP="008456EC">
      <w:pPr>
        <w:pStyle w:val="Bullet1"/>
        <w:numPr>
          <w:ilvl w:val="0"/>
          <w:numId w:val="0"/>
        </w:numPr>
        <w:jc w:val="both"/>
        <w:rPr>
          <w:color w:val="000000"/>
        </w:rPr>
      </w:pPr>
    </w:p>
    <w:p w14:paraId="7EE54AD3" w14:textId="4A2AF533" w:rsidR="00AF6434" w:rsidRDefault="00AF6434" w:rsidP="00F41A5F">
      <w:pPr>
        <w:pStyle w:val="Heading1"/>
        <w:pBdr>
          <w:left w:val="single" w:sz="24" w:space="12" w:color="4F81BD"/>
          <w:right w:val="single" w:sz="24" w:space="13" w:color="4F81BD"/>
        </w:pBdr>
        <w:jc w:val="both"/>
        <w:rPr>
          <w:lang w:eastAsia="en-GB"/>
        </w:rPr>
      </w:pPr>
      <w:bookmarkStart w:id="108" w:name="_Toc108082483"/>
      <w:r w:rsidRPr="003B0E38">
        <w:rPr>
          <w:lang w:eastAsia="en-GB"/>
        </w:rPr>
        <w:lastRenderedPageBreak/>
        <w:t xml:space="preserve">Appendix 1: </w:t>
      </w:r>
      <w:bookmarkEnd w:id="104"/>
      <w:bookmarkEnd w:id="105"/>
      <w:r w:rsidRPr="00E45BBF">
        <w:rPr>
          <w:lang w:eastAsia="en-GB"/>
        </w:rPr>
        <w:t>Mod_</w:t>
      </w:r>
      <w:bookmarkEnd w:id="106"/>
      <w:bookmarkEnd w:id="107"/>
      <w:r w:rsidR="006A579A">
        <w:rPr>
          <w:lang w:eastAsia="en-GB"/>
        </w:rPr>
        <w:t>0</w:t>
      </w:r>
      <w:r w:rsidR="007531EE">
        <w:rPr>
          <w:lang w:eastAsia="en-GB"/>
        </w:rPr>
        <w:t>5</w:t>
      </w:r>
      <w:r w:rsidR="004E23BB">
        <w:rPr>
          <w:lang w:eastAsia="en-GB"/>
        </w:rPr>
        <w:t>_2</w:t>
      </w:r>
      <w:r w:rsidR="006A579A">
        <w:rPr>
          <w:lang w:eastAsia="en-GB"/>
        </w:rPr>
        <w:t>2</w:t>
      </w:r>
      <w:r w:rsidR="004E23BB">
        <w:rPr>
          <w:lang w:eastAsia="en-GB"/>
        </w:rPr>
        <w:t xml:space="preserve"> </w:t>
      </w:r>
      <w:r w:rsidR="007531EE">
        <w:rPr>
          <w:lang w:eastAsia="en-GB"/>
        </w:rPr>
        <w:t>SEMO Performance REporting Publication Frequency</w:t>
      </w:r>
      <w:bookmarkEnd w:id="108"/>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855"/>
        <w:gridCol w:w="1678"/>
        <w:gridCol w:w="1247"/>
        <w:gridCol w:w="1064"/>
        <w:gridCol w:w="2419"/>
      </w:tblGrid>
      <w:tr w:rsidR="007531EE" w:rsidRPr="004C53E7" w14:paraId="7C9EF535" w14:textId="77777777" w:rsidTr="007531EE">
        <w:tc>
          <w:tcPr>
            <w:tcW w:w="2377" w:type="dxa"/>
            <w:vAlign w:val="center"/>
          </w:tcPr>
          <w:p w14:paraId="06D7F674" w14:textId="77777777" w:rsidR="007531EE" w:rsidRPr="004C53E7" w:rsidRDefault="007531EE" w:rsidP="00E82089">
            <w:pPr>
              <w:jc w:val="center"/>
              <w:rPr>
                <w:rFonts w:cs="Arial"/>
                <w:b/>
                <w:bCs/>
                <w:sz w:val="18"/>
                <w:szCs w:val="18"/>
                <w:lang w:val="en-IE"/>
              </w:rPr>
            </w:pPr>
            <w:r w:rsidRPr="004C53E7">
              <w:rPr>
                <w:rFonts w:cs="Arial"/>
                <w:b/>
                <w:bCs/>
                <w:sz w:val="18"/>
                <w:szCs w:val="18"/>
                <w:lang w:val="en-IE"/>
              </w:rPr>
              <w:t>Proposer</w:t>
            </w:r>
          </w:p>
          <w:p w14:paraId="26166A07" w14:textId="77777777" w:rsidR="007531EE" w:rsidRPr="004C53E7" w:rsidRDefault="007531EE" w:rsidP="00E82089">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44EE56A0" w14:textId="77777777" w:rsidR="007531EE" w:rsidRPr="004C53E7" w:rsidRDefault="007531EE" w:rsidP="00E82089">
            <w:pPr>
              <w:jc w:val="center"/>
              <w:rPr>
                <w:rFonts w:ascii="Calibri" w:hAnsi="Calibri" w:cs="Arial"/>
                <w:b/>
                <w:bCs/>
                <w:lang w:val="en-IE"/>
              </w:rPr>
            </w:pPr>
            <w:r w:rsidRPr="004C53E7">
              <w:rPr>
                <w:rFonts w:ascii="Calibri" w:hAnsi="Calibri" w:cs="Arial"/>
                <w:b/>
                <w:bCs/>
                <w:lang w:val="en-IE"/>
              </w:rPr>
              <w:t>Date of receipt</w:t>
            </w:r>
          </w:p>
          <w:p w14:paraId="067E07ED" w14:textId="77777777" w:rsidR="007531EE" w:rsidRPr="004C53E7" w:rsidRDefault="007531EE" w:rsidP="00E82089">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2C02D3BC" w14:textId="77777777" w:rsidR="007531EE" w:rsidRPr="004C53E7" w:rsidRDefault="007531EE" w:rsidP="00E82089">
            <w:pPr>
              <w:jc w:val="center"/>
              <w:rPr>
                <w:rFonts w:ascii="Calibri" w:hAnsi="Calibri" w:cs="Arial"/>
                <w:b/>
                <w:bCs/>
                <w:lang w:val="en-IE"/>
              </w:rPr>
            </w:pPr>
            <w:r w:rsidRPr="004C53E7">
              <w:rPr>
                <w:rFonts w:ascii="Calibri" w:hAnsi="Calibri" w:cs="Arial"/>
                <w:b/>
                <w:bCs/>
                <w:lang w:val="en-IE"/>
              </w:rPr>
              <w:t>Type of Proposal</w:t>
            </w:r>
          </w:p>
          <w:p w14:paraId="03819576" w14:textId="77777777" w:rsidR="007531EE" w:rsidRPr="004C53E7" w:rsidRDefault="007531EE" w:rsidP="00E82089">
            <w:pPr>
              <w:jc w:val="center"/>
              <w:rPr>
                <w:rFonts w:ascii="Calibri" w:hAnsi="Calibri" w:cs="Arial"/>
                <w:lang w:val="en-IE"/>
              </w:rPr>
            </w:pPr>
            <w:r w:rsidRPr="004C53E7">
              <w:rPr>
                <w:rFonts w:ascii="Calibri" w:hAnsi="Calibri" w:cs="Arial"/>
                <w:bCs/>
                <w:i/>
                <w:lang w:val="en-IE"/>
              </w:rPr>
              <w:t>(delete as appropriate)</w:t>
            </w:r>
          </w:p>
        </w:tc>
        <w:tc>
          <w:tcPr>
            <w:tcW w:w="2419" w:type="dxa"/>
            <w:vAlign w:val="center"/>
          </w:tcPr>
          <w:p w14:paraId="1D4F9242" w14:textId="77777777" w:rsidR="007531EE" w:rsidRPr="004C53E7" w:rsidRDefault="007531EE" w:rsidP="00E82089">
            <w:pPr>
              <w:jc w:val="center"/>
              <w:rPr>
                <w:rFonts w:ascii="Calibri" w:hAnsi="Calibri" w:cs="Arial"/>
                <w:color w:val="000000"/>
                <w:lang w:val="en-IE"/>
              </w:rPr>
            </w:pPr>
            <w:r w:rsidRPr="004C53E7">
              <w:rPr>
                <w:rFonts w:ascii="Calibri" w:hAnsi="Calibri" w:cs="Arial"/>
                <w:b/>
                <w:bCs/>
                <w:color w:val="000000"/>
                <w:lang w:val="en-IE"/>
              </w:rPr>
              <w:t>Modification Proposal ID</w:t>
            </w:r>
          </w:p>
          <w:p w14:paraId="10AA9EE8" w14:textId="77777777" w:rsidR="007531EE" w:rsidRPr="004C53E7" w:rsidRDefault="007531EE" w:rsidP="00E82089">
            <w:pPr>
              <w:jc w:val="center"/>
              <w:rPr>
                <w:rFonts w:ascii="Calibri" w:hAnsi="Calibri" w:cs="Arial"/>
                <w:lang w:val="en-IE"/>
              </w:rPr>
            </w:pPr>
            <w:r w:rsidRPr="004C53E7">
              <w:rPr>
                <w:rFonts w:ascii="Calibri" w:hAnsi="Calibri" w:cs="Arial"/>
                <w:i/>
                <w:lang w:val="en-IE"/>
              </w:rPr>
              <w:t>(assigned by Secretariat)</w:t>
            </w:r>
          </w:p>
        </w:tc>
      </w:tr>
      <w:tr w:rsidR="007531EE" w:rsidRPr="004C53E7" w14:paraId="2198C387" w14:textId="77777777" w:rsidTr="007531EE">
        <w:tc>
          <w:tcPr>
            <w:tcW w:w="2377" w:type="dxa"/>
            <w:vAlign w:val="center"/>
          </w:tcPr>
          <w:p w14:paraId="7931E4AB" w14:textId="77777777" w:rsidR="007531EE" w:rsidRPr="004C53E7" w:rsidRDefault="007531EE" w:rsidP="00E82089">
            <w:pPr>
              <w:jc w:val="center"/>
              <w:rPr>
                <w:rFonts w:ascii="Calibri" w:hAnsi="Calibri" w:cs="Arial"/>
                <w:b/>
                <w:lang w:val="en-IE"/>
              </w:rPr>
            </w:pPr>
            <w:r>
              <w:rPr>
                <w:rFonts w:ascii="Calibri" w:hAnsi="Calibri" w:cs="Arial"/>
                <w:b/>
                <w:lang w:val="en-IE"/>
              </w:rPr>
              <w:t>UR/CRU</w:t>
            </w:r>
          </w:p>
        </w:tc>
        <w:tc>
          <w:tcPr>
            <w:tcW w:w="2533" w:type="dxa"/>
            <w:gridSpan w:val="2"/>
            <w:vAlign w:val="center"/>
          </w:tcPr>
          <w:p w14:paraId="0A1E5C0D" w14:textId="77777777" w:rsidR="007531EE" w:rsidRPr="004C53E7" w:rsidRDefault="007531EE" w:rsidP="00E82089">
            <w:pPr>
              <w:jc w:val="center"/>
              <w:rPr>
                <w:rFonts w:ascii="Calibri" w:hAnsi="Calibri" w:cs="Arial"/>
                <w:b/>
                <w:lang w:val="en-IE"/>
              </w:rPr>
            </w:pPr>
            <w:r>
              <w:rPr>
                <w:rFonts w:ascii="Calibri" w:hAnsi="Calibri" w:cs="Arial"/>
                <w:b/>
                <w:lang w:val="en-IE"/>
              </w:rPr>
              <w:t>31</w:t>
            </w:r>
            <w:r w:rsidRPr="00224E22">
              <w:rPr>
                <w:rFonts w:ascii="Calibri" w:hAnsi="Calibri" w:cs="Arial"/>
                <w:b/>
                <w:vertAlign w:val="superscript"/>
                <w:lang w:val="en-IE"/>
              </w:rPr>
              <w:t>st</w:t>
            </w:r>
            <w:r>
              <w:rPr>
                <w:rFonts w:ascii="Calibri" w:hAnsi="Calibri" w:cs="Arial"/>
                <w:b/>
                <w:lang w:val="en-IE"/>
              </w:rPr>
              <w:t xml:space="preserve"> May 2022</w:t>
            </w:r>
          </w:p>
        </w:tc>
        <w:tc>
          <w:tcPr>
            <w:tcW w:w="2311" w:type="dxa"/>
            <w:gridSpan w:val="2"/>
            <w:vAlign w:val="center"/>
          </w:tcPr>
          <w:p w14:paraId="49BE0FCD" w14:textId="77777777" w:rsidR="007531EE" w:rsidRDefault="007531EE" w:rsidP="00E82089">
            <w:pPr>
              <w:jc w:val="center"/>
              <w:rPr>
                <w:rFonts w:ascii="Calibri" w:hAnsi="Calibri" w:cs="Arial"/>
                <w:b/>
                <w:lang w:val="en-IE"/>
              </w:rPr>
            </w:pPr>
          </w:p>
          <w:p w14:paraId="1B710457" w14:textId="77777777" w:rsidR="007531EE" w:rsidRPr="004C53E7" w:rsidRDefault="007531EE" w:rsidP="00E82089">
            <w:pPr>
              <w:jc w:val="center"/>
              <w:rPr>
                <w:rFonts w:ascii="Calibri" w:hAnsi="Calibri" w:cs="Arial"/>
                <w:b/>
                <w:lang w:val="en-IE"/>
              </w:rPr>
            </w:pPr>
            <w:r w:rsidRPr="004C53E7">
              <w:rPr>
                <w:rFonts w:ascii="Calibri" w:hAnsi="Calibri" w:cs="Arial"/>
                <w:b/>
                <w:lang w:val="en-IE"/>
              </w:rPr>
              <w:t xml:space="preserve">Standard </w:t>
            </w:r>
          </w:p>
          <w:p w14:paraId="59C0416A" w14:textId="77777777" w:rsidR="007531EE" w:rsidRPr="004C53E7" w:rsidRDefault="007531EE" w:rsidP="00E82089">
            <w:pPr>
              <w:jc w:val="center"/>
              <w:rPr>
                <w:rFonts w:ascii="Calibri" w:hAnsi="Calibri" w:cs="Arial"/>
                <w:b/>
                <w:lang w:val="en-IE"/>
              </w:rPr>
            </w:pPr>
          </w:p>
        </w:tc>
        <w:tc>
          <w:tcPr>
            <w:tcW w:w="2419" w:type="dxa"/>
            <w:vAlign w:val="center"/>
          </w:tcPr>
          <w:p w14:paraId="3F9A681C" w14:textId="77777777" w:rsidR="007531EE" w:rsidRPr="004C53E7" w:rsidRDefault="007531EE" w:rsidP="00E82089">
            <w:pPr>
              <w:jc w:val="center"/>
              <w:rPr>
                <w:rFonts w:ascii="Calibri" w:hAnsi="Calibri" w:cs="Arial"/>
                <w:b/>
                <w:lang w:val="en-IE"/>
              </w:rPr>
            </w:pPr>
            <w:r>
              <w:rPr>
                <w:rFonts w:ascii="Calibri" w:hAnsi="Calibri" w:cs="Arial"/>
                <w:b/>
                <w:lang w:val="en-IE"/>
              </w:rPr>
              <w:t>Mod_05_22</w:t>
            </w:r>
          </w:p>
        </w:tc>
      </w:tr>
      <w:tr w:rsidR="007531EE" w:rsidRPr="004C53E7" w14:paraId="04133A4A" w14:textId="77777777" w:rsidTr="007531EE">
        <w:trPr>
          <w:trHeight w:val="467"/>
        </w:trPr>
        <w:tc>
          <w:tcPr>
            <w:tcW w:w="9640" w:type="dxa"/>
            <w:gridSpan w:val="6"/>
            <w:shd w:val="clear" w:color="auto" w:fill="C6D9F1"/>
            <w:vAlign w:val="center"/>
          </w:tcPr>
          <w:p w14:paraId="7C91E536" w14:textId="77777777" w:rsidR="007531EE" w:rsidRPr="004C53E7" w:rsidRDefault="007531EE" w:rsidP="00E82089">
            <w:pPr>
              <w:jc w:val="center"/>
              <w:rPr>
                <w:rFonts w:ascii="Calibri" w:hAnsi="Calibri" w:cs="Arial"/>
                <w:lang w:val="en-IE"/>
              </w:rPr>
            </w:pPr>
            <w:r w:rsidRPr="004C53E7">
              <w:rPr>
                <w:rFonts w:ascii="Calibri" w:hAnsi="Calibri" w:cs="Arial"/>
                <w:b/>
                <w:bCs/>
                <w:lang w:val="en-IE"/>
              </w:rPr>
              <w:t>Contact Details for Modification Proposal Originator</w:t>
            </w:r>
          </w:p>
        </w:tc>
      </w:tr>
      <w:tr w:rsidR="007531EE" w:rsidRPr="004C53E7" w14:paraId="67085AC2" w14:textId="77777777" w:rsidTr="007531EE">
        <w:tc>
          <w:tcPr>
            <w:tcW w:w="3232" w:type="dxa"/>
            <w:gridSpan w:val="2"/>
            <w:vAlign w:val="center"/>
          </w:tcPr>
          <w:p w14:paraId="70AFCB1F" w14:textId="77777777" w:rsidR="007531EE" w:rsidRPr="004C53E7" w:rsidRDefault="007531EE" w:rsidP="00E8208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231064D7" w14:textId="77777777" w:rsidR="007531EE" w:rsidRPr="004C53E7" w:rsidRDefault="007531EE" w:rsidP="00E82089">
            <w:pPr>
              <w:jc w:val="center"/>
              <w:rPr>
                <w:rFonts w:ascii="Calibri" w:hAnsi="Calibri" w:cs="Arial"/>
                <w:lang w:val="en-IE"/>
              </w:rPr>
            </w:pPr>
            <w:r w:rsidRPr="004C53E7">
              <w:rPr>
                <w:rFonts w:ascii="Calibri" w:hAnsi="Calibri" w:cs="Arial"/>
                <w:b/>
                <w:bCs/>
                <w:lang w:val="en-IE"/>
              </w:rPr>
              <w:t>Telephone number</w:t>
            </w:r>
          </w:p>
        </w:tc>
        <w:tc>
          <w:tcPr>
            <w:tcW w:w="3483" w:type="dxa"/>
            <w:gridSpan w:val="2"/>
            <w:vAlign w:val="center"/>
          </w:tcPr>
          <w:p w14:paraId="46F95A41" w14:textId="77777777" w:rsidR="007531EE" w:rsidRPr="004C53E7" w:rsidRDefault="007531EE" w:rsidP="00E82089">
            <w:pPr>
              <w:jc w:val="center"/>
              <w:rPr>
                <w:rFonts w:ascii="Calibri" w:hAnsi="Calibri" w:cs="Arial"/>
                <w:lang w:val="en-IE"/>
              </w:rPr>
            </w:pPr>
            <w:r w:rsidRPr="004C53E7">
              <w:rPr>
                <w:rFonts w:ascii="Calibri" w:hAnsi="Calibri" w:cs="Arial"/>
                <w:b/>
                <w:bCs/>
                <w:lang w:val="en-IE"/>
              </w:rPr>
              <w:t>Email address</w:t>
            </w:r>
          </w:p>
        </w:tc>
      </w:tr>
      <w:tr w:rsidR="007531EE" w:rsidRPr="004C53E7" w14:paraId="574848B6" w14:textId="77777777" w:rsidTr="007531EE">
        <w:tc>
          <w:tcPr>
            <w:tcW w:w="3232" w:type="dxa"/>
            <w:gridSpan w:val="2"/>
            <w:vAlign w:val="center"/>
          </w:tcPr>
          <w:p w14:paraId="468EBAF0" w14:textId="77777777" w:rsidR="007531EE" w:rsidRPr="004C53E7" w:rsidRDefault="007531EE" w:rsidP="00E82089">
            <w:pPr>
              <w:rPr>
                <w:rFonts w:ascii="Calibri" w:hAnsi="Calibri" w:cs="Arial"/>
                <w:b/>
                <w:lang w:val="en-IE"/>
              </w:rPr>
            </w:pPr>
            <w:r>
              <w:rPr>
                <w:rFonts w:ascii="Calibri" w:hAnsi="Calibri" w:cs="Arial"/>
                <w:b/>
                <w:lang w:val="en-IE"/>
              </w:rPr>
              <w:t>Karen Shiels</w:t>
            </w:r>
          </w:p>
        </w:tc>
        <w:tc>
          <w:tcPr>
            <w:tcW w:w="2925" w:type="dxa"/>
            <w:gridSpan w:val="2"/>
            <w:vAlign w:val="center"/>
          </w:tcPr>
          <w:p w14:paraId="6CA669B1" w14:textId="77777777" w:rsidR="007531EE" w:rsidRPr="004C53E7" w:rsidRDefault="007531EE" w:rsidP="00E82089">
            <w:pPr>
              <w:rPr>
                <w:rFonts w:ascii="Calibri" w:hAnsi="Calibri" w:cs="Arial"/>
                <w:b/>
                <w:lang w:val="en-IE"/>
              </w:rPr>
            </w:pPr>
          </w:p>
        </w:tc>
        <w:tc>
          <w:tcPr>
            <w:tcW w:w="3483" w:type="dxa"/>
            <w:gridSpan w:val="2"/>
            <w:vAlign w:val="center"/>
          </w:tcPr>
          <w:p w14:paraId="4731A9B4" w14:textId="77777777" w:rsidR="007531EE" w:rsidRPr="004C53E7" w:rsidRDefault="007531EE" w:rsidP="00E82089">
            <w:pPr>
              <w:rPr>
                <w:rFonts w:ascii="Calibri" w:hAnsi="Calibri" w:cs="Arial"/>
                <w:b/>
                <w:lang w:val="en-IE"/>
              </w:rPr>
            </w:pPr>
            <w:r>
              <w:rPr>
                <w:rFonts w:ascii="Calibri" w:hAnsi="Calibri" w:cs="Arial"/>
                <w:b/>
                <w:lang w:val="en-IE"/>
              </w:rPr>
              <w:t>karen.shiels@uregni.gov.uk</w:t>
            </w:r>
          </w:p>
        </w:tc>
      </w:tr>
      <w:tr w:rsidR="007531EE" w:rsidRPr="004C53E7" w14:paraId="0E944226" w14:textId="77777777" w:rsidTr="007531EE">
        <w:trPr>
          <w:trHeight w:val="327"/>
        </w:trPr>
        <w:tc>
          <w:tcPr>
            <w:tcW w:w="9640" w:type="dxa"/>
            <w:gridSpan w:val="6"/>
            <w:shd w:val="clear" w:color="auto" w:fill="C6D9F1"/>
            <w:vAlign w:val="center"/>
          </w:tcPr>
          <w:p w14:paraId="0B1A64A8" w14:textId="77777777" w:rsidR="007531EE" w:rsidRPr="004C53E7" w:rsidRDefault="007531EE" w:rsidP="00E82089">
            <w:pPr>
              <w:jc w:val="center"/>
              <w:rPr>
                <w:rFonts w:ascii="Calibri" w:hAnsi="Calibri" w:cs="Arial"/>
                <w:b/>
                <w:bCs/>
                <w:lang w:val="en-IE"/>
              </w:rPr>
            </w:pPr>
            <w:r w:rsidRPr="004C53E7">
              <w:rPr>
                <w:rFonts w:ascii="Calibri" w:hAnsi="Calibri" w:cs="Arial"/>
                <w:b/>
                <w:bCs/>
                <w:lang w:val="en-IE"/>
              </w:rPr>
              <w:t>Modification Proposal Title</w:t>
            </w:r>
          </w:p>
        </w:tc>
      </w:tr>
      <w:tr w:rsidR="007531EE" w:rsidRPr="004C53E7" w14:paraId="5003090B" w14:textId="77777777" w:rsidTr="007531EE">
        <w:trPr>
          <w:trHeight w:val="323"/>
        </w:trPr>
        <w:tc>
          <w:tcPr>
            <w:tcW w:w="9640" w:type="dxa"/>
            <w:gridSpan w:val="6"/>
            <w:vAlign w:val="center"/>
          </w:tcPr>
          <w:p w14:paraId="68BA595C" w14:textId="77777777" w:rsidR="007531EE" w:rsidRPr="004C53E7" w:rsidRDefault="007531EE" w:rsidP="00E82089">
            <w:pPr>
              <w:spacing w:line="480" w:lineRule="auto"/>
              <w:rPr>
                <w:rFonts w:ascii="Calibri" w:hAnsi="Calibri" w:cs="Arial"/>
                <w:b/>
                <w:bCs/>
                <w:color w:val="000000"/>
                <w:lang w:val="en-IE"/>
              </w:rPr>
            </w:pPr>
            <w:r>
              <w:rPr>
                <w:rFonts w:ascii="Calibri" w:hAnsi="Calibri" w:cs="Arial"/>
                <w:b/>
                <w:bCs/>
                <w:color w:val="000000"/>
                <w:lang w:val="en-IE"/>
              </w:rPr>
              <w:t>SEMO Performance Reporting Publication Frequency</w:t>
            </w:r>
          </w:p>
        </w:tc>
      </w:tr>
      <w:tr w:rsidR="007531EE" w:rsidRPr="004C53E7" w14:paraId="38718A13" w14:textId="77777777" w:rsidTr="007531EE">
        <w:tc>
          <w:tcPr>
            <w:tcW w:w="3232" w:type="dxa"/>
            <w:gridSpan w:val="2"/>
            <w:shd w:val="clear" w:color="auto" w:fill="C6D9F1"/>
            <w:vAlign w:val="center"/>
          </w:tcPr>
          <w:p w14:paraId="1F7ED70C" w14:textId="77777777" w:rsidR="007531EE" w:rsidRPr="004C53E7" w:rsidRDefault="007531EE" w:rsidP="00E82089">
            <w:pPr>
              <w:jc w:val="center"/>
              <w:rPr>
                <w:rFonts w:ascii="Calibri" w:hAnsi="Calibri" w:cs="Arial"/>
                <w:b/>
                <w:bCs/>
                <w:lang w:val="en-IE"/>
              </w:rPr>
            </w:pPr>
            <w:r w:rsidRPr="004C53E7">
              <w:rPr>
                <w:rFonts w:ascii="Calibri" w:hAnsi="Calibri" w:cs="Arial"/>
                <w:b/>
                <w:bCs/>
                <w:lang w:val="en-IE"/>
              </w:rPr>
              <w:t>Documents affected</w:t>
            </w:r>
          </w:p>
          <w:p w14:paraId="600C97FC" w14:textId="77777777" w:rsidR="007531EE" w:rsidRPr="004C53E7" w:rsidRDefault="007531EE" w:rsidP="00E82089">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5E2F9A54" w14:textId="77777777" w:rsidR="007531EE" w:rsidRPr="004C53E7" w:rsidRDefault="007531EE" w:rsidP="00E82089">
            <w:pPr>
              <w:jc w:val="center"/>
              <w:rPr>
                <w:rStyle w:val="IntenseEmphasis"/>
                <w:lang w:val="en-IE"/>
              </w:rPr>
            </w:pPr>
            <w:r w:rsidRPr="004C53E7">
              <w:rPr>
                <w:rFonts w:ascii="Calibri" w:hAnsi="Calibri" w:cs="Arial"/>
                <w:b/>
                <w:bCs/>
                <w:lang w:val="en-IE"/>
              </w:rPr>
              <w:t>Section(s) Affected</w:t>
            </w:r>
          </w:p>
        </w:tc>
        <w:tc>
          <w:tcPr>
            <w:tcW w:w="3483" w:type="dxa"/>
            <w:gridSpan w:val="2"/>
            <w:shd w:val="clear" w:color="auto" w:fill="C6D9F1"/>
            <w:vAlign w:val="center"/>
          </w:tcPr>
          <w:p w14:paraId="6340650D" w14:textId="77777777" w:rsidR="007531EE" w:rsidRPr="004C53E7" w:rsidRDefault="007531EE" w:rsidP="00E82089">
            <w:pPr>
              <w:jc w:val="center"/>
              <w:rPr>
                <w:rStyle w:val="IntenseEmphasis"/>
                <w:lang w:val="en-IE"/>
              </w:rPr>
            </w:pPr>
            <w:r w:rsidRPr="004C53E7">
              <w:rPr>
                <w:rFonts w:ascii="Calibri" w:hAnsi="Calibri" w:cs="Arial"/>
                <w:b/>
                <w:lang w:val="en-IE"/>
              </w:rPr>
              <w:t>Version number of T&amp;SC or A</w:t>
            </w:r>
            <w:r>
              <w:rPr>
                <w:rFonts w:ascii="Calibri" w:hAnsi="Calibri" w:cs="Arial"/>
                <w:b/>
                <w:lang w:val="en-IE"/>
              </w:rPr>
              <w:t>greed Procedure</w:t>
            </w:r>
            <w:r w:rsidRPr="004C53E7">
              <w:rPr>
                <w:rFonts w:ascii="Calibri" w:hAnsi="Calibri" w:cs="Arial"/>
                <w:b/>
                <w:lang w:val="en-IE"/>
              </w:rPr>
              <w:t xml:space="preserve"> used in Drafting</w:t>
            </w:r>
          </w:p>
        </w:tc>
      </w:tr>
      <w:tr w:rsidR="007531EE" w:rsidRPr="004C53E7" w14:paraId="2B4C64D8" w14:textId="77777777" w:rsidTr="007531EE">
        <w:tc>
          <w:tcPr>
            <w:tcW w:w="3232" w:type="dxa"/>
            <w:gridSpan w:val="2"/>
            <w:shd w:val="clear" w:color="auto" w:fill="FFFFFF"/>
            <w:vAlign w:val="center"/>
          </w:tcPr>
          <w:p w14:paraId="76CAD962" w14:textId="77777777" w:rsidR="007531EE" w:rsidRDefault="007531EE" w:rsidP="00E82089">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14:paraId="5F0286AD" w14:textId="77777777" w:rsidR="007531EE" w:rsidRPr="004C53E7" w:rsidDel="00476388" w:rsidRDefault="007531EE" w:rsidP="00E82089">
            <w:pPr>
              <w:jc w:val="center"/>
              <w:rPr>
                <w:rFonts w:ascii="Calibri" w:hAnsi="Calibri" w:cs="Arial"/>
                <w:b/>
                <w:lang w:val="en-IE"/>
              </w:rPr>
            </w:pPr>
            <w:r>
              <w:rPr>
                <w:rFonts w:ascii="Calibri" w:hAnsi="Calibri" w:cs="Arial"/>
                <w:b/>
                <w:lang w:val="en-IE"/>
              </w:rPr>
              <w:t>Appendix E: Data Publication</w:t>
            </w:r>
          </w:p>
        </w:tc>
        <w:tc>
          <w:tcPr>
            <w:tcW w:w="2925" w:type="dxa"/>
            <w:gridSpan w:val="2"/>
            <w:vAlign w:val="center"/>
          </w:tcPr>
          <w:p w14:paraId="7EF58145" w14:textId="77777777" w:rsidR="007531EE" w:rsidRDefault="007531EE" w:rsidP="00E82089">
            <w:pPr>
              <w:jc w:val="center"/>
              <w:rPr>
                <w:rFonts w:ascii="Calibri" w:hAnsi="Calibri" w:cs="Arial"/>
                <w:b/>
                <w:lang w:val="en-IE"/>
              </w:rPr>
            </w:pPr>
            <w:r>
              <w:rPr>
                <w:rFonts w:ascii="Calibri" w:hAnsi="Calibri" w:cs="Arial"/>
                <w:b/>
                <w:lang w:val="en-IE"/>
              </w:rPr>
              <w:t>B.16.2</w:t>
            </w:r>
          </w:p>
          <w:p w14:paraId="2B6D3FE2" w14:textId="77777777" w:rsidR="007531EE" w:rsidRPr="004C53E7" w:rsidRDefault="007531EE" w:rsidP="00E82089">
            <w:pPr>
              <w:jc w:val="center"/>
              <w:rPr>
                <w:rFonts w:ascii="Calibri" w:hAnsi="Calibri" w:cs="Arial"/>
                <w:b/>
                <w:lang w:val="en-IE"/>
              </w:rPr>
            </w:pPr>
            <w:r>
              <w:rPr>
                <w:rFonts w:ascii="Calibri" w:hAnsi="Calibri" w:cs="Arial"/>
                <w:b/>
                <w:lang w:val="en-IE"/>
              </w:rPr>
              <w:t>Appendix E</w:t>
            </w:r>
          </w:p>
        </w:tc>
        <w:tc>
          <w:tcPr>
            <w:tcW w:w="3483" w:type="dxa"/>
            <w:gridSpan w:val="2"/>
            <w:vAlign w:val="center"/>
          </w:tcPr>
          <w:p w14:paraId="193898D8" w14:textId="77777777" w:rsidR="007531EE" w:rsidRPr="004C53E7" w:rsidRDefault="007531EE" w:rsidP="00E82089">
            <w:pPr>
              <w:jc w:val="center"/>
              <w:rPr>
                <w:rFonts w:ascii="Calibri" w:hAnsi="Calibri" w:cs="Arial"/>
                <w:b/>
                <w:lang w:val="en-IE"/>
              </w:rPr>
            </w:pPr>
            <w:r>
              <w:rPr>
                <w:rFonts w:ascii="Calibri" w:hAnsi="Calibri" w:cs="Arial"/>
                <w:b/>
                <w:lang w:val="en-IE"/>
              </w:rPr>
              <w:t>V25 9 November 2021</w:t>
            </w:r>
          </w:p>
        </w:tc>
      </w:tr>
      <w:tr w:rsidR="007531EE" w:rsidRPr="004C53E7" w14:paraId="32EA361F" w14:textId="77777777" w:rsidTr="007531EE">
        <w:trPr>
          <w:trHeight w:val="375"/>
        </w:trPr>
        <w:tc>
          <w:tcPr>
            <w:tcW w:w="9640" w:type="dxa"/>
            <w:gridSpan w:val="6"/>
            <w:shd w:val="clear" w:color="auto" w:fill="C6D9F1"/>
            <w:vAlign w:val="center"/>
          </w:tcPr>
          <w:p w14:paraId="2CC58C29" w14:textId="77777777" w:rsidR="007531EE" w:rsidRPr="004C53E7" w:rsidRDefault="007531EE" w:rsidP="00E82089">
            <w:pPr>
              <w:jc w:val="center"/>
              <w:rPr>
                <w:rFonts w:ascii="Calibri" w:hAnsi="Calibri" w:cs="Arial"/>
                <w:b/>
                <w:bCs/>
                <w:lang w:val="en-IE"/>
              </w:rPr>
            </w:pPr>
            <w:r w:rsidRPr="004C53E7">
              <w:rPr>
                <w:rFonts w:ascii="Calibri" w:hAnsi="Calibri" w:cs="Arial"/>
                <w:b/>
                <w:bCs/>
                <w:lang w:val="en-IE"/>
              </w:rPr>
              <w:t>Explanation of Proposed Change</w:t>
            </w:r>
          </w:p>
          <w:p w14:paraId="319EC4A2" w14:textId="77777777" w:rsidR="007531EE" w:rsidRPr="004C53E7" w:rsidRDefault="007531EE" w:rsidP="00E82089">
            <w:pPr>
              <w:jc w:val="center"/>
              <w:rPr>
                <w:rFonts w:ascii="Calibri" w:hAnsi="Calibri" w:cs="Arial"/>
                <w:lang w:val="en-IE"/>
              </w:rPr>
            </w:pPr>
            <w:r w:rsidRPr="004C53E7">
              <w:rPr>
                <w:rFonts w:ascii="Calibri" w:hAnsi="Calibri"/>
                <w:i/>
                <w:spacing w:val="-3"/>
                <w:lang w:val="en-IE"/>
              </w:rPr>
              <w:t>(mandatory by originator)</w:t>
            </w:r>
          </w:p>
        </w:tc>
      </w:tr>
      <w:tr w:rsidR="007531EE" w:rsidRPr="004C53E7" w14:paraId="57A655AF" w14:textId="77777777" w:rsidTr="007531EE">
        <w:trPr>
          <w:trHeight w:val="467"/>
        </w:trPr>
        <w:tc>
          <w:tcPr>
            <w:tcW w:w="9640" w:type="dxa"/>
            <w:gridSpan w:val="6"/>
            <w:vAlign w:val="center"/>
          </w:tcPr>
          <w:p w14:paraId="5E2B10BC" w14:textId="77777777" w:rsidR="007531EE" w:rsidRDefault="007531EE" w:rsidP="00E82089">
            <w:pPr>
              <w:rPr>
                <w:rFonts w:ascii="Calibri" w:hAnsi="Calibri" w:cs="Arial"/>
                <w:lang w:val="en-IE"/>
              </w:rPr>
            </w:pPr>
            <w:r>
              <w:rPr>
                <w:rFonts w:ascii="Calibri" w:hAnsi="Calibri" w:cs="Arial"/>
                <w:lang w:val="en-IE"/>
              </w:rPr>
              <w:t>This Modification proposes to change the frequency of preparation and publication of the SEMO Performance Reports from monthly to quarterly.</w:t>
            </w:r>
          </w:p>
          <w:p w14:paraId="352DF575" w14:textId="77777777" w:rsidR="007531EE" w:rsidRDefault="007531EE" w:rsidP="00E82089">
            <w:pPr>
              <w:rPr>
                <w:rFonts w:ascii="Calibri" w:hAnsi="Calibri" w:cs="Arial"/>
                <w:lang w:val="en-IE"/>
              </w:rPr>
            </w:pPr>
          </w:p>
          <w:p w14:paraId="3F2E5854" w14:textId="77777777" w:rsidR="007531EE" w:rsidRDefault="007531EE" w:rsidP="00E82089">
            <w:pPr>
              <w:rPr>
                <w:rFonts w:ascii="Calibri" w:hAnsi="Calibri" w:cs="Arial"/>
                <w:lang w:val="en-IE"/>
              </w:rPr>
            </w:pPr>
            <w:r>
              <w:rPr>
                <w:rFonts w:ascii="Calibri" w:hAnsi="Calibri" w:cs="Arial"/>
                <w:lang w:val="en-IE"/>
              </w:rPr>
              <w:t xml:space="preserve">The RAs have in recent months considered the possibility of streamlining some of SEMO’s reports and have earmarked the SEMO monthly performance report as a report which could potentially be prepared and published less frequently while still providing important and relevant information. </w:t>
            </w:r>
          </w:p>
          <w:p w14:paraId="6FFF6BA6" w14:textId="77777777" w:rsidR="007531EE" w:rsidRDefault="007531EE" w:rsidP="00E82089">
            <w:pPr>
              <w:rPr>
                <w:rFonts w:ascii="Calibri" w:hAnsi="Calibri" w:cs="Arial"/>
                <w:lang w:val="en-IE"/>
              </w:rPr>
            </w:pPr>
          </w:p>
          <w:p w14:paraId="34D1B70B" w14:textId="77777777" w:rsidR="007531EE" w:rsidRDefault="007531EE" w:rsidP="00E82089">
            <w:pPr>
              <w:rPr>
                <w:rFonts w:ascii="Calibri" w:hAnsi="Calibri" w:cs="Arial"/>
                <w:lang w:val="en-IE"/>
              </w:rPr>
            </w:pPr>
            <w:r>
              <w:rPr>
                <w:rFonts w:ascii="Calibri" w:hAnsi="Calibri" w:cs="Arial"/>
                <w:lang w:val="en-IE"/>
              </w:rPr>
              <w:t>The RAs are of the view that it is important that the information contained in this performance report would continue to be broken down by month so as the current transparency is maintained. This proposal also allows time for information which at times hasn’t been available in monthly reports to be provided in the quarterly report.</w:t>
            </w:r>
          </w:p>
          <w:p w14:paraId="6C67DEA9" w14:textId="77777777" w:rsidR="007531EE" w:rsidRDefault="007531EE" w:rsidP="00E82089">
            <w:pPr>
              <w:rPr>
                <w:rFonts w:ascii="Calibri" w:hAnsi="Calibri" w:cs="Arial"/>
                <w:lang w:val="en-IE"/>
              </w:rPr>
            </w:pPr>
          </w:p>
          <w:p w14:paraId="67D5E60A" w14:textId="77777777" w:rsidR="007531EE" w:rsidRDefault="007531EE" w:rsidP="00E82089">
            <w:pPr>
              <w:rPr>
                <w:rFonts w:ascii="Calibri" w:hAnsi="Calibri" w:cs="Arial"/>
                <w:lang w:val="en-IE"/>
              </w:rPr>
            </w:pPr>
            <w:r>
              <w:rPr>
                <w:rFonts w:ascii="Calibri" w:hAnsi="Calibri" w:cs="Arial"/>
                <w:lang w:val="en-IE"/>
              </w:rPr>
              <w:t xml:space="preserve">In advance of the RAs raising this Modification we requested SEMO raise this possible change with market participants and so SEMO raised it at the January 2022 MOUG and asked for any feedback. We understand no feedback was received.    </w:t>
            </w:r>
          </w:p>
          <w:p w14:paraId="13E6F629" w14:textId="77777777" w:rsidR="007531EE" w:rsidRDefault="007531EE" w:rsidP="00E82089">
            <w:pPr>
              <w:rPr>
                <w:rFonts w:ascii="Calibri" w:hAnsi="Calibri" w:cs="Arial"/>
                <w:lang w:val="en-IE"/>
              </w:rPr>
            </w:pPr>
          </w:p>
          <w:p w14:paraId="1E7E4549" w14:textId="77777777" w:rsidR="007531EE" w:rsidRDefault="007531EE" w:rsidP="00E82089">
            <w:pPr>
              <w:rPr>
                <w:rFonts w:ascii="Calibri" w:hAnsi="Calibri" w:cs="Arial"/>
                <w:lang w:val="en-IE"/>
              </w:rPr>
            </w:pPr>
            <w:r>
              <w:rPr>
                <w:rFonts w:ascii="Calibri" w:hAnsi="Calibri" w:cs="Arial"/>
                <w:lang w:val="en-IE"/>
              </w:rPr>
              <w:lastRenderedPageBreak/>
              <w:t>Following feedback from market participants as part of the SEMO Price Control process a SEMO Focus Group was set up to aid transparency and accountability of SEMO’s performance and development.  This group first met on 22 March 2022 and the proposal to move from monthly to quarterly for the SEMO Performance Report was again raised.  Limited feedback was received in general to the reporting section and the RAs indicated that if there were no additional comments from participants it would be taken as general support for the reporting proposals.</w:t>
            </w:r>
          </w:p>
          <w:p w14:paraId="6D34B272" w14:textId="77777777" w:rsidR="007531EE" w:rsidRDefault="007531EE" w:rsidP="00E82089">
            <w:pPr>
              <w:rPr>
                <w:rFonts w:ascii="Calibri" w:hAnsi="Calibri" w:cs="Arial"/>
                <w:lang w:val="en-IE"/>
              </w:rPr>
            </w:pPr>
            <w:r>
              <w:rPr>
                <w:rFonts w:ascii="Calibri" w:hAnsi="Calibri" w:cs="Arial"/>
                <w:lang w:val="en-IE"/>
              </w:rPr>
              <w:t xml:space="preserve"> </w:t>
            </w:r>
          </w:p>
          <w:p w14:paraId="19AEB0B5" w14:textId="77777777" w:rsidR="007531EE" w:rsidRDefault="007531EE" w:rsidP="00E82089">
            <w:pPr>
              <w:rPr>
                <w:rFonts w:ascii="Calibri" w:hAnsi="Calibri" w:cs="Arial"/>
                <w:lang w:val="en-IE"/>
              </w:rPr>
            </w:pPr>
            <w:r>
              <w:rPr>
                <w:rFonts w:ascii="Calibri" w:hAnsi="Calibri" w:cs="Arial"/>
                <w:lang w:val="en-IE"/>
              </w:rPr>
              <w:t>SEMO have published separate monthly performance reports up to and including March 2022.  No report has been published for April 2022.  If this Modification is approved it is expected that the first quarterly performance report would relate to April, May and June 2022 with a view to being published July/early August 2022.</w:t>
            </w:r>
          </w:p>
          <w:p w14:paraId="5DBDDBCE" w14:textId="77777777" w:rsidR="007531EE" w:rsidRPr="004C53E7" w:rsidRDefault="007531EE" w:rsidP="00E82089">
            <w:pPr>
              <w:rPr>
                <w:rFonts w:ascii="Calibri" w:hAnsi="Calibri" w:cs="Arial"/>
                <w:lang w:val="en-IE"/>
              </w:rPr>
            </w:pPr>
          </w:p>
        </w:tc>
      </w:tr>
      <w:tr w:rsidR="007531EE" w:rsidRPr="004C53E7" w:rsidDel="00404964" w14:paraId="0CC15FE6" w14:textId="77777777" w:rsidTr="007531EE">
        <w:tc>
          <w:tcPr>
            <w:tcW w:w="9640" w:type="dxa"/>
            <w:gridSpan w:val="6"/>
            <w:shd w:val="clear" w:color="auto" w:fill="C6D9F1"/>
            <w:vAlign w:val="center"/>
          </w:tcPr>
          <w:p w14:paraId="23321156" w14:textId="77777777" w:rsidR="007531EE" w:rsidRPr="004C53E7" w:rsidRDefault="007531EE" w:rsidP="00E82089">
            <w:pPr>
              <w:jc w:val="center"/>
              <w:rPr>
                <w:rFonts w:ascii="Calibri" w:hAnsi="Calibri" w:cs="Arial"/>
                <w:iCs/>
                <w:lang w:val="en-IE"/>
              </w:rPr>
            </w:pPr>
            <w:r w:rsidRPr="004C53E7">
              <w:rPr>
                <w:rFonts w:ascii="Calibri" w:hAnsi="Calibri" w:cs="Arial"/>
                <w:b/>
                <w:bCs/>
                <w:iCs/>
                <w:lang w:val="en-IE"/>
              </w:rPr>
              <w:lastRenderedPageBreak/>
              <w:t>Legal Drafting Change</w:t>
            </w:r>
          </w:p>
          <w:p w14:paraId="52CFE642" w14:textId="77777777" w:rsidR="007531EE" w:rsidRPr="004C53E7" w:rsidDel="00404964" w:rsidRDefault="007531EE" w:rsidP="00E8208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7531EE" w:rsidRPr="004C53E7" w:rsidDel="00404964" w14:paraId="7901AE0F" w14:textId="77777777" w:rsidTr="007531EE">
        <w:tc>
          <w:tcPr>
            <w:tcW w:w="9640" w:type="dxa"/>
            <w:gridSpan w:val="6"/>
            <w:vAlign w:val="center"/>
          </w:tcPr>
          <w:p w14:paraId="7188BFF0" w14:textId="29799CD5" w:rsidR="007531EE" w:rsidRPr="009D2D9E" w:rsidRDefault="007531EE" w:rsidP="00E82089">
            <w:pPr>
              <w:pStyle w:val="CERLEVEL3"/>
              <w:ind w:left="992" w:hanging="992"/>
              <w:rPr>
                <w:lang w:val="en-IE"/>
              </w:rPr>
            </w:pPr>
            <w:bookmarkStart w:id="109" w:name="_Toc418844042"/>
            <w:bookmarkStart w:id="110" w:name="_Toc228073527"/>
            <w:bookmarkStart w:id="111" w:name="_Toc159867008"/>
            <w:bookmarkStart w:id="112" w:name="_Toc89944177"/>
            <w:bookmarkStart w:id="113" w:name="_Toc108082484"/>
            <w:r w:rsidRPr="00127783">
              <w:rPr>
                <w:b w:val="0"/>
                <w:lang w:val="en-IE"/>
              </w:rPr>
              <w:lastRenderedPageBreak/>
              <w:t>B.16.2</w:t>
            </w:r>
            <w:r>
              <w:rPr>
                <w:lang w:val="en-IE"/>
              </w:rPr>
              <w:t xml:space="preserve">     </w:t>
            </w:r>
            <w:r w:rsidRPr="009D2D9E">
              <w:rPr>
                <w:lang w:val="en-IE"/>
              </w:rPr>
              <w:t>Information Sharing</w:t>
            </w:r>
            <w:bookmarkEnd w:id="109"/>
            <w:bookmarkEnd w:id="110"/>
            <w:bookmarkEnd w:id="111"/>
            <w:bookmarkEnd w:id="112"/>
            <w:bookmarkEnd w:id="113"/>
          </w:p>
          <w:p w14:paraId="26383BAC" w14:textId="77777777" w:rsidR="007531EE" w:rsidRPr="009D2D9E" w:rsidRDefault="007531EE" w:rsidP="00E82089">
            <w:pPr>
              <w:pStyle w:val="CERLEVEL4"/>
              <w:ind w:left="720" w:hanging="720"/>
            </w:pPr>
            <w:proofErr w:type="gramStart"/>
            <w:r>
              <w:t xml:space="preserve">B.16.2.1  </w:t>
            </w:r>
            <w:r w:rsidRPr="009D2D9E">
              <w:t>The</w:t>
            </w:r>
            <w:proofErr w:type="gramEnd"/>
            <w:r w:rsidRPr="009D2D9E">
              <w:t xml:space="preserve"> Market Operator shall report to the Regulatory Authorities in writing on a </w:t>
            </w:r>
            <w:r w:rsidRPr="00127783">
              <w:rPr>
                <w:strike/>
                <w:color w:val="FF0000"/>
              </w:rPr>
              <w:t>monthly</w:t>
            </w:r>
            <w:r>
              <w:t xml:space="preserve"> </w:t>
            </w:r>
            <w:r w:rsidRPr="00127783">
              <w:rPr>
                <w:color w:val="FF0000"/>
              </w:rPr>
              <w:t>quarterly</w:t>
            </w:r>
            <w:r>
              <w:t xml:space="preserve"> basis</w:t>
            </w:r>
            <w:r>
              <w:rPr>
                <w:color w:val="FF0000"/>
              </w:rPr>
              <w:t xml:space="preserve"> </w:t>
            </w:r>
            <w:r w:rsidRPr="009D2D9E">
              <w:t xml:space="preserve">or at such other intervals as the Regulatory Authorities may </w:t>
            </w:r>
            <w:r w:rsidRPr="009D2D9E">
              <w:rPr>
                <w:rFonts w:cs="Arial"/>
              </w:rPr>
              <w:t>reasonably request and in such manner and to such an extent as reasonably specified by the Regulatory Authorities. The Market Operator shall publish such reports. The reports shall set out in reasonable detail information about:</w:t>
            </w:r>
            <w:r w:rsidRPr="009D2D9E">
              <w:t xml:space="preserve"> </w:t>
            </w:r>
          </w:p>
          <w:p w14:paraId="5655F519" w14:textId="77777777" w:rsidR="007531EE" w:rsidRPr="009D2D9E" w:rsidRDefault="007531EE" w:rsidP="007531EE">
            <w:pPr>
              <w:pStyle w:val="CERLEVEL5"/>
              <w:numPr>
                <w:ilvl w:val="4"/>
                <w:numId w:val="24"/>
              </w:numPr>
              <w:rPr>
                <w:lang w:val="en-IE"/>
              </w:rPr>
            </w:pPr>
            <w:r w:rsidRPr="009D2D9E">
              <w:rPr>
                <w:lang w:val="en-IE"/>
              </w:rPr>
              <w:t>the performance by the Market Operator of its rights, powers, functions and obligations under the Code; and</w:t>
            </w:r>
          </w:p>
          <w:p w14:paraId="3AA8A217" w14:textId="77777777" w:rsidR="007531EE" w:rsidRDefault="007531EE" w:rsidP="007531EE">
            <w:pPr>
              <w:pStyle w:val="CERLEVEL5"/>
              <w:numPr>
                <w:ilvl w:val="4"/>
                <w:numId w:val="24"/>
              </w:numPr>
              <w:rPr>
                <w:lang w:val="en-IE"/>
              </w:rPr>
            </w:pPr>
            <w:proofErr w:type="gramStart"/>
            <w:r w:rsidRPr="009D2D9E">
              <w:rPr>
                <w:lang w:val="en-IE"/>
              </w:rPr>
              <w:t>factual information</w:t>
            </w:r>
            <w:proofErr w:type="gramEnd"/>
            <w:r w:rsidRPr="009D2D9E">
              <w:rPr>
                <w:lang w:val="en-IE"/>
              </w:rPr>
              <w:t xml:space="preserve"> relating to the exercise of rights and the carrying out of functions by Parties under the Code. </w:t>
            </w:r>
          </w:p>
          <w:p w14:paraId="725F164F" w14:textId="77777777" w:rsidR="007531EE" w:rsidRDefault="007531EE" w:rsidP="00E82089">
            <w:pPr>
              <w:pStyle w:val="CERLEVEL5"/>
              <w:rPr>
                <w:lang w:val="en-IE"/>
              </w:rPr>
            </w:pPr>
          </w:p>
          <w:p w14:paraId="44E7B941" w14:textId="77777777" w:rsidR="007531EE" w:rsidRDefault="007531EE" w:rsidP="00E82089">
            <w:pPr>
              <w:pStyle w:val="CERLEVEL5"/>
              <w:rPr>
                <w:b/>
                <w:lang w:val="en-IE"/>
              </w:rPr>
            </w:pPr>
            <w:r w:rsidRPr="003F6120">
              <w:rPr>
                <w:b/>
                <w:lang w:val="en-IE"/>
              </w:rPr>
              <w:t>Appendix E Data Publication</w:t>
            </w:r>
          </w:p>
          <w:p w14:paraId="08BAC377" w14:textId="77777777" w:rsidR="007531EE" w:rsidRPr="00862C5D" w:rsidRDefault="007531EE" w:rsidP="00E82089">
            <w:pPr>
              <w:pStyle w:val="CERBODY"/>
              <w:rPr>
                <w:b/>
                <w:lang w:val="en-IE"/>
              </w:rPr>
            </w:pPr>
            <w:r w:rsidRPr="00862C5D">
              <w:rPr>
                <w:b/>
                <w:lang w:val="en-IE"/>
              </w:rPr>
              <w:t xml:space="preserve">Table </w:t>
            </w:r>
            <w:r w:rsidRPr="00862C5D">
              <w:rPr>
                <w:b/>
                <w:lang w:val="en-IE"/>
              </w:rPr>
              <w:fldChar w:fldCharType="begin"/>
            </w:r>
            <w:r w:rsidRPr="00862C5D">
              <w:rPr>
                <w:b/>
                <w:lang w:val="en-IE"/>
              </w:rPr>
              <w:instrText xml:space="preserve"> SEQ Table \* ARABIC </w:instrText>
            </w:r>
            <w:r w:rsidRPr="00862C5D">
              <w:rPr>
                <w:b/>
                <w:lang w:val="en-IE"/>
              </w:rPr>
              <w:fldChar w:fldCharType="separate"/>
            </w:r>
            <w:r>
              <w:rPr>
                <w:b/>
                <w:noProof/>
                <w:lang w:val="en-IE"/>
              </w:rPr>
              <w:t>1</w:t>
            </w:r>
            <w:r w:rsidRPr="00862C5D">
              <w:rPr>
                <w:b/>
                <w:noProof/>
                <w:lang w:val="en-IE"/>
              </w:rPr>
              <w:fldChar w:fldCharType="end"/>
            </w:r>
            <w:r w:rsidRPr="00862C5D">
              <w:rPr>
                <w:b/>
                <w:lang w:val="en-IE"/>
              </w:rPr>
              <w:t xml:space="preserve"> – Data publication list part 3: updated Monthly</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3240"/>
              <w:gridCol w:w="900"/>
              <w:gridCol w:w="1040"/>
            </w:tblGrid>
            <w:tr w:rsidR="007531EE" w:rsidRPr="00862C5D" w14:paraId="099F7984" w14:textId="77777777" w:rsidTr="00E82089">
              <w:trPr>
                <w:tblHeader/>
              </w:trPr>
              <w:tc>
                <w:tcPr>
                  <w:tcW w:w="2531" w:type="dxa"/>
                  <w:tcBorders>
                    <w:top w:val="single" w:sz="4" w:space="0" w:color="auto"/>
                    <w:bottom w:val="single" w:sz="4" w:space="0" w:color="auto"/>
                  </w:tcBorders>
                </w:tcPr>
                <w:p w14:paraId="7FE95F54" w14:textId="77777777" w:rsidR="007531EE" w:rsidRPr="00862C5D" w:rsidRDefault="007531EE" w:rsidP="00E82089">
                  <w:pPr>
                    <w:pStyle w:val="CERBODY"/>
                    <w:rPr>
                      <w:b/>
                      <w:sz w:val="16"/>
                      <w:szCs w:val="16"/>
                      <w:lang w:val="en-IE"/>
                    </w:rPr>
                  </w:pPr>
                  <w:r w:rsidRPr="00862C5D">
                    <w:rPr>
                      <w:b/>
                      <w:sz w:val="16"/>
                      <w:szCs w:val="16"/>
                      <w:lang w:val="en-IE"/>
                    </w:rPr>
                    <w:t>Time</w:t>
                  </w:r>
                </w:p>
              </w:tc>
              <w:tc>
                <w:tcPr>
                  <w:tcW w:w="3240" w:type="dxa"/>
                  <w:tcBorders>
                    <w:top w:val="single" w:sz="4" w:space="0" w:color="auto"/>
                    <w:bottom w:val="single" w:sz="4" w:space="0" w:color="auto"/>
                  </w:tcBorders>
                </w:tcPr>
                <w:p w14:paraId="36FB1513" w14:textId="77777777" w:rsidR="007531EE" w:rsidRPr="00862C5D" w:rsidRDefault="007531EE" w:rsidP="00E82089">
                  <w:pPr>
                    <w:pStyle w:val="CERBODY"/>
                    <w:rPr>
                      <w:b/>
                      <w:sz w:val="16"/>
                      <w:szCs w:val="16"/>
                      <w:lang w:val="en-IE"/>
                    </w:rPr>
                  </w:pPr>
                  <w:r w:rsidRPr="00862C5D">
                    <w:rPr>
                      <w:b/>
                      <w:sz w:val="16"/>
                      <w:szCs w:val="16"/>
                      <w:lang w:val="en-IE"/>
                    </w:rPr>
                    <w:t>Item / Data Record</w:t>
                  </w:r>
                </w:p>
              </w:tc>
              <w:tc>
                <w:tcPr>
                  <w:tcW w:w="900" w:type="dxa"/>
                  <w:tcBorders>
                    <w:top w:val="single" w:sz="4" w:space="0" w:color="auto"/>
                    <w:bottom w:val="single" w:sz="4" w:space="0" w:color="auto"/>
                  </w:tcBorders>
                </w:tcPr>
                <w:p w14:paraId="5964419C" w14:textId="77777777" w:rsidR="007531EE" w:rsidRPr="00862C5D" w:rsidRDefault="007531EE" w:rsidP="00E82089">
                  <w:pPr>
                    <w:pStyle w:val="CERBODY"/>
                    <w:rPr>
                      <w:b/>
                      <w:sz w:val="16"/>
                      <w:szCs w:val="16"/>
                      <w:lang w:val="en-IE"/>
                    </w:rPr>
                  </w:pPr>
                  <w:r w:rsidRPr="00862C5D">
                    <w:rPr>
                      <w:b/>
                      <w:sz w:val="16"/>
                      <w:szCs w:val="16"/>
                      <w:lang w:val="en-IE"/>
                    </w:rPr>
                    <w:t>Term</w:t>
                  </w:r>
                </w:p>
              </w:tc>
              <w:tc>
                <w:tcPr>
                  <w:tcW w:w="1040" w:type="dxa"/>
                  <w:tcBorders>
                    <w:top w:val="single" w:sz="4" w:space="0" w:color="auto"/>
                    <w:bottom w:val="single" w:sz="4" w:space="0" w:color="auto"/>
                  </w:tcBorders>
                </w:tcPr>
                <w:p w14:paraId="7635D0FD" w14:textId="77777777" w:rsidR="007531EE" w:rsidRPr="00862C5D" w:rsidRDefault="007531EE" w:rsidP="00E82089">
                  <w:pPr>
                    <w:pStyle w:val="CERBODY"/>
                    <w:rPr>
                      <w:b/>
                      <w:sz w:val="16"/>
                      <w:szCs w:val="16"/>
                      <w:lang w:val="en-IE"/>
                    </w:rPr>
                  </w:pPr>
                  <w:r w:rsidRPr="00862C5D">
                    <w:rPr>
                      <w:b/>
                      <w:sz w:val="16"/>
                      <w:szCs w:val="16"/>
                      <w:lang w:val="en-IE"/>
                    </w:rPr>
                    <w:t>Subscript</w:t>
                  </w:r>
                </w:p>
              </w:tc>
            </w:tr>
            <w:tr w:rsidR="007531EE" w:rsidRPr="00862C5D" w14:paraId="03D20DF9" w14:textId="77777777" w:rsidTr="00E82089">
              <w:tc>
                <w:tcPr>
                  <w:tcW w:w="2531" w:type="dxa"/>
                  <w:tcBorders>
                    <w:top w:val="single" w:sz="4" w:space="0" w:color="auto"/>
                  </w:tcBorders>
                </w:tcPr>
                <w:p w14:paraId="46057D51" w14:textId="77777777" w:rsidR="007531EE" w:rsidRPr="00862C5D" w:rsidRDefault="007531EE" w:rsidP="00E82089">
                  <w:pPr>
                    <w:pStyle w:val="CERBODY"/>
                    <w:rPr>
                      <w:b/>
                      <w:sz w:val="16"/>
                      <w:szCs w:val="16"/>
                      <w:lang w:val="en-IE"/>
                    </w:rPr>
                  </w:pPr>
                  <w:r w:rsidRPr="00862C5D">
                    <w:rPr>
                      <w:b/>
                      <w:sz w:val="16"/>
                      <w:szCs w:val="16"/>
                      <w:lang w:val="en-IE"/>
                    </w:rPr>
                    <w:t>Monthly</w:t>
                  </w:r>
                </w:p>
              </w:tc>
              <w:tc>
                <w:tcPr>
                  <w:tcW w:w="3240" w:type="dxa"/>
                  <w:tcBorders>
                    <w:top w:val="single" w:sz="4" w:space="0" w:color="auto"/>
                  </w:tcBorders>
                </w:tcPr>
                <w:p w14:paraId="5BA56763" w14:textId="77777777" w:rsidR="007531EE" w:rsidRPr="00862C5D" w:rsidRDefault="007531EE" w:rsidP="00E82089">
                  <w:pPr>
                    <w:pStyle w:val="CERBODY"/>
                    <w:rPr>
                      <w:sz w:val="16"/>
                      <w:szCs w:val="16"/>
                      <w:lang w:val="en-IE"/>
                    </w:rPr>
                  </w:pPr>
                </w:p>
              </w:tc>
              <w:tc>
                <w:tcPr>
                  <w:tcW w:w="900" w:type="dxa"/>
                  <w:tcBorders>
                    <w:top w:val="single" w:sz="4" w:space="0" w:color="auto"/>
                  </w:tcBorders>
                </w:tcPr>
                <w:p w14:paraId="737C2E6F" w14:textId="77777777" w:rsidR="007531EE" w:rsidRPr="00862C5D" w:rsidRDefault="007531EE" w:rsidP="00E82089">
                  <w:pPr>
                    <w:pStyle w:val="CERBODY"/>
                    <w:rPr>
                      <w:sz w:val="16"/>
                      <w:szCs w:val="16"/>
                      <w:lang w:val="en-IE"/>
                    </w:rPr>
                  </w:pPr>
                </w:p>
              </w:tc>
              <w:tc>
                <w:tcPr>
                  <w:tcW w:w="1040" w:type="dxa"/>
                  <w:tcBorders>
                    <w:top w:val="single" w:sz="4" w:space="0" w:color="auto"/>
                  </w:tcBorders>
                </w:tcPr>
                <w:p w14:paraId="7E0E409F" w14:textId="77777777" w:rsidR="007531EE" w:rsidRPr="00862C5D" w:rsidRDefault="007531EE" w:rsidP="00E82089">
                  <w:pPr>
                    <w:pStyle w:val="CERBODY"/>
                    <w:rPr>
                      <w:sz w:val="16"/>
                      <w:szCs w:val="16"/>
                      <w:lang w:val="en-IE"/>
                    </w:rPr>
                  </w:pPr>
                </w:p>
              </w:tc>
            </w:tr>
            <w:tr w:rsidR="007531EE" w:rsidRPr="00862C5D" w14:paraId="5D0FC386" w14:textId="77777777" w:rsidTr="00E82089">
              <w:tc>
                <w:tcPr>
                  <w:tcW w:w="2531" w:type="dxa"/>
                </w:tcPr>
                <w:p w14:paraId="2C6EC6D3" w14:textId="77777777" w:rsidR="007531EE" w:rsidRPr="003F6120" w:rsidRDefault="007531EE" w:rsidP="00E82089">
                  <w:pPr>
                    <w:pStyle w:val="CERBODY"/>
                    <w:rPr>
                      <w:strike/>
                      <w:color w:val="FF0000"/>
                      <w:sz w:val="16"/>
                      <w:szCs w:val="16"/>
                      <w:lang w:val="en-IE"/>
                    </w:rPr>
                  </w:pPr>
                  <w:r w:rsidRPr="003F6120">
                    <w:rPr>
                      <w:strike/>
                      <w:color w:val="FF0000"/>
                      <w:sz w:val="16"/>
                      <w:szCs w:val="16"/>
                      <w:lang w:val="en-IE"/>
                    </w:rPr>
                    <w:t>Within five Working Days of its creation</w:t>
                  </w:r>
                </w:p>
              </w:tc>
              <w:tc>
                <w:tcPr>
                  <w:tcW w:w="3240" w:type="dxa"/>
                </w:tcPr>
                <w:p w14:paraId="30CE5D6D" w14:textId="77777777" w:rsidR="007531EE" w:rsidRPr="003F6120" w:rsidRDefault="007531EE" w:rsidP="00E82089">
                  <w:pPr>
                    <w:pStyle w:val="CERBODY"/>
                    <w:rPr>
                      <w:strike/>
                      <w:color w:val="FF0000"/>
                      <w:sz w:val="16"/>
                      <w:szCs w:val="16"/>
                      <w:lang w:val="en-IE"/>
                    </w:rPr>
                  </w:pPr>
                  <w:r w:rsidRPr="003F6120">
                    <w:rPr>
                      <w:strike/>
                      <w:color w:val="FF0000"/>
                      <w:sz w:val="16"/>
                      <w:szCs w:val="16"/>
                      <w:lang w:val="en-IE"/>
                    </w:rPr>
                    <w:t xml:space="preserve">Market Operator Performance Report </w:t>
                  </w:r>
                </w:p>
              </w:tc>
              <w:tc>
                <w:tcPr>
                  <w:tcW w:w="900" w:type="dxa"/>
                </w:tcPr>
                <w:p w14:paraId="77E2F117" w14:textId="77777777" w:rsidR="007531EE" w:rsidRPr="00862C5D" w:rsidRDefault="007531EE" w:rsidP="00E82089">
                  <w:pPr>
                    <w:pStyle w:val="CERBODY"/>
                    <w:rPr>
                      <w:sz w:val="16"/>
                      <w:szCs w:val="16"/>
                      <w:lang w:val="en-IE"/>
                    </w:rPr>
                  </w:pPr>
                </w:p>
              </w:tc>
              <w:tc>
                <w:tcPr>
                  <w:tcW w:w="1040" w:type="dxa"/>
                </w:tcPr>
                <w:p w14:paraId="5847FF08" w14:textId="77777777" w:rsidR="007531EE" w:rsidRPr="00862C5D" w:rsidRDefault="007531EE" w:rsidP="00E82089">
                  <w:pPr>
                    <w:pStyle w:val="CERBODY"/>
                    <w:rPr>
                      <w:sz w:val="16"/>
                      <w:szCs w:val="16"/>
                      <w:lang w:val="en-IE"/>
                    </w:rPr>
                  </w:pPr>
                </w:p>
              </w:tc>
            </w:tr>
            <w:tr w:rsidR="007531EE" w:rsidRPr="00862C5D" w14:paraId="2638EC22" w14:textId="77777777" w:rsidTr="00E82089">
              <w:tc>
                <w:tcPr>
                  <w:tcW w:w="2531" w:type="dxa"/>
                </w:tcPr>
                <w:p w14:paraId="40CCE1EB" w14:textId="77777777" w:rsidR="007531EE" w:rsidRPr="00862C5D" w:rsidRDefault="007531EE" w:rsidP="00E82089">
                  <w:pPr>
                    <w:pStyle w:val="CERBODY"/>
                    <w:rPr>
                      <w:sz w:val="16"/>
                      <w:szCs w:val="16"/>
                      <w:lang w:val="en-IE"/>
                    </w:rPr>
                  </w:pPr>
                  <w:r w:rsidRPr="00862C5D">
                    <w:rPr>
                      <w:sz w:val="16"/>
                      <w:szCs w:val="16"/>
                      <w:lang w:val="en-IE"/>
                    </w:rPr>
                    <w:t>At least one Working Day before start of Month</w:t>
                  </w:r>
                </w:p>
              </w:tc>
              <w:tc>
                <w:tcPr>
                  <w:tcW w:w="3240" w:type="dxa"/>
                </w:tcPr>
                <w:p w14:paraId="0F03BFFA" w14:textId="77777777" w:rsidR="007531EE" w:rsidRPr="00862C5D" w:rsidRDefault="007531EE" w:rsidP="00E82089">
                  <w:pPr>
                    <w:pStyle w:val="CERBODY"/>
                    <w:rPr>
                      <w:sz w:val="16"/>
                      <w:szCs w:val="16"/>
                      <w:lang w:val="en-IE"/>
                    </w:rPr>
                  </w:pPr>
                  <w:r w:rsidRPr="00862C5D">
                    <w:rPr>
                      <w:sz w:val="16"/>
                      <w:szCs w:val="16"/>
                      <w:lang w:val="en-IE"/>
                    </w:rPr>
                    <w:t>Monthly Maintenance Schedule – Generator Unit outages</w:t>
                  </w:r>
                </w:p>
              </w:tc>
              <w:tc>
                <w:tcPr>
                  <w:tcW w:w="900" w:type="dxa"/>
                </w:tcPr>
                <w:p w14:paraId="1DE897DD" w14:textId="77777777" w:rsidR="007531EE" w:rsidRPr="00862C5D" w:rsidRDefault="007531EE" w:rsidP="00E82089">
                  <w:pPr>
                    <w:pStyle w:val="CERBODY"/>
                    <w:rPr>
                      <w:sz w:val="16"/>
                      <w:szCs w:val="16"/>
                      <w:lang w:val="en-IE"/>
                    </w:rPr>
                  </w:pPr>
                  <w:r w:rsidRPr="00862C5D">
                    <w:rPr>
                      <w:sz w:val="16"/>
                      <w:szCs w:val="16"/>
                      <w:lang w:val="en-IE"/>
                    </w:rPr>
                    <w:t>--</w:t>
                  </w:r>
                </w:p>
              </w:tc>
              <w:tc>
                <w:tcPr>
                  <w:tcW w:w="1040" w:type="dxa"/>
                </w:tcPr>
                <w:p w14:paraId="7F16BC0B" w14:textId="77777777" w:rsidR="007531EE" w:rsidRPr="00862C5D" w:rsidRDefault="007531EE" w:rsidP="00E82089">
                  <w:pPr>
                    <w:pStyle w:val="CERBODY"/>
                    <w:rPr>
                      <w:sz w:val="16"/>
                      <w:szCs w:val="16"/>
                      <w:lang w:val="en-IE"/>
                    </w:rPr>
                  </w:pPr>
                  <w:r w:rsidRPr="00862C5D">
                    <w:rPr>
                      <w:sz w:val="16"/>
                      <w:szCs w:val="16"/>
                      <w:lang w:val="en-IE"/>
                    </w:rPr>
                    <w:t>--</w:t>
                  </w:r>
                </w:p>
              </w:tc>
            </w:tr>
            <w:tr w:rsidR="007531EE" w:rsidRPr="00862C5D" w14:paraId="250EF952" w14:textId="77777777" w:rsidTr="00E82089">
              <w:tc>
                <w:tcPr>
                  <w:tcW w:w="2531" w:type="dxa"/>
                </w:tcPr>
                <w:p w14:paraId="70C78AD2" w14:textId="77777777" w:rsidR="007531EE" w:rsidRPr="00862C5D" w:rsidDel="00E918BB" w:rsidRDefault="007531EE" w:rsidP="00E82089">
                  <w:pPr>
                    <w:pStyle w:val="CERBODY"/>
                    <w:rPr>
                      <w:sz w:val="16"/>
                      <w:szCs w:val="16"/>
                      <w:lang w:val="en-IE"/>
                    </w:rPr>
                  </w:pPr>
                  <w:r w:rsidRPr="00862C5D">
                    <w:rPr>
                      <w:sz w:val="16"/>
                      <w:szCs w:val="16"/>
                      <w:lang w:val="en-IE"/>
                    </w:rPr>
                    <w:t>At least one Working Day before start of Month</w:t>
                  </w:r>
                </w:p>
              </w:tc>
              <w:tc>
                <w:tcPr>
                  <w:tcW w:w="3240" w:type="dxa"/>
                </w:tcPr>
                <w:p w14:paraId="32259C84" w14:textId="77777777" w:rsidR="007531EE" w:rsidRPr="00862C5D" w:rsidDel="00E918BB" w:rsidRDefault="007531EE" w:rsidP="00E82089">
                  <w:pPr>
                    <w:pStyle w:val="CERBODY"/>
                    <w:rPr>
                      <w:sz w:val="16"/>
                      <w:szCs w:val="16"/>
                      <w:lang w:val="en-IE"/>
                    </w:rPr>
                  </w:pPr>
                  <w:r w:rsidRPr="00862C5D">
                    <w:rPr>
                      <w:sz w:val="16"/>
                      <w:szCs w:val="16"/>
                      <w:lang w:val="en-IE"/>
                    </w:rPr>
                    <w:t xml:space="preserve">Monthly Maintenance Schedule – Transmission System line outages </w:t>
                  </w:r>
                </w:p>
              </w:tc>
              <w:tc>
                <w:tcPr>
                  <w:tcW w:w="900" w:type="dxa"/>
                </w:tcPr>
                <w:p w14:paraId="67F2421A" w14:textId="77777777" w:rsidR="007531EE" w:rsidRPr="00862C5D" w:rsidRDefault="007531EE" w:rsidP="00E82089">
                  <w:pPr>
                    <w:pStyle w:val="CERBODY"/>
                    <w:rPr>
                      <w:sz w:val="16"/>
                      <w:szCs w:val="16"/>
                      <w:lang w:val="en-IE"/>
                    </w:rPr>
                  </w:pPr>
                </w:p>
              </w:tc>
              <w:tc>
                <w:tcPr>
                  <w:tcW w:w="1040" w:type="dxa"/>
                </w:tcPr>
                <w:p w14:paraId="53DECA98" w14:textId="77777777" w:rsidR="007531EE" w:rsidRPr="00862C5D" w:rsidRDefault="007531EE" w:rsidP="00E82089">
                  <w:pPr>
                    <w:pStyle w:val="CERBODY"/>
                    <w:rPr>
                      <w:sz w:val="16"/>
                      <w:szCs w:val="16"/>
                      <w:lang w:val="en-IE"/>
                    </w:rPr>
                  </w:pPr>
                </w:p>
              </w:tc>
            </w:tr>
            <w:tr w:rsidR="007531EE" w:rsidRPr="00862C5D" w14:paraId="51C4D40E" w14:textId="77777777" w:rsidTr="00E82089">
              <w:tc>
                <w:tcPr>
                  <w:tcW w:w="2531" w:type="dxa"/>
                </w:tcPr>
                <w:p w14:paraId="4A7F78EF" w14:textId="77777777" w:rsidR="007531EE" w:rsidRPr="00862C5D" w:rsidRDefault="007531EE" w:rsidP="00E82089">
                  <w:pPr>
                    <w:pStyle w:val="CERBODY"/>
                    <w:rPr>
                      <w:sz w:val="16"/>
                      <w:szCs w:val="16"/>
                      <w:lang w:val="en-IE"/>
                    </w:rPr>
                  </w:pPr>
                </w:p>
              </w:tc>
              <w:tc>
                <w:tcPr>
                  <w:tcW w:w="3240" w:type="dxa"/>
                </w:tcPr>
                <w:p w14:paraId="174F40DE" w14:textId="77777777" w:rsidR="007531EE" w:rsidRPr="00862C5D" w:rsidRDefault="007531EE" w:rsidP="00E82089">
                  <w:pPr>
                    <w:pStyle w:val="CERBODY"/>
                    <w:rPr>
                      <w:sz w:val="16"/>
                      <w:szCs w:val="16"/>
                      <w:lang w:val="en-IE"/>
                    </w:rPr>
                  </w:pPr>
                </w:p>
              </w:tc>
              <w:tc>
                <w:tcPr>
                  <w:tcW w:w="900" w:type="dxa"/>
                </w:tcPr>
                <w:p w14:paraId="56784888" w14:textId="77777777" w:rsidR="007531EE" w:rsidRPr="00862C5D" w:rsidRDefault="007531EE" w:rsidP="00E82089">
                  <w:pPr>
                    <w:pStyle w:val="CERBODY"/>
                    <w:rPr>
                      <w:sz w:val="16"/>
                      <w:szCs w:val="16"/>
                      <w:lang w:val="en-IE"/>
                    </w:rPr>
                  </w:pPr>
                </w:p>
              </w:tc>
              <w:tc>
                <w:tcPr>
                  <w:tcW w:w="1040" w:type="dxa"/>
                </w:tcPr>
                <w:p w14:paraId="5F8378F9" w14:textId="77777777" w:rsidR="007531EE" w:rsidRPr="00862C5D" w:rsidRDefault="007531EE" w:rsidP="00E82089">
                  <w:pPr>
                    <w:pStyle w:val="CERBODY"/>
                    <w:rPr>
                      <w:sz w:val="16"/>
                      <w:szCs w:val="16"/>
                      <w:lang w:val="en-IE"/>
                    </w:rPr>
                  </w:pPr>
                </w:p>
              </w:tc>
            </w:tr>
            <w:tr w:rsidR="007531EE" w:rsidRPr="00862C5D" w14:paraId="71879630" w14:textId="77777777" w:rsidTr="00E82089">
              <w:tc>
                <w:tcPr>
                  <w:tcW w:w="2531" w:type="dxa"/>
                </w:tcPr>
                <w:p w14:paraId="0707F0A3" w14:textId="77777777" w:rsidR="007531EE" w:rsidRPr="00862C5D" w:rsidRDefault="007531EE" w:rsidP="00E82089">
                  <w:pPr>
                    <w:pStyle w:val="CERBODY"/>
                    <w:rPr>
                      <w:sz w:val="16"/>
                      <w:szCs w:val="16"/>
                      <w:lang w:val="en-IE"/>
                    </w:rPr>
                  </w:pPr>
                  <w:r w:rsidRPr="00862C5D">
                    <w:rPr>
                      <w:sz w:val="16"/>
                      <w:szCs w:val="16"/>
                      <w:lang w:val="en-IE"/>
                    </w:rPr>
                    <w:t>At least once every Month</w:t>
                  </w:r>
                </w:p>
              </w:tc>
              <w:tc>
                <w:tcPr>
                  <w:tcW w:w="3240" w:type="dxa"/>
                </w:tcPr>
                <w:p w14:paraId="56A73EA2" w14:textId="77777777" w:rsidR="007531EE" w:rsidRPr="00862C5D" w:rsidRDefault="007531EE" w:rsidP="00E82089">
                  <w:pPr>
                    <w:pStyle w:val="CERBODY"/>
                    <w:rPr>
                      <w:sz w:val="16"/>
                      <w:szCs w:val="16"/>
                      <w:lang w:val="en-IE"/>
                    </w:rPr>
                  </w:pPr>
                  <w:r w:rsidRPr="00862C5D">
                    <w:rPr>
                      <w:sz w:val="16"/>
                      <w:szCs w:val="16"/>
                      <w:lang w:val="en-IE"/>
                    </w:rPr>
                    <w:t>Registered Capacity</w:t>
                  </w:r>
                </w:p>
              </w:tc>
              <w:tc>
                <w:tcPr>
                  <w:tcW w:w="900" w:type="dxa"/>
                </w:tcPr>
                <w:p w14:paraId="691AA723" w14:textId="77777777" w:rsidR="007531EE" w:rsidRPr="00862C5D" w:rsidRDefault="007531EE" w:rsidP="00E82089">
                  <w:pPr>
                    <w:pStyle w:val="CERBODY"/>
                    <w:rPr>
                      <w:sz w:val="16"/>
                      <w:szCs w:val="16"/>
                      <w:lang w:val="en-IE"/>
                    </w:rPr>
                  </w:pPr>
                  <w:r w:rsidRPr="00862C5D">
                    <w:rPr>
                      <w:sz w:val="16"/>
                      <w:szCs w:val="16"/>
                      <w:lang w:val="en-IE"/>
                    </w:rPr>
                    <w:t>RC</w:t>
                  </w:r>
                </w:p>
              </w:tc>
              <w:tc>
                <w:tcPr>
                  <w:tcW w:w="1040" w:type="dxa"/>
                </w:tcPr>
                <w:p w14:paraId="3E8AE532" w14:textId="77777777" w:rsidR="007531EE" w:rsidRPr="00862C5D" w:rsidRDefault="007531EE" w:rsidP="00E82089">
                  <w:pPr>
                    <w:pStyle w:val="CERBODY"/>
                    <w:rPr>
                      <w:sz w:val="16"/>
                      <w:szCs w:val="16"/>
                      <w:lang w:val="en-IE"/>
                    </w:rPr>
                  </w:pPr>
                  <w:r w:rsidRPr="00862C5D">
                    <w:rPr>
                      <w:sz w:val="16"/>
                      <w:szCs w:val="16"/>
                      <w:lang w:val="en-IE"/>
                    </w:rPr>
                    <w:t>u</w:t>
                  </w:r>
                </w:p>
              </w:tc>
            </w:tr>
          </w:tbl>
          <w:p w14:paraId="7999A645" w14:textId="77777777" w:rsidR="007531EE" w:rsidRDefault="007531EE" w:rsidP="00E82089">
            <w:pPr>
              <w:pStyle w:val="CERLEVEL5"/>
              <w:rPr>
                <w:b/>
                <w:lang w:val="en-IE"/>
              </w:rPr>
            </w:pPr>
          </w:p>
          <w:p w14:paraId="168CA892" w14:textId="77777777" w:rsidR="007531EE" w:rsidRPr="00FF7667" w:rsidRDefault="007531EE" w:rsidP="00E82089">
            <w:pPr>
              <w:pStyle w:val="CERLEVEL5"/>
              <w:rPr>
                <w:b/>
                <w:color w:val="FF0000"/>
                <w:lang w:val="en-IE"/>
              </w:rPr>
            </w:pPr>
            <w:r>
              <w:rPr>
                <w:b/>
                <w:color w:val="FF0000"/>
                <w:lang w:val="en-IE"/>
              </w:rPr>
              <w:t>Table 3A – Data publication list part 3A</w:t>
            </w:r>
            <w:r w:rsidRPr="00FF7667">
              <w:rPr>
                <w:b/>
                <w:color w:val="FF0000"/>
                <w:lang w:val="en-IE"/>
              </w:rPr>
              <w:t>: updated Quarterly</w:t>
            </w:r>
          </w:p>
          <w:tbl>
            <w:tblPr>
              <w:tblW w:w="7679"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21"/>
              <w:gridCol w:w="3227"/>
              <w:gridCol w:w="896"/>
              <w:gridCol w:w="1035"/>
            </w:tblGrid>
            <w:tr w:rsidR="007531EE" w:rsidRPr="00FF7667" w14:paraId="590CD901" w14:textId="77777777" w:rsidTr="00E82089">
              <w:trPr>
                <w:trHeight w:val="390"/>
                <w:tblHeader/>
              </w:trPr>
              <w:tc>
                <w:tcPr>
                  <w:tcW w:w="2521" w:type="dxa"/>
                  <w:tcBorders>
                    <w:top w:val="single" w:sz="4" w:space="0" w:color="auto"/>
                    <w:bottom w:val="single" w:sz="4" w:space="0" w:color="auto"/>
                  </w:tcBorders>
                </w:tcPr>
                <w:p w14:paraId="2D2B9420" w14:textId="77777777" w:rsidR="007531EE" w:rsidRPr="00FF7667" w:rsidRDefault="007531EE" w:rsidP="00E82089">
                  <w:pPr>
                    <w:pStyle w:val="CERBODY"/>
                    <w:rPr>
                      <w:b/>
                      <w:color w:val="FF0000"/>
                      <w:sz w:val="16"/>
                      <w:szCs w:val="16"/>
                      <w:lang w:val="en-IE"/>
                    </w:rPr>
                  </w:pPr>
                  <w:r w:rsidRPr="00FF7667">
                    <w:rPr>
                      <w:b/>
                      <w:color w:val="FF0000"/>
                      <w:sz w:val="16"/>
                      <w:szCs w:val="16"/>
                      <w:lang w:val="en-IE"/>
                    </w:rPr>
                    <w:t>Time</w:t>
                  </w:r>
                </w:p>
              </w:tc>
              <w:tc>
                <w:tcPr>
                  <w:tcW w:w="3227" w:type="dxa"/>
                  <w:tcBorders>
                    <w:top w:val="single" w:sz="4" w:space="0" w:color="auto"/>
                    <w:bottom w:val="single" w:sz="4" w:space="0" w:color="auto"/>
                  </w:tcBorders>
                </w:tcPr>
                <w:p w14:paraId="7BDE541B" w14:textId="77777777" w:rsidR="007531EE" w:rsidRPr="00FF7667" w:rsidRDefault="007531EE" w:rsidP="00E82089">
                  <w:pPr>
                    <w:pStyle w:val="CERBODY"/>
                    <w:rPr>
                      <w:b/>
                      <w:color w:val="FF0000"/>
                      <w:sz w:val="16"/>
                      <w:szCs w:val="16"/>
                      <w:lang w:val="en-IE"/>
                    </w:rPr>
                  </w:pPr>
                  <w:r w:rsidRPr="00FF7667">
                    <w:rPr>
                      <w:b/>
                      <w:color w:val="FF0000"/>
                      <w:sz w:val="16"/>
                      <w:szCs w:val="16"/>
                      <w:lang w:val="en-IE"/>
                    </w:rPr>
                    <w:t>Item / Data Record</w:t>
                  </w:r>
                </w:p>
              </w:tc>
              <w:tc>
                <w:tcPr>
                  <w:tcW w:w="896" w:type="dxa"/>
                  <w:tcBorders>
                    <w:top w:val="single" w:sz="4" w:space="0" w:color="auto"/>
                    <w:bottom w:val="single" w:sz="4" w:space="0" w:color="auto"/>
                  </w:tcBorders>
                </w:tcPr>
                <w:p w14:paraId="1B4D90C3" w14:textId="77777777" w:rsidR="007531EE" w:rsidRPr="00FF7667" w:rsidRDefault="007531EE" w:rsidP="00E82089">
                  <w:pPr>
                    <w:pStyle w:val="CERBODY"/>
                    <w:rPr>
                      <w:b/>
                      <w:color w:val="FF0000"/>
                      <w:sz w:val="16"/>
                      <w:szCs w:val="16"/>
                      <w:lang w:val="en-IE"/>
                    </w:rPr>
                  </w:pPr>
                  <w:r w:rsidRPr="00FF7667">
                    <w:rPr>
                      <w:b/>
                      <w:color w:val="FF0000"/>
                      <w:sz w:val="16"/>
                      <w:szCs w:val="16"/>
                      <w:lang w:val="en-IE"/>
                    </w:rPr>
                    <w:t>Term</w:t>
                  </w:r>
                </w:p>
              </w:tc>
              <w:tc>
                <w:tcPr>
                  <w:tcW w:w="1035" w:type="dxa"/>
                  <w:tcBorders>
                    <w:top w:val="single" w:sz="4" w:space="0" w:color="auto"/>
                    <w:bottom w:val="single" w:sz="4" w:space="0" w:color="auto"/>
                  </w:tcBorders>
                </w:tcPr>
                <w:p w14:paraId="09B7538C" w14:textId="77777777" w:rsidR="007531EE" w:rsidRPr="00FF7667" w:rsidRDefault="007531EE" w:rsidP="00E82089">
                  <w:pPr>
                    <w:pStyle w:val="CERBODY"/>
                    <w:rPr>
                      <w:b/>
                      <w:color w:val="FF0000"/>
                      <w:sz w:val="16"/>
                      <w:szCs w:val="16"/>
                      <w:lang w:val="en-IE"/>
                    </w:rPr>
                  </w:pPr>
                  <w:r w:rsidRPr="00FF7667">
                    <w:rPr>
                      <w:b/>
                      <w:color w:val="FF0000"/>
                      <w:sz w:val="16"/>
                      <w:szCs w:val="16"/>
                      <w:lang w:val="en-IE"/>
                    </w:rPr>
                    <w:t>Subscript</w:t>
                  </w:r>
                </w:p>
              </w:tc>
            </w:tr>
            <w:tr w:rsidR="007531EE" w:rsidRPr="00FF7667" w14:paraId="6CEF6C09" w14:textId="77777777" w:rsidTr="00E82089">
              <w:trPr>
                <w:trHeight w:val="390"/>
              </w:trPr>
              <w:tc>
                <w:tcPr>
                  <w:tcW w:w="2521" w:type="dxa"/>
                  <w:tcBorders>
                    <w:top w:val="single" w:sz="4" w:space="0" w:color="auto"/>
                  </w:tcBorders>
                </w:tcPr>
                <w:p w14:paraId="5CEDEF93" w14:textId="77777777" w:rsidR="007531EE" w:rsidRPr="00FF7667" w:rsidRDefault="007531EE" w:rsidP="00E82089">
                  <w:pPr>
                    <w:pStyle w:val="CERBODY"/>
                    <w:rPr>
                      <w:b/>
                      <w:color w:val="FF0000"/>
                      <w:sz w:val="16"/>
                      <w:szCs w:val="16"/>
                      <w:lang w:val="en-IE"/>
                    </w:rPr>
                  </w:pPr>
                  <w:r w:rsidRPr="00FF7667">
                    <w:rPr>
                      <w:b/>
                      <w:color w:val="FF0000"/>
                      <w:sz w:val="16"/>
                      <w:szCs w:val="16"/>
                      <w:lang w:val="en-IE"/>
                    </w:rPr>
                    <w:t>Quarterly</w:t>
                  </w:r>
                </w:p>
              </w:tc>
              <w:tc>
                <w:tcPr>
                  <w:tcW w:w="3227" w:type="dxa"/>
                  <w:tcBorders>
                    <w:top w:val="single" w:sz="4" w:space="0" w:color="auto"/>
                  </w:tcBorders>
                </w:tcPr>
                <w:p w14:paraId="2F0CD00B" w14:textId="77777777" w:rsidR="007531EE" w:rsidRPr="00FF7667" w:rsidRDefault="007531EE" w:rsidP="00E82089">
                  <w:pPr>
                    <w:pStyle w:val="CERBODY"/>
                    <w:rPr>
                      <w:color w:val="FF0000"/>
                      <w:sz w:val="16"/>
                      <w:szCs w:val="16"/>
                      <w:lang w:val="en-IE"/>
                    </w:rPr>
                  </w:pPr>
                </w:p>
              </w:tc>
              <w:tc>
                <w:tcPr>
                  <w:tcW w:w="896" w:type="dxa"/>
                  <w:tcBorders>
                    <w:top w:val="single" w:sz="4" w:space="0" w:color="auto"/>
                  </w:tcBorders>
                </w:tcPr>
                <w:p w14:paraId="1995F038" w14:textId="77777777" w:rsidR="007531EE" w:rsidRPr="00FF7667" w:rsidRDefault="007531EE" w:rsidP="00E82089">
                  <w:pPr>
                    <w:pStyle w:val="CERBODY"/>
                    <w:rPr>
                      <w:color w:val="FF0000"/>
                      <w:sz w:val="16"/>
                      <w:szCs w:val="16"/>
                      <w:lang w:val="en-IE"/>
                    </w:rPr>
                  </w:pPr>
                </w:p>
              </w:tc>
              <w:tc>
                <w:tcPr>
                  <w:tcW w:w="1035" w:type="dxa"/>
                  <w:tcBorders>
                    <w:top w:val="single" w:sz="4" w:space="0" w:color="auto"/>
                  </w:tcBorders>
                </w:tcPr>
                <w:p w14:paraId="282D4CFE" w14:textId="77777777" w:rsidR="007531EE" w:rsidRPr="00FF7667" w:rsidRDefault="007531EE" w:rsidP="00E82089">
                  <w:pPr>
                    <w:pStyle w:val="CERBODY"/>
                    <w:rPr>
                      <w:color w:val="FF0000"/>
                      <w:sz w:val="16"/>
                      <w:szCs w:val="16"/>
                      <w:lang w:val="en-IE"/>
                    </w:rPr>
                  </w:pPr>
                </w:p>
              </w:tc>
            </w:tr>
            <w:tr w:rsidR="007531EE" w:rsidRPr="00FF7667" w14:paraId="3DE9D690" w14:textId="77777777" w:rsidTr="00E82089">
              <w:trPr>
                <w:trHeight w:val="557"/>
              </w:trPr>
              <w:tc>
                <w:tcPr>
                  <w:tcW w:w="2521" w:type="dxa"/>
                </w:tcPr>
                <w:p w14:paraId="38108537" w14:textId="77777777" w:rsidR="007531EE" w:rsidRPr="00FF7667" w:rsidRDefault="007531EE" w:rsidP="00E82089">
                  <w:pPr>
                    <w:pStyle w:val="CERBODY"/>
                    <w:rPr>
                      <w:color w:val="FF0000"/>
                      <w:sz w:val="16"/>
                      <w:szCs w:val="16"/>
                      <w:lang w:val="en-IE"/>
                    </w:rPr>
                  </w:pPr>
                  <w:r w:rsidRPr="00FF7667">
                    <w:rPr>
                      <w:color w:val="FF0000"/>
                      <w:sz w:val="16"/>
                      <w:szCs w:val="16"/>
                      <w:lang w:val="en-IE"/>
                    </w:rPr>
                    <w:t>Within one month from the end of each quarter ending March, June, September and December each year.</w:t>
                  </w:r>
                </w:p>
              </w:tc>
              <w:tc>
                <w:tcPr>
                  <w:tcW w:w="3227" w:type="dxa"/>
                </w:tcPr>
                <w:p w14:paraId="6CD350D7" w14:textId="77777777" w:rsidR="007531EE" w:rsidRPr="00FF7667" w:rsidRDefault="007531EE" w:rsidP="00E82089">
                  <w:pPr>
                    <w:pStyle w:val="CERBODY"/>
                    <w:rPr>
                      <w:color w:val="FF0000"/>
                      <w:sz w:val="16"/>
                      <w:szCs w:val="16"/>
                      <w:lang w:val="en-IE"/>
                    </w:rPr>
                  </w:pPr>
                  <w:r w:rsidRPr="00FF7667">
                    <w:rPr>
                      <w:color w:val="FF0000"/>
                      <w:sz w:val="16"/>
                      <w:szCs w:val="16"/>
                      <w:lang w:val="en-IE"/>
                    </w:rPr>
                    <w:t xml:space="preserve">Market Operator Performance Report </w:t>
                  </w:r>
                </w:p>
              </w:tc>
              <w:tc>
                <w:tcPr>
                  <w:tcW w:w="896" w:type="dxa"/>
                </w:tcPr>
                <w:p w14:paraId="01D13B59" w14:textId="77777777" w:rsidR="007531EE" w:rsidRPr="00FF7667" w:rsidRDefault="007531EE" w:rsidP="00E82089">
                  <w:pPr>
                    <w:pStyle w:val="CERBODY"/>
                    <w:rPr>
                      <w:color w:val="FF0000"/>
                      <w:sz w:val="16"/>
                      <w:szCs w:val="16"/>
                      <w:lang w:val="en-IE"/>
                    </w:rPr>
                  </w:pPr>
                </w:p>
              </w:tc>
              <w:tc>
                <w:tcPr>
                  <w:tcW w:w="1035" w:type="dxa"/>
                </w:tcPr>
                <w:p w14:paraId="52DE86E5" w14:textId="77777777" w:rsidR="007531EE" w:rsidRPr="00FF7667" w:rsidRDefault="007531EE" w:rsidP="00E82089">
                  <w:pPr>
                    <w:pStyle w:val="CERBODY"/>
                    <w:rPr>
                      <w:color w:val="FF0000"/>
                      <w:sz w:val="16"/>
                      <w:szCs w:val="16"/>
                      <w:lang w:val="en-IE"/>
                    </w:rPr>
                  </w:pPr>
                </w:p>
              </w:tc>
            </w:tr>
          </w:tbl>
          <w:p w14:paraId="4ED914D9" w14:textId="77777777" w:rsidR="007531EE" w:rsidRPr="004C53E7" w:rsidDel="00404964" w:rsidRDefault="007531EE" w:rsidP="00E82089">
            <w:pPr>
              <w:spacing w:line="480" w:lineRule="auto"/>
              <w:rPr>
                <w:rFonts w:ascii="Calibri" w:hAnsi="Calibri" w:cs="Arial"/>
                <w:lang w:val="en-IE"/>
              </w:rPr>
            </w:pPr>
          </w:p>
        </w:tc>
      </w:tr>
      <w:tr w:rsidR="007531EE" w:rsidRPr="004C53E7" w14:paraId="13652786" w14:textId="77777777" w:rsidTr="007531EE">
        <w:tc>
          <w:tcPr>
            <w:tcW w:w="9640" w:type="dxa"/>
            <w:gridSpan w:val="6"/>
            <w:shd w:val="clear" w:color="auto" w:fill="C6D9F1"/>
            <w:vAlign w:val="center"/>
          </w:tcPr>
          <w:p w14:paraId="507F5E7F" w14:textId="77777777" w:rsidR="007531EE" w:rsidRPr="004C53E7" w:rsidRDefault="007531EE" w:rsidP="00E82089">
            <w:pPr>
              <w:jc w:val="center"/>
              <w:rPr>
                <w:rFonts w:ascii="Calibri" w:hAnsi="Calibri" w:cs="Arial"/>
                <w:b/>
                <w:bCs/>
                <w:lang w:val="en-IE"/>
              </w:rPr>
            </w:pPr>
            <w:r w:rsidRPr="004C53E7">
              <w:rPr>
                <w:rFonts w:ascii="Calibri" w:hAnsi="Calibri" w:cs="Arial"/>
                <w:b/>
                <w:bCs/>
                <w:lang w:val="en-IE"/>
              </w:rPr>
              <w:t>Modification Proposal Justification</w:t>
            </w:r>
          </w:p>
          <w:p w14:paraId="41592174" w14:textId="77777777" w:rsidR="007531EE" w:rsidRPr="004C53E7" w:rsidRDefault="007531EE" w:rsidP="00E8208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7531EE" w:rsidRPr="004C53E7" w14:paraId="06177143" w14:textId="77777777" w:rsidTr="007531EE">
        <w:tc>
          <w:tcPr>
            <w:tcW w:w="9640" w:type="dxa"/>
            <w:gridSpan w:val="6"/>
            <w:vAlign w:val="center"/>
          </w:tcPr>
          <w:p w14:paraId="2AAA04FD" w14:textId="77777777" w:rsidR="007531EE" w:rsidRDefault="007531EE" w:rsidP="00E82089">
            <w:pPr>
              <w:rPr>
                <w:rFonts w:ascii="Calibri" w:hAnsi="Calibri" w:cs="Arial"/>
                <w:lang w:val="en-IE"/>
              </w:rPr>
            </w:pPr>
            <w:r>
              <w:rPr>
                <w:rFonts w:ascii="Calibri" w:hAnsi="Calibri" w:cs="Arial"/>
                <w:lang w:val="en-IE"/>
              </w:rPr>
              <w:t>This Modification seeks to streamline the publication of SEMO’s regulatory reporting while maintaining transparency on a monthly basis.</w:t>
            </w:r>
          </w:p>
          <w:p w14:paraId="578E386C" w14:textId="77777777" w:rsidR="007531EE" w:rsidRPr="004C53E7" w:rsidRDefault="007531EE" w:rsidP="00E82089">
            <w:pPr>
              <w:rPr>
                <w:rFonts w:ascii="Calibri" w:hAnsi="Calibri" w:cs="Arial"/>
                <w:lang w:val="en-IE"/>
              </w:rPr>
            </w:pPr>
          </w:p>
        </w:tc>
      </w:tr>
      <w:tr w:rsidR="007531EE" w:rsidRPr="004C53E7" w14:paraId="6785A4C4" w14:textId="77777777" w:rsidTr="007531EE">
        <w:tc>
          <w:tcPr>
            <w:tcW w:w="9640" w:type="dxa"/>
            <w:gridSpan w:val="6"/>
            <w:shd w:val="clear" w:color="auto" w:fill="C6D9F1"/>
            <w:vAlign w:val="center"/>
          </w:tcPr>
          <w:p w14:paraId="4C60CBA4" w14:textId="77777777" w:rsidR="007531EE" w:rsidRPr="004C53E7" w:rsidRDefault="007531EE" w:rsidP="00E82089">
            <w:pPr>
              <w:jc w:val="center"/>
              <w:rPr>
                <w:rFonts w:ascii="Calibri" w:hAnsi="Calibri" w:cs="Arial"/>
                <w:b/>
                <w:bCs/>
                <w:iCs/>
                <w:lang w:val="en-IE"/>
              </w:rPr>
            </w:pPr>
            <w:r w:rsidRPr="004C53E7">
              <w:rPr>
                <w:rFonts w:ascii="Calibri" w:hAnsi="Calibri" w:cs="Arial"/>
                <w:b/>
                <w:bCs/>
                <w:iCs/>
                <w:lang w:val="en-IE"/>
              </w:rPr>
              <w:t>Code Objectives Furthered</w:t>
            </w:r>
          </w:p>
          <w:p w14:paraId="3871242D" w14:textId="77777777" w:rsidR="007531EE" w:rsidRPr="004C53E7" w:rsidRDefault="007531EE" w:rsidP="00E82089">
            <w:pPr>
              <w:jc w:val="center"/>
              <w:rPr>
                <w:rFonts w:ascii="Calibri" w:hAnsi="Calibri" w:cs="Arial"/>
                <w:lang w:val="en-IE"/>
              </w:rPr>
            </w:pPr>
            <w:r w:rsidRPr="004C53E7">
              <w:rPr>
                <w:rFonts w:ascii="Calibri" w:hAnsi="Calibri"/>
                <w:i/>
                <w:spacing w:val="-3"/>
                <w:lang w:val="en-IE"/>
              </w:rPr>
              <w:lastRenderedPageBreak/>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7531EE" w:rsidRPr="004C53E7" w14:paraId="016E1AAC" w14:textId="77777777" w:rsidTr="007531EE">
        <w:tc>
          <w:tcPr>
            <w:tcW w:w="9640" w:type="dxa"/>
            <w:gridSpan w:val="6"/>
            <w:vAlign w:val="center"/>
          </w:tcPr>
          <w:p w14:paraId="0D0EEBEB" w14:textId="77777777" w:rsidR="007531EE" w:rsidRDefault="007531EE" w:rsidP="007531EE">
            <w:pPr>
              <w:pStyle w:val="CERLEVEL5"/>
              <w:numPr>
                <w:ilvl w:val="4"/>
                <w:numId w:val="40"/>
              </w:numPr>
            </w:pPr>
            <w:r w:rsidRPr="009D2D9E">
              <w:lastRenderedPageBreak/>
              <w:t xml:space="preserve">to facilitate the efficient, economic and coordinated operation, administration and development of the Single Electricity Market in a financially secure manner; </w:t>
            </w:r>
          </w:p>
          <w:p w14:paraId="107D3B64" w14:textId="77777777" w:rsidR="007531EE" w:rsidRDefault="007531EE" w:rsidP="00E82089">
            <w:pPr>
              <w:pStyle w:val="CERLEVEL5"/>
            </w:pPr>
            <w:r>
              <w:rPr>
                <w:rFonts w:ascii="Calibri" w:hAnsi="Calibri" w:cs="Arial"/>
                <w:lang w:val="en-IE"/>
              </w:rPr>
              <w:t>This Modification aims to facilitate the efficient administration of the SEM by reducing the number of reports to be produced while maintaining transparency of the information which will continue to be presented on a monthly basis.</w:t>
            </w:r>
          </w:p>
          <w:p w14:paraId="2F5C1477" w14:textId="77777777" w:rsidR="007531EE" w:rsidRDefault="007531EE" w:rsidP="00E82089">
            <w:pPr>
              <w:pStyle w:val="CERLEVEL5"/>
            </w:pPr>
          </w:p>
          <w:p w14:paraId="7A89E85A" w14:textId="77777777" w:rsidR="007531EE" w:rsidRDefault="007531EE" w:rsidP="007531EE">
            <w:pPr>
              <w:pStyle w:val="CERLEVEL5"/>
              <w:numPr>
                <w:ilvl w:val="4"/>
                <w:numId w:val="39"/>
              </w:numPr>
            </w:pPr>
            <w:r w:rsidRPr="00A56795">
              <w:rPr>
                <w:lang w:val="en-IE"/>
              </w:rPr>
              <w:t xml:space="preserve">to provide transparency in the operation of the Single Electricity Market; </w:t>
            </w:r>
          </w:p>
          <w:p w14:paraId="17A3BDB5" w14:textId="77777777" w:rsidR="007531EE" w:rsidRPr="00A56795" w:rsidRDefault="007531EE" w:rsidP="00E82089">
            <w:pPr>
              <w:rPr>
                <w:rFonts w:ascii="Calibri" w:hAnsi="Calibri" w:cs="Arial"/>
                <w:sz w:val="22"/>
                <w:szCs w:val="22"/>
                <w:lang w:val="en-IE"/>
              </w:rPr>
            </w:pPr>
            <w:r w:rsidRPr="00A56795">
              <w:rPr>
                <w:rFonts w:ascii="Calibri" w:hAnsi="Calibri" w:cs="Arial"/>
                <w:sz w:val="22"/>
                <w:szCs w:val="22"/>
                <w:lang w:val="en-IE"/>
              </w:rPr>
              <w:t>Transparency of the performance of the SEM may be furthered by the Modification as more time is available to ensure information is available to be reported upon.</w:t>
            </w:r>
          </w:p>
          <w:p w14:paraId="7FB189B7" w14:textId="77777777" w:rsidR="007531EE" w:rsidRDefault="007531EE" w:rsidP="00E82089">
            <w:pPr>
              <w:rPr>
                <w:rFonts w:ascii="Calibri" w:hAnsi="Calibri" w:cs="Arial"/>
                <w:lang w:val="en-IE"/>
              </w:rPr>
            </w:pPr>
          </w:p>
          <w:p w14:paraId="58FD1DD3" w14:textId="77777777" w:rsidR="007531EE" w:rsidRPr="004C53E7" w:rsidRDefault="007531EE" w:rsidP="00E82089">
            <w:pPr>
              <w:rPr>
                <w:rFonts w:ascii="Calibri" w:hAnsi="Calibri" w:cs="Arial"/>
                <w:lang w:val="en-IE"/>
              </w:rPr>
            </w:pPr>
          </w:p>
        </w:tc>
      </w:tr>
      <w:tr w:rsidR="007531EE" w:rsidRPr="004C53E7" w14:paraId="458102CE" w14:textId="77777777" w:rsidTr="007531EE">
        <w:tc>
          <w:tcPr>
            <w:tcW w:w="9640" w:type="dxa"/>
            <w:gridSpan w:val="6"/>
            <w:shd w:val="clear" w:color="auto" w:fill="C6D9F1"/>
            <w:vAlign w:val="center"/>
          </w:tcPr>
          <w:p w14:paraId="7801E4FD" w14:textId="77777777" w:rsidR="007531EE" w:rsidRPr="004C53E7" w:rsidRDefault="007531EE" w:rsidP="00E82089">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7BBABA10" w14:textId="77777777" w:rsidR="007531EE" w:rsidRPr="004C53E7" w:rsidRDefault="007531EE" w:rsidP="00E8208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7531EE" w:rsidRPr="004C53E7" w14:paraId="57F4BAC4" w14:textId="77777777" w:rsidTr="007531EE">
        <w:tc>
          <w:tcPr>
            <w:tcW w:w="9640" w:type="dxa"/>
            <w:gridSpan w:val="6"/>
            <w:vAlign w:val="center"/>
          </w:tcPr>
          <w:p w14:paraId="01557095" w14:textId="77777777" w:rsidR="007531EE" w:rsidRDefault="007531EE" w:rsidP="00E82089">
            <w:pPr>
              <w:rPr>
                <w:rFonts w:ascii="Calibri" w:hAnsi="Calibri" w:cs="Arial"/>
                <w:lang w:val="en-IE"/>
              </w:rPr>
            </w:pPr>
            <w:r>
              <w:rPr>
                <w:rFonts w:ascii="Calibri" w:hAnsi="Calibri" w:cs="Arial"/>
                <w:lang w:val="en-IE"/>
              </w:rPr>
              <w:t>If this Modification is not implemented SEMO will continue to publish performance reports each month. It may continue to be the case that some information may not be available when the report is due to be published.</w:t>
            </w:r>
          </w:p>
          <w:p w14:paraId="45CCAC24" w14:textId="77777777" w:rsidR="007531EE" w:rsidRPr="004C53E7" w:rsidRDefault="007531EE" w:rsidP="00E82089">
            <w:pPr>
              <w:rPr>
                <w:rFonts w:ascii="Calibri" w:hAnsi="Calibri" w:cs="Arial"/>
                <w:lang w:val="en-IE"/>
              </w:rPr>
            </w:pPr>
          </w:p>
        </w:tc>
      </w:tr>
      <w:tr w:rsidR="007531EE" w:rsidRPr="004C53E7" w14:paraId="49A3B592" w14:textId="77777777" w:rsidTr="007531EE">
        <w:trPr>
          <w:trHeight w:val="507"/>
        </w:trPr>
        <w:tc>
          <w:tcPr>
            <w:tcW w:w="4910" w:type="dxa"/>
            <w:gridSpan w:val="3"/>
            <w:shd w:val="clear" w:color="auto" w:fill="C6D9F1"/>
            <w:vAlign w:val="center"/>
          </w:tcPr>
          <w:p w14:paraId="62ADE6C4" w14:textId="77777777" w:rsidR="007531EE" w:rsidRPr="004C53E7" w:rsidRDefault="007531EE" w:rsidP="00E82089">
            <w:pPr>
              <w:jc w:val="center"/>
              <w:rPr>
                <w:rFonts w:ascii="Calibri" w:hAnsi="Calibri" w:cs="Arial"/>
                <w:b/>
                <w:bCs/>
                <w:iCs/>
                <w:lang w:val="en-IE"/>
              </w:rPr>
            </w:pPr>
            <w:r w:rsidRPr="004C53E7">
              <w:rPr>
                <w:rFonts w:ascii="Calibri" w:hAnsi="Calibri" w:cs="Arial"/>
                <w:b/>
                <w:bCs/>
                <w:iCs/>
                <w:lang w:val="en-IE"/>
              </w:rPr>
              <w:t>Working Group</w:t>
            </w:r>
          </w:p>
          <w:p w14:paraId="447AC6D1" w14:textId="77777777" w:rsidR="007531EE" w:rsidRPr="004C53E7" w:rsidRDefault="007531EE" w:rsidP="00E8208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730" w:type="dxa"/>
            <w:gridSpan w:val="3"/>
            <w:shd w:val="clear" w:color="auto" w:fill="C6D9F1"/>
            <w:vAlign w:val="center"/>
          </w:tcPr>
          <w:p w14:paraId="352A230F" w14:textId="77777777" w:rsidR="007531EE" w:rsidRPr="004C53E7" w:rsidRDefault="007531EE" w:rsidP="00E82089">
            <w:pPr>
              <w:jc w:val="center"/>
              <w:rPr>
                <w:rFonts w:ascii="Calibri" w:hAnsi="Calibri" w:cs="Arial"/>
                <w:b/>
                <w:bCs/>
                <w:iCs/>
                <w:lang w:val="en-IE"/>
              </w:rPr>
            </w:pPr>
            <w:r w:rsidRPr="004C53E7">
              <w:rPr>
                <w:rFonts w:ascii="Calibri" w:hAnsi="Calibri" w:cs="Arial"/>
                <w:b/>
                <w:bCs/>
                <w:iCs/>
                <w:lang w:val="en-IE"/>
              </w:rPr>
              <w:t>Impacts</w:t>
            </w:r>
          </w:p>
          <w:p w14:paraId="2C8FB5D7" w14:textId="77777777" w:rsidR="007531EE" w:rsidRPr="004C53E7" w:rsidRDefault="007531EE" w:rsidP="00E8208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xml:space="preserve">; also indicate impacts on any other Market Code such as Capacity </w:t>
            </w:r>
            <w:r w:rsidRPr="00DF7A00">
              <w:rPr>
                <w:rFonts w:ascii="Calibri" w:hAnsi="Calibri" w:cs="Arial"/>
                <w:i/>
                <w:lang w:val="en-IE"/>
              </w:rPr>
              <w:t>Market</w:t>
            </w:r>
            <w:r>
              <w:rPr>
                <w:rFonts w:ascii="Calibri" w:hAnsi="Calibri" w:cs="Arial"/>
                <w:i/>
                <w:lang w:val="en-IE"/>
              </w:rPr>
              <w:t xml:space="preserve"> Code, Grid Code, Exchange Rules etc.</w:t>
            </w:r>
            <w:r w:rsidRPr="004C53E7">
              <w:rPr>
                <w:rFonts w:ascii="Calibri" w:hAnsi="Calibri" w:cs="Arial"/>
                <w:i/>
                <w:lang w:val="en-IE"/>
              </w:rPr>
              <w:t>)</w:t>
            </w:r>
          </w:p>
          <w:p w14:paraId="203FC635" w14:textId="77777777" w:rsidR="007531EE" w:rsidRPr="004C53E7" w:rsidRDefault="007531EE" w:rsidP="00E82089">
            <w:pPr>
              <w:jc w:val="center"/>
              <w:rPr>
                <w:rFonts w:ascii="Calibri" w:hAnsi="Calibri" w:cs="Arial"/>
                <w:b/>
                <w:bCs/>
                <w:iCs/>
                <w:lang w:val="en-IE"/>
              </w:rPr>
            </w:pPr>
          </w:p>
        </w:tc>
      </w:tr>
      <w:tr w:rsidR="007531EE" w:rsidRPr="004C53E7" w:rsidDel="00404964" w14:paraId="42BFDF8A" w14:textId="77777777" w:rsidTr="007531EE">
        <w:trPr>
          <w:trHeight w:val="507"/>
        </w:trPr>
        <w:tc>
          <w:tcPr>
            <w:tcW w:w="4910" w:type="dxa"/>
            <w:gridSpan w:val="3"/>
            <w:vAlign w:val="center"/>
          </w:tcPr>
          <w:p w14:paraId="28798578" w14:textId="77777777" w:rsidR="007531EE" w:rsidRPr="004C53E7" w:rsidDel="00404964" w:rsidRDefault="007531EE" w:rsidP="00E82089">
            <w:pPr>
              <w:spacing w:line="480" w:lineRule="auto"/>
              <w:rPr>
                <w:rFonts w:ascii="Calibri" w:hAnsi="Calibri" w:cs="Arial"/>
                <w:lang w:val="en-IE"/>
              </w:rPr>
            </w:pPr>
            <w:r>
              <w:rPr>
                <w:rFonts w:ascii="Calibri" w:hAnsi="Calibri" w:cs="Arial"/>
                <w:lang w:val="en-IE"/>
              </w:rPr>
              <w:t>n/a</w:t>
            </w:r>
          </w:p>
        </w:tc>
        <w:tc>
          <w:tcPr>
            <w:tcW w:w="4730" w:type="dxa"/>
            <w:gridSpan w:val="3"/>
            <w:vAlign w:val="center"/>
          </w:tcPr>
          <w:p w14:paraId="590227DB" w14:textId="77777777" w:rsidR="007531EE" w:rsidRPr="004C53E7" w:rsidDel="00404964" w:rsidRDefault="007531EE" w:rsidP="00E82089">
            <w:pPr>
              <w:spacing w:line="480" w:lineRule="auto"/>
              <w:rPr>
                <w:rFonts w:ascii="Calibri" w:hAnsi="Calibri" w:cs="Arial"/>
                <w:lang w:val="en-IE"/>
              </w:rPr>
            </w:pPr>
            <w:r>
              <w:rPr>
                <w:rFonts w:ascii="Calibri" w:hAnsi="Calibri" w:cs="Arial"/>
                <w:lang w:val="en-IE"/>
              </w:rPr>
              <w:t>n/a</w:t>
            </w:r>
          </w:p>
        </w:tc>
      </w:tr>
      <w:tr w:rsidR="007531EE" w:rsidRPr="007E7191" w14:paraId="6165A79E" w14:textId="77777777" w:rsidTr="007531EE">
        <w:tc>
          <w:tcPr>
            <w:tcW w:w="9640" w:type="dxa"/>
            <w:gridSpan w:val="6"/>
            <w:vAlign w:val="center"/>
          </w:tcPr>
          <w:p w14:paraId="55EF88F3" w14:textId="77777777" w:rsidR="007531EE" w:rsidRPr="007E7191" w:rsidRDefault="007531EE" w:rsidP="00E82089">
            <w:pPr>
              <w:rPr>
                <w:rFonts w:eastAsiaTheme="minorHAnsi"/>
                <w:sz w:val="24"/>
                <w:szCs w:val="24"/>
                <w:lang w:val="en-IE"/>
              </w:rPr>
            </w:pPr>
            <w:r w:rsidRPr="004C53E7">
              <w:rPr>
                <w:rFonts w:ascii="Calibri" w:hAnsi="Calibri" w:cs="Arial"/>
                <w:b/>
                <w:bCs/>
                <w:i/>
                <w:iCs/>
                <w:lang w:val="en-IE"/>
              </w:rPr>
              <w:t xml:space="preserve">Please return this form to Secretariat by email to </w:t>
            </w:r>
            <w:hyperlink r:id="rId14" w:history="1">
              <w:r w:rsidRPr="007E7191">
                <w:rPr>
                  <w:rFonts w:eastAsiaTheme="minorHAnsi"/>
                  <w:color w:val="0000FF"/>
                  <w:sz w:val="24"/>
                  <w:szCs w:val="24"/>
                  <w:u w:val="single"/>
                  <w:lang w:val="en-IE"/>
                </w:rPr>
                <w:t>balancingmodifications@sem-o.com</w:t>
              </w:r>
            </w:hyperlink>
          </w:p>
        </w:tc>
      </w:tr>
    </w:tbl>
    <w:p w14:paraId="5C273074" w14:textId="77777777" w:rsidR="00F824F5" w:rsidRPr="00F824F5" w:rsidRDefault="00F824F5" w:rsidP="00F824F5">
      <w:pPr>
        <w:rPr>
          <w:lang w:eastAsia="en-GB" w:bidi="ar-SA"/>
        </w:rPr>
      </w:pPr>
    </w:p>
    <w:p w14:paraId="42F68B64" w14:textId="77777777" w:rsidR="00F824F5" w:rsidRPr="00F824F5" w:rsidRDefault="00F824F5" w:rsidP="00F824F5">
      <w:pPr>
        <w:rPr>
          <w:lang w:eastAsia="en-GB" w:bidi="ar-SA"/>
        </w:rPr>
      </w:pPr>
    </w:p>
    <w:p w14:paraId="208E822D" w14:textId="77777777" w:rsidR="005902CC" w:rsidRPr="005902CC" w:rsidRDefault="005902CC" w:rsidP="005902CC">
      <w:pPr>
        <w:rPr>
          <w:lang w:eastAsia="en-GB" w:bidi="ar-SA"/>
        </w:rPr>
      </w:pPr>
    </w:p>
    <w:sectPr w:rsidR="005902CC" w:rsidRPr="005902CC" w:rsidSect="00EB1AF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418CA" w14:textId="77777777" w:rsidR="00FD17FE" w:rsidRDefault="00FD17FE">
      <w:r>
        <w:separator/>
      </w:r>
    </w:p>
  </w:endnote>
  <w:endnote w:type="continuationSeparator" w:id="0">
    <w:p w14:paraId="0A4AD69F" w14:textId="77777777" w:rsidR="00FD17FE" w:rsidRDefault="00FD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4BDC" w14:textId="77777777" w:rsidR="00E73149" w:rsidRDefault="00E73149">
    <w:pPr>
      <w:pStyle w:val="Footer"/>
      <w:jc w:val="center"/>
    </w:pPr>
    <w:r>
      <w:fldChar w:fldCharType="begin"/>
    </w:r>
    <w:r>
      <w:instrText xml:space="preserve"> PAGE   \* MERGEFORMAT </w:instrText>
    </w:r>
    <w:r>
      <w:fldChar w:fldCharType="separate"/>
    </w:r>
    <w:r w:rsidR="00F8419F">
      <w:rPr>
        <w:noProof/>
      </w:rPr>
      <w:t>4</w:t>
    </w:r>
    <w:r>
      <w:rPr>
        <w:noProof/>
      </w:rPr>
      <w:fldChar w:fldCharType="end"/>
    </w:r>
  </w:p>
  <w:p w14:paraId="7EE54BDD" w14:textId="77777777" w:rsidR="00E73149" w:rsidRPr="00A53010" w:rsidRDefault="00E73149" w:rsidP="00A677C0">
    <w:pPr>
      <w:pStyle w:val="Footer"/>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1FD33" w14:textId="77777777" w:rsidR="00FD17FE" w:rsidRDefault="00FD17FE">
      <w:r>
        <w:separator/>
      </w:r>
    </w:p>
  </w:footnote>
  <w:footnote w:type="continuationSeparator" w:id="0">
    <w:p w14:paraId="05D64958" w14:textId="77777777" w:rsidR="00FD17FE" w:rsidRDefault="00FD1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4BD9" w14:textId="1F9E179C" w:rsidR="00E73149" w:rsidRPr="00DA2DEE" w:rsidRDefault="00E73149"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Mod_</w:t>
    </w:r>
    <w:r w:rsidR="00A24BDE">
      <w:rPr>
        <w:rFonts w:cs="Arial"/>
        <w:bCs/>
        <w:sz w:val="16"/>
        <w:szCs w:val="18"/>
      </w:rPr>
      <w:t>0</w:t>
    </w:r>
    <w:r w:rsidR="00642487">
      <w:rPr>
        <w:rFonts w:cs="Arial"/>
        <w:bCs/>
        <w:sz w:val="16"/>
        <w:szCs w:val="18"/>
      </w:rPr>
      <w:t>5</w:t>
    </w:r>
    <w:r w:rsidR="00A24BDE">
      <w:rPr>
        <w:rFonts w:cs="Arial"/>
        <w:bCs/>
        <w:sz w:val="16"/>
        <w:szCs w:val="18"/>
      </w:rPr>
      <w:t>_22</w:t>
    </w:r>
  </w:p>
  <w:p w14:paraId="7EE54BDA" w14:textId="77777777" w:rsidR="00E73149" w:rsidRPr="0018497A" w:rsidRDefault="00E73149"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E73149" w:rsidRDefault="00E73149" w:rsidP="001B7507">
    <w:pPr>
      <w:tabs>
        <w:tab w:val="left" w:pos="25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0000001"/>
    <w:multiLevelType w:val="hybridMultilevel"/>
    <w:tmpl w:val="00000001"/>
    <w:lvl w:ilvl="0" w:tplc="A57E8154">
      <w:start w:val="1"/>
      <w:numFmt w:val="decimal"/>
      <w:lvlText w:val="%1."/>
      <w:lvlJc w:val="left"/>
      <w:pPr>
        <w:ind w:left="0" w:firstLine="0"/>
      </w:pPr>
      <w:rPr>
        <w:rFonts w:ascii="Arial" w:eastAsia="Arial" w:hAnsi="Arial" w:cs="Arial"/>
        <w:b/>
        <w:bCs/>
        <w:caps/>
        <w:color w:val="FFFFFF"/>
        <w:spacing w:val="15"/>
        <w:sz w:val="20"/>
        <w:szCs w:val="20"/>
      </w:rPr>
    </w:lvl>
    <w:lvl w:ilvl="1" w:tplc="0F50B3EC">
      <w:start w:val="1"/>
      <w:numFmt w:val="bullet"/>
      <w:lvlText w:val="o"/>
      <w:lvlJc w:val="left"/>
      <w:pPr>
        <w:tabs>
          <w:tab w:val="num" w:pos="1440"/>
        </w:tabs>
        <w:ind w:left="1440" w:hanging="360"/>
      </w:pPr>
      <w:rPr>
        <w:rFonts w:ascii="Courier New" w:hAnsi="Courier New"/>
      </w:rPr>
    </w:lvl>
    <w:lvl w:ilvl="2" w:tplc="DFAA2C96">
      <w:start w:val="1"/>
      <w:numFmt w:val="bullet"/>
      <w:lvlText w:val=""/>
      <w:lvlJc w:val="left"/>
      <w:pPr>
        <w:tabs>
          <w:tab w:val="num" w:pos="2160"/>
        </w:tabs>
        <w:ind w:left="2160" w:hanging="360"/>
      </w:pPr>
      <w:rPr>
        <w:rFonts w:ascii="Wingdings" w:hAnsi="Wingdings"/>
      </w:rPr>
    </w:lvl>
    <w:lvl w:ilvl="3" w:tplc="D178A8D2">
      <w:start w:val="1"/>
      <w:numFmt w:val="bullet"/>
      <w:lvlText w:val=""/>
      <w:lvlJc w:val="left"/>
      <w:pPr>
        <w:tabs>
          <w:tab w:val="num" w:pos="2880"/>
        </w:tabs>
        <w:ind w:left="2880" w:hanging="360"/>
      </w:pPr>
      <w:rPr>
        <w:rFonts w:ascii="Symbol" w:hAnsi="Symbol"/>
      </w:rPr>
    </w:lvl>
    <w:lvl w:ilvl="4" w:tplc="078A743C">
      <w:start w:val="1"/>
      <w:numFmt w:val="bullet"/>
      <w:lvlText w:val="o"/>
      <w:lvlJc w:val="left"/>
      <w:pPr>
        <w:tabs>
          <w:tab w:val="num" w:pos="3600"/>
        </w:tabs>
        <w:ind w:left="3600" w:hanging="360"/>
      </w:pPr>
      <w:rPr>
        <w:rFonts w:ascii="Courier New" w:hAnsi="Courier New"/>
      </w:rPr>
    </w:lvl>
    <w:lvl w:ilvl="5" w:tplc="84EE01A8">
      <w:start w:val="1"/>
      <w:numFmt w:val="bullet"/>
      <w:lvlText w:val=""/>
      <w:lvlJc w:val="left"/>
      <w:pPr>
        <w:tabs>
          <w:tab w:val="num" w:pos="4320"/>
        </w:tabs>
        <w:ind w:left="4320" w:hanging="360"/>
      </w:pPr>
      <w:rPr>
        <w:rFonts w:ascii="Wingdings" w:hAnsi="Wingdings"/>
      </w:rPr>
    </w:lvl>
    <w:lvl w:ilvl="6" w:tplc="F6B4F262">
      <w:start w:val="1"/>
      <w:numFmt w:val="bullet"/>
      <w:lvlText w:val=""/>
      <w:lvlJc w:val="left"/>
      <w:pPr>
        <w:tabs>
          <w:tab w:val="num" w:pos="5040"/>
        </w:tabs>
        <w:ind w:left="5040" w:hanging="360"/>
      </w:pPr>
      <w:rPr>
        <w:rFonts w:ascii="Symbol" w:hAnsi="Symbol"/>
      </w:rPr>
    </w:lvl>
    <w:lvl w:ilvl="7" w:tplc="572CC796">
      <w:start w:val="1"/>
      <w:numFmt w:val="bullet"/>
      <w:lvlText w:val="o"/>
      <w:lvlJc w:val="left"/>
      <w:pPr>
        <w:tabs>
          <w:tab w:val="num" w:pos="5760"/>
        </w:tabs>
        <w:ind w:left="5760" w:hanging="360"/>
      </w:pPr>
      <w:rPr>
        <w:rFonts w:ascii="Courier New" w:hAnsi="Courier New"/>
      </w:rPr>
    </w:lvl>
    <w:lvl w:ilvl="8" w:tplc="803059E6">
      <w:start w:val="1"/>
      <w:numFmt w:val="bullet"/>
      <w:lvlText w:val=""/>
      <w:lvlJc w:val="left"/>
      <w:pPr>
        <w:tabs>
          <w:tab w:val="num" w:pos="6480"/>
        </w:tabs>
        <w:ind w:left="6480" w:hanging="360"/>
      </w:pPr>
      <w:rPr>
        <w:rFonts w:ascii="Wingdings" w:hAnsi="Wingdings"/>
      </w:rPr>
    </w:lvl>
  </w:abstractNum>
  <w:abstractNum w:abstractNumId="4" w15:restartNumberingAfterBreak="0">
    <w:nsid w:val="04264EF6"/>
    <w:multiLevelType w:val="multilevel"/>
    <w:tmpl w:val="4FF26EB2"/>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701" w:hanging="709"/>
      </w:pPr>
      <w:rPr>
        <w:rFonts w:asciiTheme="minorHAnsi" w:hAnsiTheme="minorHAnsi"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45660F"/>
    <w:multiLevelType w:val="hybridMultilevel"/>
    <w:tmpl w:val="4CA83720"/>
    <w:lvl w:ilvl="0" w:tplc="0EF42762">
      <w:start w:val="4"/>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3E1543"/>
    <w:multiLevelType w:val="hybridMultilevel"/>
    <w:tmpl w:val="CC58D1AC"/>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1" w15:restartNumberingAfterBreak="0">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2" w15:restartNumberingAfterBreak="0">
    <w:nsid w:val="1EE606C2"/>
    <w:multiLevelType w:val="hybridMultilevel"/>
    <w:tmpl w:val="CC36DB50"/>
    <w:lvl w:ilvl="0" w:tplc="93FA8366">
      <w:start w:val="9"/>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7E23571"/>
    <w:multiLevelType w:val="hybridMultilevel"/>
    <w:tmpl w:val="9D8A51CE"/>
    <w:lvl w:ilvl="0" w:tplc="038EB48A">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8A57F33"/>
    <w:multiLevelType w:val="hybridMultilevel"/>
    <w:tmpl w:val="9388752E"/>
    <w:lvl w:ilvl="0" w:tplc="C3C28F14">
      <w:numFmt w:val="bullet"/>
      <w:lvlText w:val="-"/>
      <w:lvlJc w:val="left"/>
      <w:pPr>
        <w:ind w:left="408" w:hanging="360"/>
      </w:pPr>
      <w:rPr>
        <w:rFonts w:ascii="Calibri" w:eastAsia="Times New Roman" w:hAnsi="Calibri" w:cs="Arial"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16" w15:restartNumberingAfterBreak="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7" w15:restartNumberingAfterBreak="0">
    <w:nsid w:val="2D444792"/>
    <w:multiLevelType w:val="hybridMultilevel"/>
    <w:tmpl w:val="DDAA4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DEA2B5B"/>
    <w:multiLevelType w:val="hybridMultilevel"/>
    <w:tmpl w:val="9D04355E"/>
    <w:lvl w:ilvl="0" w:tplc="C104321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3C41662"/>
    <w:multiLevelType w:val="hybridMultilevel"/>
    <w:tmpl w:val="28B4F66E"/>
    <w:lvl w:ilvl="0" w:tplc="29064F00">
      <w:start w:val="1"/>
      <w:numFmt w:val="decimal"/>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3F7E140B"/>
    <w:multiLevelType w:val="hybridMultilevel"/>
    <w:tmpl w:val="62884FA8"/>
    <w:lvl w:ilvl="0" w:tplc="D57471BA">
      <w:start w:val="3"/>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21C79EB"/>
    <w:multiLevelType w:val="multilevel"/>
    <w:tmpl w:val="4FF26EB2"/>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701" w:hanging="709"/>
      </w:pPr>
      <w:rPr>
        <w:rFonts w:asciiTheme="minorHAnsi" w:hAnsiTheme="minorHAnsi"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787997"/>
    <w:multiLevelType w:val="hybridMultilevel"/>
    <w:tmpl w:val="CE0AE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6B4D9B"/>
    <w:multiLevelType w:val="hybridMultilevel"/>
    <w:tmpl w:val="00E23F5C"/>
    <w:lvl w:ilvl="0" w:tplc="E0189D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ED802AF"/>
    <w:multiLevelType w:val="hybridMultilevel"/>
    <w:tmpl w:val="24927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5368B7"/>
    <w:multiLevelType w:val="hybridMultilevel"/>
    <w:tmpl w:val="0130E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503DEC"/>
    <w:multiLevelType w:val="hybridMultilevel"/>
    <w:tmpl w:val="03869D52"/>
    <w:lvl w:ilvl="0" w:tplc="1809000F">
      <w:start w:val="1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31" w15:restartNumberingAfterBreak="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2" w15:restartNumberingAfterBreak="0">
    <w:nsid w:val="695A7AFB"/>
    <w:multiLevelType w:val="hybridMultilevel"/>
    <w:tmpl w:val="EA4AAEE0"/>
    <w:lvl w:ilvl="0" w:tplc="674AEA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D5938B6"/>
    <w:multiLevelType w:val="hybridMultilevel"/>
    <w:tmpl w:val="646C02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5" w15:restartNumberingAfterBreak="0">
    <w:nsid w:val="6EE2220F"/>
    <w:multiLevelType w:val="hybridMultilevel"/>
    <w:tmpl w:val="B7524B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7"/>
  </w:num>
  <w:num w:numId="2">
    <w:abstractNumId w:val="34"/>
  </w:num>
  <w:num w:numId="3">
    <w:abstractNumId w:val="8"/>
  </w:num>
  <w:num w:numId="4">
    <w:abstractNumId w:val="20"/>
  </w:num>
  <w:num w:numId="5">
    <w:abstractNumId w:val="16"/>
  </w:num>
  <w:num w:numId="6">
    <w:abstractNumId w:val="10"/>
  </w:num>
  <w:num w:numId="7">
    <w:abstractNumId w:val="31"/>
  </w:num>
  <w:num w:numId="8">
    <w:abstractNumId w:val="36"/>
  </w:num>
  <w:num w:numId="9">
    <w:abstractNumId w:val="28"/>
  </w:num>
  <w:num w:numId="10">
    <w:abstractNumId w:val="30"/>
  </w:num>
  <w:num w:numId="11">
    <w:abstractNumId w:val="11"/>
  </w:num>
  <w:num w:numId="12">
    <w:abstractNumId w:val="26"/>
  </w:num>
  <w:num w:numId="13">
    <w:abstractNumId w:val="13"/>
  </w:num>
  <w:num w:numId="14">
    <w:abstractNumId w:val="0"/>
  </w:num>
  <w:num w:numId="15">
    <w:abstractNumId w:val="2"/>
  </w:num>
  <w:num w:numId="16">
    <w:abstractNumId w:val="1"/>
  </w:num>
  <w:num w:numId="17">
    <w:abstractNumId w:val="9"/>
  </w:num>
  <w:num w:numId="18">
    <w:abstractNumId w:val="6"/>
  </w:num>
  <w:num w:numId="19">
    <w:abstractNumId w:val="24"/>
  </w:num>
  <w:num w:numId="20">
    <w:abstractNumId w:val="32"/>
  </w:num>
  <w:num w:numId="21">
    <w:abstractNumId w:val="21"/>
  </w:num>
  <w:num w:numId="22">
    <w:abstractNumId w:val="35"/>
  </w:num>
  <w:num w:numId="23">
    <w:abstractNumId w:val="25"/>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4"/>
  </w:num>
  <w:num w:numId="28">
    <w:abstractNumId w:val="15"/>
  </w:num>
  <w:num w:numId="29">
    <w:abstractNumId w:val="19"/>
  </w:num>
  <w:num w:numId="30">
    <w:abstractNumId w:val="14"/>
  </w:num>
  <w:num w:numId="31">
    <w:abstractNumId w:val="7"/>
  </w:num>
  <w:num w:numId="32">
    <w:abstractNumId w:val="29"/>
  </w:num>
  <w:num w:numId="33">
    <w:abstractNumId w:val="18"/>
  </w:num>
  <w:num w:numId="34">
    <w:abstractNumId w:val="27"/>
  </w:num>
  <w:num w:numId="35">
    <w:abstractNumId w:val="17"/>
  </w:num>
  <w:num w:numId="36">
    <w:abstractNumId w:val="23"/>
  </w:num>
  <w:num w:numId="37">
    <w:abstractNumId w:val="5"/>
  </w:num>
  <w:num w:numId="38">
    <w:abstractNumId w:val="1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1">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2EF2"/>
    <w:rsid w:val="00013840"/>
    <w:rsid w:val="0001752F"/>
    <w:rsid w:val="00020354"/>
    <w:rsid w:val="00020432"/>
    <w:rsid w:val="00023DE3"/>
    <w:rsid w:val="00024548"/>
    <w:rsid w:val="000265A6"/>
    <w:rsid w:val="00027352"/>
    <w:rsid w:val="000276F9"/>
    <w:rsid w:val="000308A6"/>
    <w:rsid w:val="00031DAD"/>
    <w:rsid w:val="00032747"/>
    <w:rsid w:val="0003293E"/>
    <w:rsid w:val="00032C3D"/>
    <w:rsid w:val="000333C2"/>
    <w:rsid w:val="00033798"/>
    <w:rsid w:val="000349F5"/>
    <w:rsid w:val="00036773"/>
    <w:rsid w:val="00036D26"/>
    <w:rsid w:val="00036DD4"/>
    <w:rsid w:val="00037136"/>
    <w:rsid w:val="00037205"/>
    <w:rsid w:val="000379A8"/>
    <w:rsid w:val="00037B31"/>
    <w:rsid w:val="00040E96"/>
    <w:rsid w:val="00040ECD"/>
    <w:rsid w:val="00041C7F"/>
    <w:rsid w:val="00041D15"/>
    <w:rsid w:val="00042CFE"/>
    <w:rsid w:val="00043497"/>
    <w:rsid w:val="000441FB"/>
    <w:rsid w:val="00044318"/>
    <w:rsid w:val="0004492F"/>
    <w:rsid w:val="00044BF1"/>
    <w:rsid w:val="000451DD"/>
    <w:rsid w:val="00045407"/>
    <w:rsid w:val="000456BC"/>
    <w:rsid w:val="00045A47"/>
    <w:rsid w:val="00046DBD"/>
    <w:rsid w:val="00047456"/>
    <w:rsid w:val="0004778E"/>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0FF7"/>
    <w:rsid w:val="000912D2"/>
    <w:rsid w:val="000916D0"/>
    <w:rsid w:val="00093981"/>
    <w:rsid w:val="00094469"/>
    <w:rsid w:val="00094614"/>
    <w:rsid w:val="00094680"/>
    <w:rsid w:val="000954A5"/>
    <w:rsid w:val="00095CA4"/>
    <w:rsid w:val="0009753A"/>
    <w:rsid w:val="0009763E"/>
    <w:rsid w:val="000976A2"/>
    <w:rsid w:val="000978D8"/>
    <w:rsid w:val="000A124B"/>
    <w:rsid w:val="000A1C41"/>
    <w:rsid w:val="000A21F3"/>
    <w:rsid w:val="000A2392"/>
    <w:rsid w:val="000A28AE"/>
    <w:rsid w:val="000A2C21"/>
    <w:rsid w:val="000A3EB8"/>
    <w:rsid w:val="000A3F91"/>
    <w:rsid w:val="000A431C"/>
    <w:rsid w:val="000A45C6"/>
    <w:rsid w:val="000A6E06"/>
    <w:rsid w:val="000B0285"/>
    <w:rsid w:val="000B0CFE"/>
    <w:rsid w:val="000B117C"/>
    <w:rsid w:val="000B1852"/>
    <w:rsid w:val="000B1F52"/>
    <w:rsid w:val="000B23F3"/>
    <w:rsid w:val="000B2F63"/>
    <w:rsid w:val="000B4C11"/>
    <w:rsid w:val="000B4E16"/>
    <w:rsid w:val="000B641B"/>
    <w:rsid w:val="000B728C"/>
    <w:rsid w:val="000B798B"/>
    <w:rsid w:val="000C1C26"/>
    <w:rsid w:val="000C30EC"/>
    <w:rsid w:val="000C3214"/>
    <w:rsid w:val="000C323B"/>
    <w:rsid w:val="000C3263"/>
    <w:rsid w:val="000C4AE2"/>
    <w:rsid w:val="000C4F3B"/>
    <w:rsid w:val="000C4F43"/>
    <w:rsid w:val="000C66BB"/>
    <w:rsid w:val="000C7DD9"/>
    <w:rsid w:val="000D000F"/>
    <w:rsid w:val="000D00FA"/>
    <w:rsid w:val="000D02EC"/>
    <w:rsid w:val="000D042A"/>
    <w:rsid w:val="000D19D8"/>
    <w:rsid w:val="000D1BFE"/>
    <w:rsid w:val="000D1C39"/>
    <w:rsid w:val="000D3C67"/>
    <w:rsid w:val="000D482D"/>
    <w:rsid w:val="000D4BF1"/>
    <w:rsid w:val="000D5C39"/>
    <w:rsid w:val="000D5F90"/>
    <w:rsid w:val="000D637F"/>
    <w:rsid w:val="000D6F52"/>
    <w:rsid w:val="000D7774"/>
    <w:rsid w:val="000D7912"/>
    <w:rsid w:val="000D7FC6"/>
    <w:rsid w:val="000E014F"/>
    <w:rsid w:val="000E0285"/>
    <w:rsid w:val="000E0DEB"/>
    <w:rsid w:val="000E0E90"/>
    <w:rsid w:val="000E1718"/>
    <w:rsid w:val="000E19DE"/>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5685"/>
    <w:rsid w:val="000F614D"/>
    <w:rsid w:val="000F66ED"/>
    <w:rsid w:val="000F6C50"/>
    <w:rsid w:val="000F70A2"/>
    <w:rsid w:val="000F7E37"/>
    <w:rsid w:val="00100450"/>
    <w:rsid w:val="001006B1"/>
    <w:rsid w:val="00103360"/>
    <w:rsid w:val="00105085"/>
    <w:rsid w:val="001062A9"/>
    <w:rsid w:val="00107319"/>
    <w:rsid w:val="001077C7"/>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47222"/>
    <w:rsid w:val="0015130F"/>
    <w:rsid w:val="00151CA1"/>
    <w:rsid w:val="00151D65"/>
    <w:rsid w:val="00154372"/>
    <w:rsid w:val="00154A47"/>
    <w:rsid w:val="00155DD7"/>
    <w:rsid w:val="0015638F"/>
    <w:rsid w:val="0015659C"/>
    <w:rsid w:val="00156C60"/>
    <w:rsid w:val="00156F0C"/>
    <w:rsid w:val="001576AD"/>
    <w:rsid w:val="0016058E"/>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19C1"/>
    <w:rsid w:val="0017277A"/>
    <w:rsid w:val="00172931"/>
    <w:rsid w:val="00172B62"/>
    <w:rsid w:val="00173583"/>
    <w:rsid w:val="001740C7"/>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3FA1"/>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23C3"/>
    <w:rsid w:val="001B39C5"/>
    <w:rsid w:val="001B4535"/>
    <w:rsid w:val="001B49DA"/>
    <w:rsid w:val="001B53E5"/>
    <w:rsid w:val="001B545E"/>
    <w:rsid w:val="001B66FA"/>
    <w:rsid w:val="001B685F"/>
    <w:rsid w:val="001B7507"/>
    <w:rsid w:val="001C0144"/>
    <w:rsid w:val="001C06E5"/>
    <w:rsid w:val="001C0E60"/>
    <w:rsid w:val="001C10CE"/>
    <w:rsid w:val="001C143E"/>
    <w:rsid w:val="001C2D47"/>
    <w:rsid w:val="001C2F4E"/>
    <w:rsid w:val="001C36BF"/>
    <w:rsid w:val="001C373B"/>
    <w:rsid w:val="001C41D2"/>
    <w:rsid w:val="001C4421"/>
    <w:rsid w:val="001C4B0E"/>
    <w:rsid w:val="001C4BAF"/>
    <w:rsid w:val="001C4E84"/>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2E6"/>
    <w:rsid w:val="001D7A56"/>
    <w:rsid w:val="001E0434"/>
    <w:rsid w:val="001E073F"/>
    <w:rsid w:val="001E0CEF"/>
    <w:rsid w:val="001E1DAE"/>
    <w:rsid w:val="001E2BFE"/>
    <w:rsid w:val="001E5DE0"/>
    <w:rsid w:val="001E618F"/>
    <w:rsid w:val="001E6557"/>
    <w:rsid w:val="001E690D"/>
    <w:rsid w:val="001E6E16"/>
    <w:rsid w:val="001E746D"/>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078CC"/>
    <w:rsid w:val="0021070F"/>
    <w:rsid w:val="00210FD5"/>
    <w:rsid w:val="0021220C"/>
    <w:rsid w:val="00212DA5"/>
    <w:rsid w:val="00212F93"/>
    <w:rsid w:val="00213452"/>
    <w:rsid w:val="00213D76"/>
    <w:rsid w:val="002142FA"/>
    <w:rsid w:val="00214FA9"/>
    <w:rsid w:val="00214FC2"/>
    <w:rsid w:val="002157B9"/>
    <w:rsid w:val="002158D1"/>
    <w:rsid w:val="0021604F"/>
    <w:rsid w:val="00217561"/>
    <w:rsid w:val="00217872"/>
    <w:rsid w:val="002232B9"/>
    <w:rsid w:val="00223575"/>
    <w:rsid w:val="0022392D"/>
    <w:rsid w:val="00224105"/>
    <w:rsid w:val="002247EB"/>
    <w:rsid w:val="00224A83"/>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4451"/>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562F"/>
    <w:rsid w:val="00255CA0"/>
    <w:rsid w:val="00256348"/>
    <w:rsid w:val="002570E6"/>
    <w:rsid w:val="00257A6E"/>
    <w:rsid w:val="0026035D"/>
    <w:rsid w:val="0026062C"/>
    <w:rsid w:val="002606D5"/>
    <w:rsid w:val="002617A9"/>
    <w:rsid w:val="00261819"/>
    <w:rsid w:val="00261848"/>
    <w:rsid w:val="00261CEA"/>
    <w:rsid w:val="002626FB"/>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77C4C"/>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02A8"/>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054"/>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541"/>
    <w:rsid w:val="00305777"/>
    <w:rsid w:val="0030628E"/>
    <w:rsid w:val="00306949"/>
    <w:rsid w:val="00307925"/>
    <w:rsid w:val="00311357"/>
    <w:rsid w:val="00311CDF"/>
    <w:rsid w:val="00311D92"/>
    <w:rsid w:val="00312598"/>
    <w:rsid w:val="00312D77"/>
    <w:rsid w:val="003131F6"/>
    <w:rsid w:val="00313E6E"/>
    <w:rsid w:val="00315028"/>
    <w:rsid w:val="003154CD"/>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49B3"/>
    <w:rsid w:val="00325B9A"/>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334C"/>
    <w:rsid w:val="00353A7D"/>
    <w:rsid w:val="00353F87"/>
    <w:rsid w:val="00355B3A"/>
    <w:rsid w:val="0035766C"/>
    <w:rsid w:val="00357825"/>
    <w:rsid w:val="00357E55"/>
    <w:rsid w:val="003608EA"/>
    <w:rsid w:val="003609A6"/>
    <w:rsid w:val="0036131C"/>
    <w:rsid w:val="00361401"/>
    <w:rsid w:val="00361C99"/>
    <w:rsid w:val="003629C6"/>
    <w:rsid w:val="00362C68"/>
    <w:rsid w:val="003635B4"/>
    <w:rsid w:val="003642A9"/>
    <w:rsid w:val="003646C3"/>
    <w:rsid w:val="00364D64"/>
    <w:rsid w:val="00365057"/>
    <w:rsid w:val="00365441"/>
    <w:rsid w:val="00365AF8"/>
    <w:rsid w:val="00367E22"/>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7D8"/>
    <w:rsid w:val="003A285F"/>
    <w:rsid w:val="003A374B"/>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BA3"/>
    <w:rsid w:val="003B4EAF"/>
    <w:rsid w:val="003B5FE4"/>
    <w:rsid w:val="003C07BE"/>
    <w:rsid w:val="003C1068"/>
    <w:rsid w:val="003C13BA"/>
    <w:rsid w:val="003C1430"/>
    <w:rsid w:val="003C1595"/>
    <w:rsid w:val="003C1F9E"/>
    <w:rsid w:val="003C2739"/>
    <w:rsid w:val="003C2A53"/>
    <w:rsid w:val="003C38FD"/>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0A0"/>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17CC6"/>
    <w:rsid w:val="004202DA"/>
    <w:rsid w:val="004209FA"/>
    <w:rsid w:val="00420F97"/>
    <w:rsid w:val="00421070"/>
    <w:rsid w:val="0042267D"/>
    <w:rsid w:val="00423C93"/>
    <w:rsid w:val="00424FC7"/>
    <w:rsid w:val="0042518B"/>
    <w:rsid w:val="00425E05"/>
    <w:rsid w:val="004276D6"/>
    <w:rsid w:val="004311F1"/>
    <w:rsid w:val="0043133A"/>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512C"/>
    <w:rsid w:val="00446023"/>
    <w:rsid w:val="00446679"/>
    <w:rsid w:val="00446FA2"/>
    <w:rsid w:val="00450B55"/>
    <w:rsid w:val="00451D93"/>
    <w:rsid w:val="0045218B"/>
    <w:rsid w:val="0045230F"/>
    <w:rsid w:val="00452482"/>
    <w:rsid w:val="00452D1F"/>
    <w:rsid w:val="00453C66"/>
    <w:rsid w:val="004547FB"/>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5FA7"/>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E064B"/>
    <w:rsid w:val="004E0B14"/>
    <w:rsid w:val="004E1781"/>
    <w:rsid w:val="004E18FA"/>
    <w:rsid w:val="004E21DD"/>
    <w:rsid w:val="004E23BB"/>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6FA8"/>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43A6"/>
    <w:rsid w:val="005450C7"/>
    <w:rsid w:val="00545E75"/>
    <w:rsid w:val="00546B5B"/>
    <w:rsid w:val="00546C88"/>
    <w:rsid w:val="00547C44"/>
    <w:rsid w:val="00550716"/>
    <w:rsid w:val="005510BB"/>
    <w:rsid w:val="00551E5D"/>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6A1D"/>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02CC"/>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06"/>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3813"/>
    <w:rsid w:val="005E40EB"/>
    <w:rsid w:val="005E564A"/>
    <w:rsid w:val="005E5B0F"/>
    <w:rsid w:val="005E69E4"/>
    <w:rsid w:val="005E6E10"/>
    <w:rsid w:val="005E6E6F"/>
    <w:rsid w:val="005E7032"/>
    <w:rsid w:val="005F11B2"/>
    <w:rsid w:val="005F1383"/>
    <w:rsid w:val="005F1A55"/>
    <w:rsid w:val="005F1CD0"/>
    <w:rsid w:val="005F1DFC"/>
    <w:rsid w:val="005F1EDE"/>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3556"/>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6776"/>
    <w:rsid w:val="00636ACC"/>
    <w:rsid w:val="00636B8B"/>
    <w:rsid w:val="00637B21"/>
    <w:rsid w:val="00640C77"/>
    <w:rsid w:val="00641E8A"/>
    <w:rsid w:val="00642050"/>
    <w:rsid w:val="0064248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28A4"/>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3CE"/>
    <w:rsid w:val="00682698"/>
    <w:rsid w:val="006829D0"/>
    <w:rsid w:val="006841AC"/>
    <w:rsid w:val="00684AA7"/>
    <w:rsid w:val="00684FFB"/>
    <w:rsid w:val="00685302"/>
    <w:rsid w:val="006859EC"/>
    <w:rsid w:val="00685A5E"/>
    <w:rsid w:val="0068612B"/>
    <w:rsid w:val="006865B8"/>
    <w:rsid w:val="00687CA7"/>
    <w:rsid w:val="0069012A"/>
    <w:rsid w:val="00690219"/>
    <w:rsid w:val="00690457"/>
    <w:rsid w:val="00690DCE"/>
    <w:rsid w:val="00691C15"/>
    <w:rsid w:val="00691C70"/>
    <w:rsid w:val="00692E1F"/>
    <w:rsid w:val="006944AF"/>
    <w:rsid w:val="006974EA"/>
    <w:rsid w:val="006A04F3"/>
    <w:rsid w:val="006A0C99"/>
    <w:rsid w:val="006A223A"/>
    <w:rsid w:val="006A2D7E"/>
    <w:rsid w:val="006A4644"/>
    <w:rsid w:val="006A4912"/>
    <w:rsid w:val="006A51D1"/>
    <w:rsid w:val="006A579A"/>
    <w:rsid w:val="006A66EF"/>
    <w:rsid w:val="006A6E21"/>
    <w:rsid w:val="006A6F75"/>
    <w:rsid w:val="006B1537"/>
    <w:rsid w:val="006B25E3"/>
    <w:rsid w:val="006B33AA"/>
    <w:rsid w:val="006B4684"/>
    <w:rsid w:val="006B48D4"/>
    <w:rsid w:val="006B4938"/>
    <w:rsid w:val="006B4B61"/>
    <w:rsid w:val="006B51DE"/>
    <w:rsid w:val="006B5511"/>
    <w:rsid w:val="006B5673"/>
    <w:rsid w:val="006B6E18"/>
    <w:rsid w:val="006B6EAE"/>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C7510"/>
    <w:rsid w:val="006D022A"/>
    <w:rsid w:val="006D0FEF"/>
    <w:rsid w:val="006D1CDF"/>
    <w:rsid w:val="006D2765"/>
    <w:rsid w:val="006D5008"/>
    <w:rsid w:val="006D5289"/>
    <w:rsid w:val="006D5839"/>
    <w:rsid w:val="006D7481"/>
    <w:rsid w:val="006E1893"/>
    <w:rsid w:val="006E2241"/>
    <w:rsid w:val="006E278A"/>
    <w:rsid w:val="006E41D5"/>
    <w:rsid w:val="006E4724"/>
    <w:rsid w:val="006E5944"/>
    <w:rsid w:val="006E642A"/>
    <w:rsid w:val="006E6FAB"/>
    <w:rsid w:val="006E7640"/>
    <w:rsid w:val="006E773C"/>
    <w:rsid w:val="006E78D0"/>
    <w:rsid w:val="006F0A1A"/>
    <w:rsid w:val="006F0DFB"/>
    <w:rsid w:val="006F1876"/>
    <w:rsid w:val="006F21FF"/>
    <w:rsid w:val="006F2CCA"/>
    <w:rsid w:val="006F333A"/>
    <w:rsid w:val="006F47BD"/>
    <w:rsid w:val="006F4E16"/>
    <w:rsid w:val="006F596E"/>
    <w:rsid w:val="006F7B89"/>
    <w:rsid w:val="0070005E"/>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03"/>
    <w:rsid w:val="007508DC"/>
    <w:rsid w:val="00750C8C"/>
    <w:rsid w:val="0075165F"/>
    <w:rsid w:val="00751AA6"/>
    <w:rsid w:val="00751DE9"/>
    <w:rsid w:val="00752D4E"/>
    <w:rsid w:val="007531EE"/>
    <w:rsid w:val="00753731"/>
    <w:rsid w:val="0075442F"/>
    <w:rsid w:val="00754BB9"/>
    <w:rsid w:val="00755320"/>
    <w:rsid w:val="00755832"/>
    <w:rsid w:val="00756178"/>
    <w:rsid w:val="007572B1"/>
    <w:rsid w:val="007573E6"/>
    <w:rsid w:val="00757D8D"/>
    <w:rsid w:val="0076023E"/>
    <w:rsid w:val="00760B88"/>
    <w:rsid w:val="0076157A"/>
    <w:rsid w:val="007626F9"/>
    <w:rsid w:val="00762A12"/>
    <w:rsid w:val="00762CC7"/>
    <w:rsid w:val="00762F0A"/>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5363"/>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CE5"/>
    <w:rsid w:val="00802F22"/>
    <w:rsid w:val="00803532"/>
    <w:rsid w:val="00805564"/>
    <w:rsid w:val="0080698D"/>
    <w:rsid w:val="00807D38"/>
    <w:rsid w:val="008110AF"/>
    <w:rsid w:val="00811577"/>
    <w:rsid w:val="00811700"/>
    <w:rsid w:val="00811D53"/>
    <w:rsid w:val="00813691"/>
    <w:rsid w:val="00813721"/>
    <w:rsid w:val="0081391B"/>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026E"/>
    <w:rsid w:val="0084129C"/>
    <w:rsid w:val="00841849"/>
    <w:rsid w:val="00841AFF"/>
    <w:rsid w:val="00842806"/>
    <w:rsid w:val="00843D80"/>
    <w:rsid w:val="0084453F"/>
    <w:rsid w:val="008456EC"/>
    <w:rsid w:val="008458D9"/>
    <w:rsid w:val="0084595E"/>
    <w:rsid w:val="00845CB1"/>
    <w:rsid w:val="00847F9C"/>
    <w:rsid w:val="00850624"/>
    <w:rsid w:val="008508AB"/>
    <w:rsid w:val="008508E8"/>
    <w:rsid w:val="00851440"/>
    <w:rsid w:val="00851B3E"/>
    <w:rsid w:val="008541C6"/>
    <w:rsid w:val="00854453"/>
    <w:rsid w:val="008546EA"/>
    <w:rsid w:val="00854795"/>
    <w:rsid w:val="00854B7E"/>
    <w:rsid w:val="00855F38"/>
    <w:rsid w:val="008565AE"/>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0C8D"/>
    <w:rsid w:val="00871715"/>
    <w:rsid w:val="00872242"/>
    <w:rsid w:val="0087353B"/>
    <w:rsid w:val="008735ED"/>
    <w:rsid w:val="00873FBF"/>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362D"/>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1281"/>
    <w:rsid w:val="008D21DC"/>
    <w:rsid w:val="008D428C"/>
    <w:rsid w:val="008D45B9"/>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71F"/>
    <w:rsid w:val="00904A75"/>
    <w:rsid w:val="00905223"/>
    <w:rsid w:val="00905546"/>
    <w:rsid w:val="00906530"/>
    <w:rsid w:val="00906A7E"/>
    <w:rsid w:val="00910B8D"/>
    <w:rsid w:val="0091152A"/>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1FD2"/>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A61"/>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181"/>
    <w:rsid w:val="009A0442"/>
    <w:rsid w:val="009A0793"/>
    <w:rsid w:val="009A1ABD"/>
    <w:rsid w:val="009A1C84"/>
    <w:rsid w:val="009A2115"/>
    <w:rsid w:val="009A21AF"/>
    <w:rsid w:val="009A284D"/>
    <w:rsid w:val="009A3A89"/>
    <w:rsid w:val="009A3AF3"/>
    <w:rsid w:val="009A4B86"/>
    <w:rsid w:val="009A4CAD"/>
    <w:rsid w:val="009A6D7A"/>
    <w:rsid w:val="009A7C42"/>
    <w:rsid w:val="009B0A7E"/>
    <w:rsid w:val="009B57D6"/>
    <w:rsid w:val="009B5B0F"/>
    <w:rsid w:val="009B71BC"/>
    <w:rsid w:val="009B720E"/>
    <w:rsid w:val="009C0C1B"/>
    <w:rsid w:val="009C17B3"/>
    <w:rsid w:val="009C2E16"/>
    <w:rsid w:val="009C3A4A"/>
    <w:rsid w:val="009C513E"/>
    <w:rsid w:val="009C65C6"/>
    <w:rsid w:val="009C6EDF"/>
    <w:rsid w:val="009D0321"/>
    <w:rsid w:val="009D0EBD"/>
    <w:rsid w:val="009D0FB6"/>
    <w:rsid w:val="009D3782"/>
    <w:rsid w:val="009D3857"/>
    <w:rsid w:val="009D397A"/>
    <w:rsid w:val="009D3E6F"/>
    <w:rsid w:val="009D4B5A"/>
    <w:rsid w:val="009D51EB"/>
    <w:rsid w:val="009D6598"/>
    <w:rsid w:val="009D665F"/>
    <w:rsid w:val="009D778D"/>
    <w:rsid w:val="009D7D22"/>
    <w:rsid w:val="009E0EBE"/>
    <w:rsid w:val="009E146B"/>
    <w:rsid w:val="009E160E"/>
    <w:rsid w:val="009E2CBF"/>
    <w:rsid w:val="009E2EA6"/>
    <w:rsid w:val="009E395D"/>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938"/>
    <w:rsid w:val="00A10B10"/>
    <w:rsid w:val="00A11032"/>
    <w:rsid w:val="00A11B34"/>
    <w:rsid w:val="00A1229C"/>
    <w:rsid w:val="00A13466"/>
    <w:rsid w:val="00A1396F"/>
    <w:rsid w:val="00A140B1"/>
    <w:rsid w:val="00A17C5D"/>
    <w:rsid w:val="00A20B5A"/>
    <w:rsid w:val="00A21295"/>
    <w:rsid w:val="00A237F0"/>
    <w:rsid w:val="00A23807"/>
    <w:rsid w:val="00A23B31"/>
    <w:rsid w:val="00A240C6"/>
    <w:rsid w:val="00A24BDE"/>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2B4B"/>
    <w:rsid w:val="00A334ED"/>
    <w:rsid w:val="00A33E4E"/>
    <w:rsid w:val="00A34543"/>
    <w:rsid w:val="00A358DA"/>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6B6C"/>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7DD"/>
    <w:rsid w:val="00A63B5A"/>
    <w:rsid w:val="00A65FBA"/>
    <w:rsid w:val="00A65FE8"/>
    <w:rsid w:val="00A66BB4"/>
    <w:rsid w:val="00A66FA9"/>
    <w:rsid w:val="00A6704E"/>
    <w:rsid w:val="00A67785"/>
    <w:rsid w:val="00A677C0"/>
    <w:rsid w:val="00A707AF"/>
    <w:rsid w:val="00A70AAB"/>
    <w:rsid w:val="00A70B51"/>
    <w:rsid w:val="00A714BE"/>
    <w:rsid w:val="00A7150F"/>
    <w:rsid w:val="00A7231B"/>
    <w:rsid w:val="00A72F31"/>
    <w:rsid w:val="00A738D7"/>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66C7"/>
    <w:rsid w:val="00A86D19"/>
    <w:rsid w:val="00A86F83"/>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C7D"/>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736"/>
    <w:rsid w:val="00AE1891"/>
    <w:rsid w:val="00AE1989"/>
    <w:rsid w:val="00AE2CA9"/>
    <w:rsid w:val="00AE7837"/>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4ED"/>
    <w:rsid w:val="00B10682"/>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450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AD3"/>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65D9"/>
    <w:rsid w:val="00B8706D"/>
    <w:rsid w:val="00B876A8"/>
    <w:rsid w:val="00B90BAD"/>
    <w:rsid w:val="00B91A84"/>
    <w:rsid w:val="00B92EA9"/>
    <w:rsid w:val="00B930DF"/>
    <w:rsid w:val="00B94BDF"/>
    <w:rsid w:val="00B95D9E"/>
    <w:rsid w:val="00B96197"/>
    <w:rsid w:val="00B963E0"/>
    <w:rsid w:val="00B966EE"/>
    <w:rsid w:val="00B967D8"/>
    <w:rsid w:val="00B96C45"/>
    <w:rsid w:val="00BA0015"/>
    <w:rsid w:val="00BA06B9"/>
    <w:rsid w:val="00BA3339"/>
    <w:rsid w:val="00BA3CAD"/>
    <w:rsid w:val="00BA47D3"/>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5D0D"/>
    <w:rsid w:val="00BC6B91"/>
    <w:rsid w:val="00BC776D"/>
    <w:rsid w:val="00BD01CA"/>
    <w:rsid w:val="00BD0245"/>
    <w:rsid w:val="00BD040A"/>
    <w:rsid w:val="00BD057D"/>
    <w:rsid w:val="00BD05D7"/>
    <w:rsid w:val="00BD0770"/>
    <w:rsid w:val="00BD1088"/>
    <w:rsid w:val="00BD182A"/>
    <w:rsid w:val="00BD2CDD"/>
    <w:rsid w:val="00BD30BB"/>
    <w:rsid w:val="00BD3BD1"/>
    <w:rsid w:val="00BD3EE3"/>
    <w:rsid w:val="00BD5005"/>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979"/>
    <w:rsid w:val="00C13E62"/>
    <w:rsid w:val="00C14147"/>
    <w:rsid w:val="00C1436C"/>
    <w:rsid w:val="00C16CDA"/>
    <w:rsid w:val="00C1703B"/>
    <w:rsid w:val="00C17B2D"/>
    <w:rsid w:val="00C200A2"/>
    <w:rsid w:val="00C21B85"/>
    <w:rsid w:val="00C220E3"/>
    <w:rsid w:val="00C232FD"/>
    <w:rsid w:val="00C2363C"/>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0AC7"/>
    <w:rsid w:val="00C41138"/>
    <w:rsid w:val="00C41DC0"/>
    <w:rsid w:val="00C42B89"/>
    <w:rsid w:val="00C42CF5"/>
    <w:rsid w:val="00C43E52"/>
    <w:rsid w:val="00C4470B"/>
    <w:rsid w:val="00C46FCB"/>
    <w:rsid w:val="00C471EA"/>
    <w:rsid w:val="00C474DD"/>
    <w:rsid w:val="00C47F77"/>
    <w:rsid w:val="00C504E0"/>
    <w:rsid w:val="00C51B61"/>
    <w:rsid w:val="00C51E69"/>
    <w:rsid w:val="00C54081"/>
    <w:rsid w:val="00C54E63"/>
    <w:rsid w:val="00C552A8"/>
    <w:rsid w:val="00C55F54"/>
    <w:rsid w:val="00C56D9E"/>
    <w:rsid w:val="00C5789B"/>
    <w:rsid w:val="00C5792E"/>
    <w:rsid w:val="00C57E0E"/>
    <w:rsid w:val="00C62064"/>
    <w:rsid w:val="00C630CA"/>
    <w:rsid w:val="00C63F71"/>
    <w:rsid w:val="00C65459"/>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61D"/>
    <w:rsid w:val="00CA2FAC"/>
    <w:rsid w:val="00CA3255"/>
    <w:rsid w:val="00CA392D"/>
    <w:rsid w:val="00CA3F94"/>
    <w:rsid w:val="00CA518F"/>
    <w:rsid w:val="00CA5720"/>
    <w:rsid w:val="00CA5D60"/>
    <w:rsid w:val="00CB071C"/>
    <w:rsid w:val="00CB09E1"/>
    <w:rsid w:val="00CB0CC4"/>
    <w:rsid w:val="00CB24DA"/>
    <w:rsid w:val="00CB2665"/>
    <w:rsid w:val="00CB2828"/>
    <w:rsid w:val="00CB2A30"/>
    <w:rsid w:val="00CB2C4D"/>
    <w:rsid w:val="00CB2EB7"/>
    <w:rsid w:val="00CB2F85"/>
    <w:rsid w:val="00CB3E4D"/>
    <w:rsid w:val="00CB4580"/>
    <w:rsid w:val="00CB4C41"/>
    <w:rsid w:val="00CB620F"/>
    <w:rsid w:val="00CB66FB"/>
    <w:rsid w:val="00CB68A5"/>
    <w:rsid w:val="00CB7462"/>
    <w:rsid w:val="00CB7641"/>
    <w:rsid w:val="00CB7A1B"/>
    <w:rsid w:val="00CB7D95"/>
    <w:rsid w:val="00CC0478"/>
    <w:rsid w:val="00CC05B7"/>
    <w:rsid w:val="00CC12B0"/>
    <w:rsid w:val="00CC151E"/>
    <w:rsid w:val="00CC251C"/>
    <w:rsid w:val="00CC2651"/>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87"/>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0B9"/>
    <w:rsid w:val="00D118BA"/>
    <w:rsid w:val="00D12811"/>
    <w:rsid w:val="00D136F9"/>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CAD"/>
    <w:rsid w:val="00D30F71"/>
    <w:rsid w:val="00D318A3"/>
    <w:rsid w:val="00D324D5"/>
    <w:rsid w:val="00D32D91"/>
    <w:rsid w:val="00D330F2"/>
    <w:rsid w:val="00D33224"/>
    <w:rsid w:val="00D3524C"/>
    <w:rsid w:val="00D3550C"/>
    <w:rsid w:val="00D35BF4"/>
    <w:rsid w:val="00D36169"/>
    <w:rsid w:val="00D36B52"/>
    <w:rsid w:val="00D36BCE"/>
    <w:rsid w:val="00D3707E"/>
    <w:rsid w:val="00D37ABF"/>
    <w:rsid w:val="00D40A1E"/>
    <w:rsid w:val="00D41235"/>
    <w:rsid w:val="00D41499"/>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234"/>
    <w:rsid w:val="00D92308"/>
    <w:rsid w:val="00D92A7D"/>
    <w:rsid w:val="00D94850"/>
    <w:rsid w:val="00D960A7"/>
    <w:rsid w:val="00D9678B"/>
    <w:rsid w:val="00D9684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8B"/>
    <w:rsid w:val="00DD50D0"/>
    <w:rsid w:val="00DD53BA"/>
    <w:rsid w:val="00DD6326"/>
    <w:rsid w:val="00DD74B9"/>
    <w:rsid w:val="00DD7EE0"/>
    <w:rsid w:val="00DE0381"/>
    <w:rsid w:val="00DE03BF"/>
    <w:rsid w:val="00DE130F"/>
    <w:rsid w:val="00DE3826"/>
    <w:rsid w:val="00DE6A04"/>
    <w:rsid w:val="00DF231F"/>
    <w:rsid w:val="00DF2C4C"/>
    <w:rsid w:val="00DF3456"/>
    <w:rsid w:val="00DF3B1B"/>
    <w:rsid w:val="00DF4C7E"/>
    <w:rsid w:val="00DF4CC8"/>
    <w:rsid w:val="00DF4FB5"/>
    <w:rsid w:val="00DF57B5"/>
    <w:rsid w:val="00DF5977"/>
    <w:rsid w:val="00DF6613"/>
    <w:rsid w:val="00DF6AE8"/>
    <w:rsid w:val="00DF7BAE"/>
    <w:rsid w:val="00E00141"/>
    <w:rsid w:val="00E005CF"/>
    <w:rsid w:val="00E01B8A"/>
    <w:rsid w:val="00E02319"/>
    <w:rsid w:val="00E036EB"/>
    <w:rsid w:val="00E0379C"/>
    <w:rsid w:val="00E03E2B"/>
    <w:rsid w:val="00E0459A"/>
    <w:rsid w:val="00E045E2"/>
    <w:rsid w:val="00E04F9D"/>
    <w:rsid w:val="00E05654"/>
    <w:rsid w:val="00E06265"/>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CCD"/>
    <w:rsid w:val="00E27E0F"/>
    <w:rsid w:val="00E27EE5"/>
    <w:rsid w:val="00E30C04"/>
    <w:rsid w:val="00E30C5D"/>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6F35"/>
    <w:rsid w:val="00E57E26"/>
    <w:rsid w:val="00E57F75"/>
    <w:rsid w:val="00E60FA7"/>
    <w:rsid w:val="00E61657"/>
    <w:rsid w:val="00E616D0"/>
    <w:rsid w:val="00E61C6A"/>
    <w:rsid w:val="00E6299D"/>
    <w:rsid w:val="00E62BE8"/>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149"/>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324"/>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653"/>
    <w:rsid w:val="00ED0F5A"/>
    <w:rsid w:val="00ED1380"/>
    <w:rsid w:val="00ED41C8"/>
    <w:rsid w:val="00ED5525"/>
    <w:rsid w:val="00ED669C"/>
    <w:rsid w:val="00ED7AF6"/>
    <w:rsid w:val="00EE0645"/>
    <w:rsid w:val="00EE08F2"/>
    <w:rsid w:val="00EE1375"/>
    <w:rsid w:val="00EE2231"/>
    <w:rsid w:val="00EE2730"/>
    <w:rsid w:val="00EE2D57"/>
    <w:rsid w:val="00EE3976"/>
    <w:rsid w:val="00EE4534"/>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540"/>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1A5F"/>
    <w:rsid w:val="00F4202F"/>
    <w:rsid w:val="00F427B9"/>
    <w:rsid w:val="00F427C5"/>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B9B"/>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4EF1"/>
    <w:rsid w:val="00F7577B"/>
    <w:rsid w:val="00F801FA"/>
    <w:rsid w:val="00F803E1"/>
    <w:rsid w:val="00F80E61"/>
    <w:rsid w:val="00F81D3F"/>
    <w:rsid w:val="00F824F5"/>
    <w:rsid w:val="00F82A51"/>
    <w:rsid w:val="00F82D85"/>
    <w:rsid w:val="00F8419F"/>
    <w:rsid w:val="00F84FDE"/>
    <w:rsid w:val="00F8538C"/>
    <w:rsid w:val="00F8583F"/>
    <w:rsid w:val="00F8599E"/>
    <w:rsid w:val="00F87331"/>
    <w:rsid w:val="00F8783E"/>
    <w:rsid w:val="00F87862"/>
    <w:rsid w:val="00F9124C"/>
    <w:rsid w:val="00F91E5E"/>
    <w:rsid w:val="00F92311"/>
    <w:rsid w:val="00F927DC"/>
    <w:rsid w:val="00F92DAE"/>
    <w:rsid w:val="00F92EAC"/>
    <w:rsid w:val="00F93B1F"/>
    <w:rsid w:val="00F970B8"/>
    <w:rsid w:val="00F9727B"/>
    <w:rsid w:val="00FA0870"/>
    <w:rsid w:val="00FA0DEF"/>
    <w:rsid w:val="00FA0EF4"/>
    <w:rsid w:val="00FA10C0"/>
    <w:rsid w:val="00FA110F"/>
    <w:rsid w:val="00FA1223"/>
    <w:rsid w:val="00FA1E9A"/>
    <w:rsid w:val="00FA4521"/>
    <w:rsid w:val="00FA4C98"/>
    <w:rsid w:val="00FA5ECF"/>
    <w:rsid w:val="00FA6D50"/>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4AE"/>
    <w:rsid w:val="00FC5A15"/>
    <w:rsid w:val="00FC5B49"/>
    <w:rsid w:val="00FC615D"/>
    <w:rsid w:val="00FC6406"/>
    <w:rsid w:val="00FC7702"/>
    <w:rsid w:val="00FC7AD7"/>
    <w:rsid w:val="00FD00E2"/>
    <w:rsid w:val="00FD0FFB"/>
    <w:rsid w:val="00FD1561"/>
    <w:rsid w:val="00FD17FE"/>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042"/>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18"/>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7"/>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4"/>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5"/>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 w:type="character" w:customStyle="1" w:styleId="ParanumberedChar">
    <w:name w:val="Para numbered Char"/>
    <w:basedOn w:val="DefaultParagraphFont"/>
    <w:link w:val="Paranumbered"/>
    <w:locked/>
    <w:rsid w:val="000D7FC6"/>
  </w:style>
  <w:style w:type="paragraph" w:customStyle="1" w:styleId="Paranumbered">
    <w:name w:val="Para numbered"/>
    <w:basedOn w:val="Normal"/>
    <w:link w:val="ParanumberedChar"/>
    <w:rsid w:val="000D7FC6"/>
    <w:pPr>
      <w:spacing w:before="200" w:after="200"/>
      <w:ind w:left="720" w:hanging="720"/>
      <w:jc w:val="both"/>
    </w:pPr>
    <w:rPr>
      <w:rFonts w:ascii="Times New Roman" w:hAnsi="Times New Roman"/>
      <w:lang w:val="en-IE" w:eastAsia="en-IE" w:bidi="ar-SA"/>
    </w:rPr>
  </w:style>
  <w:style w:type="character" w:styleId="UnresolvedMention">
    <w:name w:val="Unresolved Mention"/>
    <w:basedOn w:val="DefaultParagraphFont"/>
    <w:uiPriority w:val="99"/>
    <w:semiHidden/>
    <w:unhideWhenUsed/>
    <w:rsid w:val="001719C1"/>
    <w:rPr>
      <w:color w:val="605E5C"/>
      <w:shd w:val="clear" w:color="auto" w:fill="E1DFDD"/>
    </w:rPr>
  </w:style>
  <w:style w:type="character" w:customStyle="1" w:styleId="CERSection7CharChar">
    <w:name w:val="CERSection7 Char Char"/>
    <w:basedOn w:val="DefaultParagraphFont"/>
    <w:link w:val="CERSection7Char"/>
    <w:locked/>
    <w:rsid w:val="005902CC"/>
    <w:rPr>
      <w:rFonts w:ascii="Arial" w:hAnsi="Arial" w:cs="Arial"/>
      <w:color w:val="000000"/>
      <w:lang w:val="en-GB"/>
    </w:rPr>
  </w:style>
  <w:style w:type="paragraph" w:customStyle="1" w:styleId="CERSection7Char">
    <w:name w:val="CERSection7 Char"/>
    <w:basedOn w:val="Normal"/>
    <w:next w:val="Normal"/>
    <w:link w:val="CERSection7CharChar"/>
    <w:rsid w:val="005902CC"/>
    <w:pPr>
      <w:spacing w:before="120" w:after="120" w:line="240" w:lineRule="auto"/>
      <w:ind w:left="1680" w:hanging="829"/>
      <w:jc w:val="both"/>
    </w:pPr>
    <w:rPr>
      <w:rFonts w:cs="Arial"/>
      <w:color w:val="000000"/>
      <w:lang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80236">
      <w:bodyDiv w:val="1"/>
      <w:marLeft w:val="0"/>
      <w:marRight w:val="0"/>
      <w:marTop w:val="0"/>
      <w:marBottom w:val="0"/>
      <w:divBdr>
        <w:top w:val="none" w:sz="0" w:space="0" w:color="auto"/>
        <w:left w:val="none" w:sz="0" w:space="0" w:color="auto"/>
        <w:bottom w:val="none" w:sz="0" w:space="0" w:color="auto"/>
        <w:right w:val="none" w:sz="0" w:space="0" w:color="auto"/>
      </w:divBdr>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05863106">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m-o.com/documents/market-modifications/Mod_05_22/Mod_05_22SEMOPerformanceReportingFrequen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m-o.com/rules-and-modifications/balancing-market-modifications/market-rules/TSC-Part-B.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lancing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9" ma:contentTypeDescription="Create a new document." ma:contentTypeScope="" ma:versionID="91dfe5fa956fc9b8b2d036b113bf13f6">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5ad1c82b5e485ce6fb2916fce0dd0c0"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element ref="ns3:Repor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enumeration value="CMC_01_21"/>
          <xsd:enumeration value="CMC_02_21"/>
          <xsd:enumeration value="CMC_03_21"/>
          <xsd:enumeration value="CMC_04_21"/>
          <xsd:enumeration value="CMC_05_21"/>
          <xsd:enumeration value="CMC_06_21"/>
          <xsd:enumeration value="CMC_07_21"/>
          <xsd:enumeration value="CMC_08_21"/>
          <xsd:enumeration value="CMC_09_21"/>
          <xsd:enumeration value="CMC_10_21"/>
          <xsd:enumeration value="CMC_11_21"/>
          <xsd:enumeration value="MOD_01_21"/>
          <xsd:enumeration value="MOD_02_21"/>
          <xsd:enumeration value="MOD_03_21"/>
          <xsd:enumeration value="MOD_04_21"/>
          <xsd:enumeration value="MOD_05_21"/>
          <xsd:enumeration value="MOD_06_21"/>
          <xsd:enumeration value="MOD_07_21"/>
          <xsd:enumeration value="MOD_08_21"/>
          <xsd:enumeration value="MOD_09_21"/>
          <xsd:enumeration value="MOD_10_21"/>
          <xsd:enumeration value="MOD_11_21"/>
          <xsd:enumeration value="MOD_12_21"/>
          <xsd:enumeration value="MOD_13_21"/>
          <xsd:enumeration value="MOD_14_21"/>
          <xsd:enumeration value="MOD_15_21"/>
          <xsd:enumeration value="MOD_16_21"/>
          <xsd:enumeration value="Mod_17_21"/>
          <xsd:enumeration value="Mod_18_21"/>
          <xsd:enumeration value="Mod_19_21"/>
          <xsd:enumeration value="Mod_20_21"/>
          <xsd:enumeration value="Mod_21_21"/>
          <xsd:enumeration value="Mod_22_21"/>
          <xsd:enumeration value="Mod_23_21"/>
          <xsd:enumeration value="Mod_24_21"/>
          <xsd:enumeration value="Mod_25_21"/>
          <xsd:enumeration value="SPX_01_21"/>
          <xsd:enumeration value="SPX_02_21"/>
          <xsd:enumeration value="SPX_03_21"/>
          <xsd:enumeration value="SPX_04_21"/>
          <xsd:enumeration value="SPX_05_21"/>
          <xsd:enumeration value="SPX_06_21"/>
          <xsd:enumeration value="SPX_07_21"/>
          <xsd:enumeration value="SPX_08_21"/>
          <xsd:enumeration value="SPX_09_21"/>
          <xsd:enumeration value="SPX_01_22"/>
          <xsd:enumeration value="SPX_02_22"/>
          <xsd:enumeration value="SPX_03_22"/>
          <xsd:enumeration value="SPX_04_22"/>
          <xsd:enumeration value="SPX_05_22"/>
          <xsd:enumeration value="SPX_10_21"/>
          <xsd:enumeration value="CMC_12_21"/>
          <xsd:enumeration value="CMC_13_21"/>
          <xsd:enumeration value="CMC_14_21"/>
          <xsd:enumeration value="CMC_15_21"/>
          <xsd:enumeration value="CMC_16_21"/>
          <xsd:enumeration value="CMC_17_21"/>
          <xsd:enumeration value="CMC_18_21"/>
          <xsd:enumeration value="CMC_19_21"/>
          <xsd:enumeration value="CMC_20_21"/>
          <xsd:enumeration value="CMC_01_22"/>
          <xsd:enumeration value="CMC_02_22"/>
          <xsd:enumeration value="CMC_03_22"/>
          <xsd:enumeration value="CMC_04_22"/>
          <xsd:enumeration value="CMC_05_22"/>
          <xsd:enumeration value="Mod_01_22"/>
          <xsd:enumeration value="Mod_02_22"/>
          <xsd:enumeration value="Mod_03_22"/>
          <xsd:enumeration value="Mod_04_22"/>
          <xsd:enumeration value="Mod_05_22"/>
          <xsd:enumeration value="Mod_06_22"/>
          <xsd:enumeration value="Mod_07_22"/>
          <xsd:enumeration value="Mod_08_22"/>
          <xsd:enumeration value="Mod_09_22"/>
          <xsd:enumeration value="Mod_10_22"/>
          <xsd:enumeration value="CMC_06_22"/>
          <xsd:enumeration value="CMC_07_22"/>
          <xsd:enumeration value="CMC_08_22"/>
          <xsd:enumeration value="CMC_09_22"/>
          <xsd:enumeration value="CMC_10_22"/>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enumeration value="106B"/>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element name="Report_x0020_Name" ma:index="19" nillable="true" ma:displayName="Report Name" ma:default="Balancing Capacity Market Mods Status Meeting" ma:format="Dropdown" ma:internalName="Report_x0020_Name">
      <xsd:simpleType>
        <xsd:restriction base="dms:Choice">
          <xsd:enumeration value="Balancing Capacity Market Mods Status Meeting"/>
          <xsd:enumeration value="Market Modifications Status 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Mod_05_22</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Report_x0020_Name xmlns="83dee237-e653-49f0-9104-674b0aa2bf9b">Balancing Capacity Market Mods Status Meeting</Report_x0020_Nam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521FB-A821-47D0-82CC-484CA3C74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3.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4.xml><?xml version="1.0" encoding="utf-8"?>
<ds:datastoreItem xmlns:ds="http://schemas.openxmlformats.org/officeDocument/2006/customXml" ds:itemID="{7E9ADBC7-D437-4F4F-B6C1-19670507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14669</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2022-09-02T15:39:00Z</dcterms:created>
  <dcterms:modified xsi:type="dcterms:W3CDTF">2022-09-02T15:39:00Z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