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8175F" w14:textId="77777777" w:rsidR="006D7481" w:rsidRPr="003D3D96" w:rsidRDefault="00170C1B" w:rsidP="00FA0870">
      <w:pPr>
        <w:jc w:val="center"/>
      </w:pPr>
      <w:bookmarkStart w:id="0" w:name="_GoBack"/>
      <w:bookmarkEnd w:id="0"/>
      <w:r w:rsidRPr="003D3D96">
        <w:rPr>
          <w:noProof/>
          <w:lang w:val="en-IE" w:eastAsia="en-IE" w:bidi="ar-SA"/>
        </w:rPr>
        <w:drawing>
          <wp:inline distT="0" distB="0" distL="0" distR="0" wp14:anchorId="573818A7" wp14:editId="573818A8">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2"/>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14:paraId="57381760" w14:textId="77777777" w:rsidR="006D7481" w:rsidRPr="003D3D96" w:rsidRDefault="006D7481" w:rsidP="00C1436C">
      <w:pPr>
        <w:jc w:val="right"/>
      </w:pPr>
    </w:p>
    <w:p w14:paraId="57381761" w14:textId="77777777" w:rsidR="006D7481" w:rsidRPr="003D3D96" w:rsidRDefault="006D7481" w:rsidP="00C1436C">
      <w:pPr>
        <w:pStyle w:val="SEMTitle"/>
      </w:pPr>
      <w:r w:rsidRPr="003D3D96">
        <w:t>Single Electricity Market</w:t>
      </w:r>
    </w:p>
    <w:p w14:paraId="57381762" w14:textId="77777777" w:rsidR="00425E05" w:rsidRPr="003D3D96" w:rsidRDefault="00425E05" w:rsidP="00C1436C">
      <w:pPr>
        <w:pStyle w:val="SEMTitle"/>
      </w:pPr>
    </w:p>
    <w:p w14:paraId="57381763" w14:textId="77777777"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D2B54" w:rsidRPr="003D3D96" w14:paraId="57381769" w14:textId="77777777">
        <w:tc>
          <w:tcPr>
            <w:tcW w:w="5000" w:type="pct"/>
            <w:shd w:val="clear" w:color="auto" w:fill="666699"/>
          </w:tcPr>
          <w:p w14:paraId="57381764" w14:textId="77777777" w:rsidR="00A572DA" w:rsidRPr="003D3D96" w:rsidRDefault="00FE4D93" w:rsidP="000401DA">
            <w:pPr>
              <w:pStyle w:val="DocTitle"/>
            </w:pPr>
            <w:r w:rsidRPr="003D3D96">
              <w:t>Final REcommendation Report</w:t>
            </w:r>
          </w:p>
          <w:p w14:paraId="57381765" w14:textId="77777777" w:rsidR="000401DA" w:rsidRDefault="000401DA" w:rsidP="000401DA">
            <w:pPr>
              <w:pStyle w:val="DocTitle"/>
            </w:pPr>
          </w:p>
          <w:p w14:paraId="57381766" w14:textId="1ED5F564" w:rsidR="001D4616" w:rsidRDefault="000C4F3B" w:rsidP="000401DA">
            <w:pPr>
              <w:pStyle w:val="DocTitle"/>
            </w:pPr>
            <w:r w:rsidRPr="003D3D96">
              <w:t>Mod_</w:t>
            </w:r>
            <w:r w:rsidR="005C3160">
              <w:t>12_19 system service flags for demand site units</w:t>
            </w:r>
          </w:p>
          <w:p w14:paraId="57381767" w14:textId="77777777" w:rsidR="000401DA" w:rsidRPr="003D3D96" w:rsidRDefault="000401DA" w:rsidP="000401DA">
            <w:pPr>
              <w:pStyle w:val="DocTitle"/>
            </w:pPr>
          </w:p>
          <w:p w14:paraId="57381768" w14:textId="12541F0F" w:rsidR="00A572DA" w:rsidRPr="003D3D96" w:rsidRDefault="00C02C23" w:rsidP="000401DA">
            <w:pPr>
              <w:pStyle w:val="DocTitle"/>
              <w:tabs>
                <w:tab w:val="center" w:pos="4771"/>
                <w:tab w:val="left" w:pos="6570"/>
              </w:tabs>
            </w:pPr>
            <w:r>
              <w:t>06 September</w:t>
            </w:r>
            <w:r w:rsidR="00D20EB6">
              <w:t xml:space="preserve"> 2019</w:t>
            </w:r>
          </w:p>
        </w:tc>
      </w:tr>
    </w:tbl>
    <w:p w14:paraId="5738176A" w14:textId="77777777" w:rsidR="00E5234A" w:rsidRPr="003D3D96" w:rsidRDefault="00E5234A" w:rsidP="00F03E8D">
      <w:pPr>
        <w:pBdr>
          <w:bottom w:val="single" w:sz="12" w:space="1" w:color="auto"/>
        </w:pBdr>
        <w:rPr>
          <w:rStyle w:val="TableText"/>
        </w:rPr>
      </w:pPr>
    </w:p>
    <w:p w14:paraId="5738176B" w14:textId="77777777" w:rsidR="00E5234A" w:rsidRPr="003D3D96" w:rsidRDefault="00E5234A" w:rsidP="00F03E8D">
      <w:pPr>
        <w:pBdr>
          <w:bottom w:val="single" w:sz="12" w:space="1" w:color="auto"/>
        </w:pBdr>
        <w:rPr>
          <w:rStyle w:val="TableText"/>
        </w:rPr>
      </w:pPr>
    </w:p>
    <w:p w14:paraId="5738176C" w14:textId="77777777" w:rsidR="00425E05" w:rsidRPr="003D3D96" w:rsidRDefault="00425E05" w:rsidP="00F03E8D">
      <w:pPr>
        <w:pBdr>
          <w:bottom w:val="single" w:sz="12" w:space="1" w:color="auto"/>
        </w:pBdr>
        <w:rPr>
          <w:rStyle w:val="TableText"/>
        </w:rPr>
      </w:pPr>
    </w:p>
    <w:p w14:paraId="5738176D" w14:textId="77777777" w:rsidR="00425E05" w:rsidRPr="003D3D96" w:rsidRDefault="00425E05" w:rsidP="00F03E8D">
      <w:pPr>
        <w:pBdr>
          <w:bottom w:val="single" w:sz="12" w:space="1" w:color="auto"/>
        </w:pBdr>
        <w:rPr>
          <w:rStyle w:val="TableText"/>
        </w:rPr>
      </w:pPr>
    </w:p>
    <w:p w14:paraId="5738176E" w14:textId="77777777" w:rsidR="00E5234A" w:rsidRPr="003D3D96" w:rsidRDefault="00E5234A" w:rsidP="00F03E8D">
      <w:pPr>
        <w:pBdr>
          <w:bottom w:val="single" w:sz="12" w:space="1" w:color="auto"/>
        </w:pBdr>
        <w:rPr>
          <w:rStyle w:val="TableText"/>
        </w:rPr>
      </w:pPr>
    </w:p>
    <w:p w14:paraId="5738176F" w14:textId="77777777" w:rsidR="00DD2B54" w:rsidRPr="003D3D96" w:rsidRDefault="00DD2B54" w:rsidP="00F03E8D">
      <w:pPr>
        <w:rPr>
          <w:rStyle w:val="TableText"/>
        </w:rPr>
      </w:pPr>
    </w:p>
    <w:p w14:paraId="57381770" w14:textId="77777777" w:rsidR="006D7481" w:rsidRPr="003D3D96" w:rsidRDefault="006D7481" w:rsidP="0075165F">
      <w:pPr>
        <w:pStyle w:val="Notices"/>
        <w:rPr>
          <w:rStyle w:val="TableText"/>
        </w:rPr>
      </w:pPr>
      <w:r w:rsidRPr="003D3D96">
        <w:rPr>
          <w:rStyle w:val="TableText"/>
        </w:rPr>
        <w:t>COPYRIGHT NOTICE</w:t>
      </w:r>
    </w:p>
    <w:p w14:paraId="57381771" w14:textId="77777777" w:rsidR="006D7481" w:rsidRPr="003D3D96" w:rsidRDefault="006D7481" w:rsidP="0075165F">
      <w:pPr>
        <w:pStyle w:val="Notices"/>
        <w:rPr>
          <w:rStyle w:val="TableText"/>
        </w:rPr>
      </w:pPr>
      <w:bookmarkStart w:id="1" w:name="_DV_M7"/>
      <w:bookmarkEnd w:id="1"/>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3D3D96">
        <w:rPr>
          <w:rStyle w:val="TableText"/>
        </w:rPr>
        <w:t>EirGrid plc and SONI Limited.</w:t>
      </w:r>
      <w:bookmarkEnd w:id="2"/>
    </w:p>
    <w:p w14:paraId="57381772" w14:textId="77777777" w:rsidR="000D3C67" w:rsidRPr="003D3D96" w:rsidRDefault="000D3C67" w:rsidP="0075165F">
      <w:pPr>
        <w:pStyle w:val="Notices"/>
        <w:rPr>
          <w:rStyle w:val="TableText"/>
        </w:rPr>
      </w:pPr>
    </w:p>
    <w:p w14:paraId="57381773" w14:textId="77777777" w:rsidR="006D7481" w:rsidRPr="003D3D96" w:rsidRDefault="006D7481" w:rsidP="0075165F">
      <w:pPr>
        <w:pStyle w:val="Notices"/>
        <w:rPr>
          <w:rStyle w:val="TableText"/>
        </w:rPr>
      </w:pPr>
      <w:bookmarkStart w:id="3" w:name="_DV_C9"/>
      <w:r w:rsidRPr="003D3D96">
        <w:rPr>
          <w:rStyle w:val="TableText"/>
        </w:rPr>
        <w:t>DOCUMENT DISCLAIMER</w:t>
      </w:r>
      <w:bookmarkEnd w:id="3"/>
    </w:p>
    <w:p w14:paraId="57381774" w14:textId="77777777" w:rsidR="00A836BA" w:rsidRPr="003D3D96" w:rsidRDefault="006D7481" w:rsidP="00987EFC">
      <w:pPr>
        <w:pStyle w:val="Notices"/>
        <w:rPr>
          <w:rStyle w:val="TableText"/>
        </w:rPr>
      </w:pPr>
      <w:bookmarkStart w:id="4"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14:paraId="57381775" w14:textId="77777777"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
        <w:gridCol w:w="1360"/>
        <w:gridCol w:w="2948"/>
        <w:gridCol w:w="3625"/>
      </w:tblGrid>
      <w:tr w:rsidR="005A6C6E" w:rsidRPr="003D3D96" w14:paraId="5738177A" w14:textId="77777777" w:rsidTr="00912FE3">
        <w:trPr>
          <w:trHeight w:val="300"/>
        </w:trPr>
        <w:tc>
          <w:tcPr>
            <w:tcW w:w="514" w:type="pct"/>
            <w:shd w:val="clear" w:color="auto" w:fill="548DD4"/>
          </w:tcPr>
          <w:p w14:paraId="57381776"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69" w:type="pct"/>
            <w:shd w:val="clear" w:color="auto" w:fill="548DD4"/>
          </w:tcPr>
          <w:p w14:paraId="57381777"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667" w:type="pct"/>
            <w:shd w:val="clear" w:color="auto" w:fill="548DD4"/>
          </w:tcPr>
          <w:p w14:paraId="57381778"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14:paraId="57381779"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14:paraId="5738177F" w14:textId="77777777" w:rsidTr="00912FE3">
        <w:trPr>
          <w:trHeight w:val="300"/>
        </w:trPr>
        <w:tc>
          <w:tcPr>
            <w:tcW w:w="514" w:type="pct"/>
            <w:shd w:val="clear" w:color="auto" w:fill="auto"/>
          </w:tcPr>
          <w:p w14:paraId="5738177B" w14:textId="77777777" w:rsidR="007A6999" w:rsidRPr="003D3D96" w:rsidRDefault="003272B4" w:rsidP="00617E69">
            <w:pPr>
              <w:spacing w:before="0" w:after="0" w:line="240" w:lineRule="auto"/>
              <w:rPr>
                <w:rStyle w:val="TableText"/>
              </w:rPr>
            </w:pPr>
            <w:r w:rsidRPr="003D3D96">
              <w:rPr>
                <w:rStyle w:val="TableText"/>
              </w:rPr>
              <w:t>1.0</w:t>
            </w:r>
          </w:p>
        </w:tc>
        <w:tc>
          <w:tcPr>
            <w:tcW w:w="769" w:type="pct"/>
            <w:shd w:val="clear" w:color="auto" w:fill="auto"/>
          </w:tcPr>
          <w:p w14:paraId="5738177C" w14:textId="5EE5F618" w:rsidR="007A6999" w:rsidRPr="003D3D96" w:rsidRDefault="00C02C23" w:rsidP="00B10A0B">
            <w:pPr>
              <w:spacing w:before="0" w:after="0" w:line="240" w:lineRule="auto"/>
              <w:rPr>
                <w:rStyle w:val="TableText"/>
              </w:rPr>
            </w:pPr>
            <w:r>
              <w:rPr>
                <w:rStyle w:val="TableText"/>
              </w:rPr>
              <w:t>06 September 2019</w:t>
            </w:r>
          </w:p>
        </w:tc>
        <w:tc>
          <w:tcPr>
            <w:tcW w:w="1667" w:type="pct"/>
            <w:shd w:val="clear" w:color="auto" w:fill="auto"/>
          </w:tcPr>
          <w:p w14:paraId="5738177D" w14:textId="77777777"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5738177E" w14:textId="77777777"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14:paraId="57381784" w14:textId="77777777" w:rsidTr="00912FE3">
        <w:trPr>
          <w:trHeight w:val="450"/>
        </w:trPr>
        <w:tc>
          <w:tcPr>
            <w:tcW w:w="514" w:type="pct"/>
            <w:shd w:val="clear" w:color="auto" w:fill="auto"/>
          </w:tcPr>
          <w:p w14:paraId="57381780" w14:textId="77777777" w:rsidR="007A6999" w:rsidRPr="003D3D96" w:rsidRDefault="000F0C91" w:rsidP="005A6C6E">
            <w:pPr>
              <w:spacing w:before="0" w:after="0" w:line="240" w:lineRule="auto"/>
              <w:rPr>
                <w:rStyle w:val="TableText"/>
              </w:rPr>
            </w:pPr>
            <w:r w:rsidRPr="003D3D96">
              <w:rPr>
                <w:rStyle w:val="TableText"/>
              </w:rPr>
              <w:t>2.0</w:t>
            </w:r>
          </w:p>
        </w:tc>
        <w:tc>
          <w:tcPr>
            <w:tcW w:w="769" w:type="pct"/>
            <w:shd w:val="clear" w:color="auto" w:fill="auto"/>
          </w:tcPr>
          <w:p w14:paraId="57381781" w14:textId="528C3E0E" w:rsidR="007A6999" w:rsidRPr="003D3D96" w:rsidRDefault="00912FE3" w:rsidP="008C599B">
            <w:pPr>
              <w:spacing w:before="0" w:after="0" w:line="240" w:lineRule="auto"/>
              <w:rPr>
                <w:rStyle w:val="TableText"/>
              </w:rPr>
            </w:pPr>
            <w:r>
              <w:rPr>
                <w:rStyle w:val="TableText"/>
              </w:rPr>
              <w:t>13 September 2019</w:t>
            </w:r>
          </w:p>
        </w:tc>
        <w:tc>
          <w:tcPr>
            <w:tcW w:w="1667" w:type="pct"/>
            <w:shd w:val="clear" w:color="auto" w:fill="auto"/>
          </w:tcPr>
          <w:p w14:paraId="57381782" w14:textId="77777777"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57381783" w14:textId="77777777"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14:paraId="57381785" w14:textId="77777777" w:rsidR="003F4BC4" w:rsidRPr="003D3D96" w:rsidRDefault="003F4BC4" w:rsidP="007A6999">
      <w:pPr>
        <w:pStyle w:val="UntitledHeading"/>
        <w:rPr>
          <w:lang w:bidi="ar-SA"/>
        </w:rPr>
      </w:pPr>
    </w:p>
    <w:p w14:paraId="57381786" w14:textId="77777777"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3"/>
      </w:tblGrid>
      <w:tr w:rsidR="0017138D" w:rsidRPr="003D3D96" w14:paraId="57381788" w14:textId="77777777" w:rsidTr="007A6999">
        <w:tc>
          <w:tcPr>
            <w:tcW w:w="5000" w:type="pct"/>
            <w:shd w:val="clear" w:color="auto" w:fill="548DD4"/>
          </w:tcPr>
          <w:p w14:paraId="57381787" w14:textId="77777777"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14:paraId="5738178A" w14:textId="77777777" w:rsidTr="007840E4">
        <w:trPr>
          <w:trHeight w:val="64"/>
        </w:trPr>
        <w:tc>
          <w:tcPr>
            <w:tcW w:w="5000" w:type="pct"/>
          </w:tcPr>
          <w:p w14:paraId="57381789" w14:textId="5C51BB8F" w:rsidR="0017138D" w:rsidRPr="003D3D96" w:rsidRDefault="004E54B3" w:rsidP="005A6C6E">
            <w:pPr>
              <w:spacing w:before="0" w:after="0" w:line="240" w:lineRule="auto"/>
              <w:rPr>
                <w:rStyle w:val="TableText"/>
                <w:sz w:val="20"/>
              </w:rPr>
            </w:pPr>
            <w:hyperlink r:id="rId13" w:history="1">
              <w:r w:rsidR="00592DD4" w:rsidRPr="00592DD4">
                <w:rPr>
                  <w:rStyle w:val="Hyperlink"/>
                </w:rPr>
                <w:t>Trading and Settlement Code Part B</w:t>
              </w:r>
            </w:hyperlink>
          </w:p>
        </w:tc>
      </w:tr>
      <w:tr w:rsidR="00654CE6" w:rsidRPr="003D3D96" w14:paraId="5738178C" w14:textId="77777777" w:rsidTr="007840E4">
        <w:trPr>
          <w:trHeight w:val="64"/>
        </w:trPr>
        <w:tc>
          <w:tcPr>
            <w:tcW w:w="5000" w:type="pct"/>
          </w:tcPr>
          <w:p w14:paraId="5738178B" w14:textId="6F29E0DD" w:rsidR="00654CE6" w:rsidRPr="00FA6F14" w:rsidRDefault="004E54B3" w:rsidP="00A830EF">
            <w:pPr>
              <w:spacing w:before="0" w:after="0" w:line="240" w:lineRule="auto"/>
            </w:pPr>
            <w:hyperlink r:id="rId14" w:history="1">
              <w:r w:rsidR="00BC00C4" w:rsidRPr="00BC00C4">
                <w:rPr>
                  <w:rStyle w:val="Hyperlink"/>
                </w:rPr>
                <w:t>Modification Proposal</w:t>
              </w:r>
            </w:hyperlink>
          </w:p>
        </w:tc>
      </w:tr>
      <w:tr w:rsidR="003F4BC4" w:rsidRPr="003D3D96" w14:paraId="5738178E" w14:textId="77777777" w:rsidTr="00095CA4">
        <w:trPr>
          <w:trHeight w:val="64"/>
        </w:trPr>
        <w:tc>
          <w:tcPr>
            <w:tcW w:w="5000" w:type="pct"/>
          </w:tcPr>
          <w:p w14:paraId="5738178D" w14:textId="1A1CF87C" w:rsidR="003F4BC4" w:rsidRPr="00FA6F14" w:rsidRDefault="004E54B3" w:rsidP="003D3D96">
            <w:pPr>
              <w:spacing w:before="0" w:after="0" w:line="240" w:lineRule="auto"/>
            </w:pPr>
            <w:hyperlink r:id="rId15" w:history="1">
              <w:r w:rsidR="00BC00C4" w:rsidRPr="00BC00C4">
                <w:rPr>
                  <w:rStyle w:val="Hyperlink"/>
                </w:rPr>
                <w:t>Presentation</w:t>
              </w:r>
            </w:hyperlink>
          </w:p>
        </w:tc>
      </w:tr>
      <w:tr w:rsidR="003F4BC4" w:rsidRPr="003D3D96" w14:paraId="57381790" w14:textId="77777777" w:rsidTr="007840E4">
        <w:trPr>
          <w:trHeight w:val="64"/>
        </w:trPr>
        <w:tc>
          <w:tcPr>
            <w:tcW w:w="5000" w:type="pct"/>
          </w:tcPr>
          <w:p w14:paraId="5738178F" w14:textId="4D6C3892" w:rsidR="003F4BC4" w:rsidRPr="003D3D96" w:rsidRDefault="003F4BC4" w:rsidP="002666FA">
            <w:pPr>
              <w:spacing w:before="0" w:after="0" w:line="240" w:lineRule="auto"/>
            </w:pPr>
          </w:p>
        </w:tc>
      </w:tr>
      <w:tr w:rsidR="003F4BC4" w:rsidRPr="003D3D96" w14:paraId="57381792" w14:textId="77777777" w:rsidTr="007840E4">
        <w:trPr>
          <w:trHeight w:val="64"/>
        </w:trPr>
        <w:tc>
          <w:tcPr>
            <w:tcW w:w="5000" w:type="pct"/>
          </w:tcPr>
          <w:p w14:paraId="57381791" w14:textId="77777777" w:rsidR="003F4BC4" w:rsidRPr="003D3D96" w:rsidRDefault="003F4BC4" w:rsidP="00A830EF">
            <w:pPr>
              <w:spacing w:before="0" w:after="0" w:line="240" w:lineRule="auto"/>
            </w:pPr>
          </w:p>
        </w:tc>
      </w:tr>
    </w:tbl>
    <w:p w14:paraId="57381793" w14:textId="77777777" w:rsidR="003F4BC4" w:rsidRPr="003D3D96" w:rsidRDefault="003F4BC4" w:rsidP="0008245D">
      <w:pPr>
        <w:pStyle w:val="UntitledHeading"/>
        <w:rPr>
          <w:lang w:bidi="ar-SA"/>
        </w:rPr>
      </w:pPr>
    </w:p>
    <w:p w14:paraId="57381794" w14:textId="77777777" w:rsidR="0008245D" w:rsidRPr="003D3D96" w:rsidRDefault="0008245D" w:rsidP="0008245D">
      <w:pPr>
        <w:pStyle w:val="UntitledHeading"/>
        <w:rPr>
          <w:lang w:bidi="ar-SA"/>
        </w:rPr>
      </w:pPr>
      <w:r w:rsidRPr="003D3D96">
        <w:rPr>
          <w:lang w:bidi="ar-SA"/>
        </w:rPr>
        <w:t>Table of Contents</w:t>
      </w:r>
    </w:p>
    <w:p w14:paraId="23C705BC" w14:textId="77777777" w:rsidR="00336C28" w:rsidRDefault="00D45AE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r w:rsidRPr="003D3D96">
        <w:fldChar w:fldCharType="begin"/>
      </w:r>
      <w:r w:rsidR="0008245D" w:rsidRPr="003D3D96">
        <w:instrText xml:space="preserve"> TOC \o "1-3" \h \z \u </w:instrText>
      </w:r>
      <w:r w:rsidRPr="003D3D96">
        <w:fldChar w:fldCharType="separate"/>
      </w:r>
      <w:hyperlink w:anchor="_Toc18662465" w:history="1">
        <w:r w:rsidR="00336C28" w:rsidRPr="00FF53DF">
          <w:rPr>
            <w:rStyle w:val="Hyperlink"/>
            <w:noProof/>
            <w:lang w:eastAsia="en-GB"/>
          </w:rPr>
          <w:t>1.</w:t>
        </w:r>
        <w:r w:rsidR="00336C28">
          <w:rPr>
            <w:rFonts w:asciiTheme="minorHAnsi" w:eastAsiaTheme="minorEastAsia" w:hAnsiTheme="minorHAnsi" w:cstheme="minorBidi"/>
            <w:b w:val="0"/>
            <w:bCs w:val="0"/>
            <w:caps w:val="0"/>
            <w:noProof/>
            <w:sz w:val="22"/>
            <w:szCs w:val="22"/>
            <w:lang w:val="en-IE" w:eastAsia="en-IE" w:bidi="ar-SA"/>
          </w:rPr>
          <w:tab/>
        </w:r>
        <w:r w:rsidR="00336C28" w:rsidRPr="00FF53DF">
          <w:rPr>
            <w:rStyle w:val="Hyperlink"/>
            <w:noProof/>
            <w:lang w:eastAsia="en-GB"/>
          </w:rPr>
          <w:t>MODIFICATIONS COMMITTEE RECOMMENDATION</w:t>
        </w:r>
        <w:r w:rsidR="00336C28">
          <w:rPr>
            <w:noProof/>
            <w:webHidden/>
          </w:rPr>
          <w:tab/>
        </w:r>
        <w:r w:rsidR="00336C28">
          <w:rPr>
            <w:noProof/>
            <w:webHidden/>
          </w:rPr>
          <w:fldChar w:fldCharType="begin"/>
        </w:r>
        <w:r w:rsidR="00336C28">
          <w:rPr>
            <w:noProof/>
            <w:webHidden/>
          </w:rPr>
          <w:instrText xml:space="preserve"> PAGEREF _Toc18662465 \h </w:instrText>
        </w:r>
        <w:r w:rsidR="00336C28">
          <w:rPr>
            <w:noProof/>
            <w:webHidden/>
          </w:rPr>
        </w:r>
        <w:r w:rsidR="00336C28">
          <w:rPr>
            <w:noProof/>
            <w:webHidden/>
          </w:rPr>
          <w:fldChar w:fldCharType="separate"/>
        </w:r>
        <w:r w:rsidR="00336C28">
          <w:rPr>
            <w:noProof/>
            <w:webHidden/>
          </w:rPr>
          <w:t>3</w:t>
        </w:r>
        <w:r w:rsidR="00336C28">
          <w:rPr>
            <w:noProof/>
            <w:webHidden/>
          </w:rPr>
          <w:fldChar w:fldCharType="end"/>
        </w:r>
      </w:hyperlink>
    </w:p>
    <w:p w14:paraId="2533B07A" w14:textId="77777777" w:rsidR="00336C28" w:rsidRDefault="004E54B3">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18662466" w:history="1">
        <w:r w:rsidR="00336C28" w:rsidRPr="00FF53DF">
          <w:rPr>
            <w:rStyle w:val="Hyperlink"/>
            <w:b/>
            <w:bCs/>
            <w:noProof/>
            <w:spacing w:val="5"/>
          </w:rPr>
          <w:t>Recommended for approval – unanimous Vote</w:t>
        </w:r>
        <w:r w:rsidR="00336C28">
          <w:rPr>
            <w:noProof/>
            <w:webHidden/>
          </w:rPr>
          <w:tab/>
        </w:r>
        <w:r w:rsidR="00336C28">
          <w:rPr>
            <w:noProof/>
            <w:webHidden/>
          </w:rPr>
          <w:fldChar w:fldCharType="begin"/>
        </w:r>
        <w:r w:rsidR="00336C28">
          <w:rPr>
            <w:noProof/>
            <w:webHidden/>
          </w:rPr>
          <w:instrText xml:space="preserve"> PAGEREF _Toc18662466 \h </w:instrText>
        </w:r>
        <w:r w:rsidR="00336C28">
          <w:rPr>
            <w:noProof/>
            <w:webHidden/>
          </w:rPr>
        </w:r>
        <w:r w:rsidR="00336C28">
          <w:rPr>
            <w:noProof/>
            <w:webHidden/>
          </w:rPr>
          <w:fldChar w:fldCharType="separate"/>
        </w:r>
        <w:r w:rsidR="00336C28">
          <w:rPr>
            <w:noProof/>
            <w:webHidden/>
          </w:rPr>
          <w:t>3</w:t>
        </w:r>
        <w:r w:rsidR="00336C28">
          <w:rPr>
            <w:noProof/>
            <w:webHidden/>
          </w:rPr>
          <w:fldChar w:fldCharType="end"/>
        </w:r>
      </w:hyperlink>
    </w:p>
    <w:p w14:paraId="4B05EE1E" w14:textId="77777777" w:rsidR="00336C28" w:rsidRDefault="004E54B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8662467" w:history="1">
        <w:r w:rsidR="00336C28" w:rsidRPr="00FF53DF">
          <w:rPr>
            <w:rStyle w:val="Hyperlink"/>
            <w:noProof/>
            <w:lang w:eastAsia="en-GB"/>
          </w:rPr>
          <w:t>2.</w:t>
        </w:r>
        <w:r w:rsidR="00336C28">
          <w:rPr>
            <w:rFonts w:asciiTheme="minorHAnsi" w:eastAsiaTheme="minorEastAsia" w:hAnsiTheme="minorHAnsi" w:cstheme="minorBidi"/>
            <w:b w:val="0"/>
            <w:bCs w:val="0"/>
            <w:caps w:val="0"/>
            <w:noProof/>
            <w:sz w:val="22"/>
            <w:szCs w:val="22"/>
            <w:lang w:val="en-IE" w:eastAsia="en-IE" w:bidi="ar-SA"/>
          </w:rPr>
          <w:tab/>
        </w:r>
        <w:r w:rsidR="00336C28" w:rsidRPr="00FF53DF">
          <w:rPr>
            <w:rStyle w:val="Hyperlink"/>
            <w:noProof/>
            <w:lang w:eastAsia="en-GB"/>
          </w:rPr>
          <w:t>Background</w:t>
        </w:r>
        <w:r w:rsidR="00336C28">
          <w:rPr>
            <w:noProof/>
            <w:webHidden/>
          </w:rPr>
          <w:tab/>
        </w:r>
        <w:r w:rsidR="00336C28">
          <w:rPr>
            <w:noProof/>
            <w:webHidden/>
          </w:rPr>
          <w:fldChar w:fldCharType="begin"/>
        </w:r>
        <w:r w:rsidR="00336C28">
          <w:rPr>
            <w:noProof/>
            <w:webHidden/>
          </w:rPr>
          <w:instrText xml:space="preserve"> PAGEREF _Toc18662467 \h </w:instrText>
        </w:r>
        <w:r w:rsidR="00336C28">
          <w:rPr>
            <w:noProof/>
            <w:webHidden/>
          </w:rPr>
        </w:r>
        <w:r w:rsidR="00336C28">
          <w:rPr>
            <w:noProof/>
            <w:webHidden/>
          </w:rPr>
          <w:fldChar w:fldCharType="separate"/>
        </w:r>
        <w:r w:rsidR="00336C28">
          <w:rPr>
            <w:noProof/>
            <w:webHidden/>
          </w:rPr>
          <w:t>3</w:t>
        </w:r>
        <w:r w:rsidR="00336C28">
          <w:rPr>
            <w:noProof/>
            <w:webHidden/>
          </w:rPr>
          <w:fldChar w:fldCharType="end"/>
        </w:r>
      </w:hyperlink>
    </w:p>
    <w:p w14:paraId="3D8CDEC6" w14:textId="77777777" w:rsidR="00336C28" w:rsidRDefault="004E54B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8662468" w:history="1">
        <w:r w:rsidR="00336C28" w:rsidRPr="00FF53DF">
          <w:rPr>
            <w:rStyle w:val="Hyperlink"/>
            <w:noProof/>
            <w:lang w:eastAsia="en-GB"/>
          </w:rPr>
          <w:t>3.</w:t>
        </w:r>
        <w:r w:rsidR="00336C28">
          <w:rPr>
            <w:rFonts w:asciiTheme="minorHAnsi" w:eastAsiaTheme="minorEastAsia" w:hAnsiTheme="minorHAnsi" w:cstheme="minorBidi"/>
            <w:b w:val="0"/>
            <w:bCs w:val="0"/>
            <w:caps w:val="0"/>
            <w:noProof/>
            <w:sz w:val="22"/>
            <w:szCs w:val="22"/>
            <w:lang w:val="en-IE" w:eastAsia="en-IE" w:bidi="ar-SA"/>
          </w:rPr>
          <w:tab/>
        </w:r>
        <w:r w:rsidR="00336C28" w:rsidRPr="00FF53DF">
          <w:rPr>
            <w:rStyle w:val="Hyperlink"/>
            <w:noProof/>
            <w:lang w:eastAsia="en-GB"/>
          </w:rPr>
          <w:t>PURPOSE OF PROPOSED MODIFICATION</w:t>
        </w:r>
        <w:r w:rsidR="00336C28">
          <w:rPr>
            <w:noProof/>
            <w:webHidden/>
          </w:rPr>
          <w:tab/>
        </w:r>
        <w:r w:rsidR="00336C28">
          <w:rPr>
            <w:noProof/>
            <w:webHidden/>
          </w:rPr>
          <w:fldChar w:fldCharType="begin"/>
        </w:r>
        <w:r w:rsidR="00336C28">
          <w:rPr>
            <w:noProof/>
            <w:webHidden/>
          </w:rPr>
          <w:instrText xml:space="preserve"> PAGEREF _Toc18662468 \h </w:instrText>
        </w:r>
        <w:r w:rsidR="00336C28">
          <w:rPr>
            <w:noProof/>
            <w:webHidden/>
          </w:rPr>
        </w:r>
        <w:r w:rsidR="00336C28">
          <w:rPr>
            <w:noProof/>
            <w:webHidden/>
          </w:rPr>
          <w:fldChar w:fldCharType="separate"/>
        </w:r>
        <w:r w:rsidR="00336C28">
          <w:rPr>
            <w:noProof/>
            <w:webHidden/>
          </w:rPr>
          <w:t>4</w:t>
        </w:r>
        <w:r w:rsidR="00336C28">
          <w:rPr>
            <w:noProof/>
            <w:webHidden/>
          </w:rPr>
          <w:fldChar w:fldCharType="end"/>
        </w:r>
      </w:hyperlink>
    </w:p>
    <w:p w14:paraId="604B1EA8" w14:textId="77777777" w:rsidR="00336C28" w:rsidRDefault="004E54B3">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18662469" w:history="1">
        <w:r w:rsidR="00336C28" w:rsidRPr="00FF53DF">
          <w:rPr>
            <w:rStyle w:val="Hyperlink"/>
            <w:b/>
            <w:bCs/>
            <w:caps/>
            <w:noProof/>
            <w:spacing w:val="5"/>
            <w:lang w:eastAsia="en-GB"/>
          </w:rPr>
          <w:t>3A.) justification of Modification</w:t>
        </w:r>
        <w:r w:rsidR="00336C28">
          <w:rPr>
            <w:noProof/>
            <w:webHidden/>
          </w:rPr>
          <w:tab/>
        </w:r>
        <w:r w:rsidR="00336C28">
          <w:rPr>
            <w:noProof/>
            <w:webHidden/>
          </w:rPr>
          <w:fldChar w:fldCharType="begin"/>
        </w:r>
        <w:r w:rsidR="00336C28">
          <w:rPr>
            <w:noProof/>
            <w:webHidden/>
          </w:rPr>
          <w:instrText xml:space="preserve"> PAGEREF _Toc18662469 \h </w:instrText>
        </w:r>
        <w:r w:rsidR="00336C28">
          <w:rPr>
            <w:noProof/>
            <w:webHidden/>
          </w:rPr>
        </w:r>
        <w:r w:rsidR="00336C28">
          <w:rPr>
            <w:noProof/>
            <w:webHidden/>
          </w:rPr>
          <w:fldChar w:fldCharType="separate"/>
        </w:r>
        <w:r w:rsidR="00336C28">
          <w:rPr>
            <w:noProof/>
            <w:webHidden/>
          </w:rPr>
          <w:t>4</w:t>
        </w:r>
        <w:r w:rsidR="00336C28">
          <w:rPr>
            <w:noProof/>
            <w:webHidden/>
          </w:rPr>
          <w:fldChar w:fldCharType="end"/>
        </w:r>
      </w:hyperlink>
    </w:p>
    <w:p w14:paraId="3CE3ECDF" w14:textId="77777777" w:rsidR="00336C28" w:rsidRDefault="004E54B3">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18662470" w:history="1">
        <w:r w:rsidR="00336C28" w:rsidRPr="00FF53DF">
          <w:rPr>
            <w:rStyle w:val="Hyperlink"/>
            <w:b/>
            <w:bCs/>
            <w:caps/>
            <w:noProof/>
            <w:spacing w:val="5"/>
            <w:lang w:eastAsia="en-GB"/>
          </w:rPr>
          <w:t>3B.) Impact of not Implementing a Solution</w:t>
        </w:r>
        <w:r w:rsidR="00336C28">
          <w:rPr>
            <w:noProof/>
            <w:webHidden/>
          </w:rPr>
          <w:tab/>
        </w:r>
        <w:r w:rsidR="00336C28">
          <w:rPr>
            <w:noProof/>
            <w:webHidden/>
          </w:rPr>
          <w:fldChar w:fldCharType="begin"/>
        </w:r>
        <w:r w:rsidR="00336C28">
          <w:rPr>
            <w:noProof/>
            <w:webHidden/>
          </w:rPr>
          <w:instrText xml:space="preserve"> PAGEREF _Toc18662470 \h </w:instrText>
        </w:r>
        <w:r w:rsidR="00336C28">
          <w:rPr>
            <w:noProof/>
            <w:webHidden/>
          </w:rPr>
        </w:r>
        <w:r w:rsidR="00336C28">
          <w:rPr>
            <w:noProof/>
            <w:webHidden/>
          </w:rPr>
          <w:fldChar w:fldCharType="separate"/>
        </w:r>
        <w:r w:rsidR="00336C28">
          <w:rPr>
            <w:noProof/>
            <w:webHidden/>
          </w:rPr>
          <w:t>4</w:t>
        </w:r>
        <w:r w:rsidR="00336C28">
          <w:rPr>
            <w:noProof/>
            <w:webHidden/>
          </w:rPr>
          <w:fldChar w:fldCharType="end"/>
        </w:r>
      </w:hyperlink>
    </w:p>
    <w:p w14:paraId="0F02F8B0" w14:textId="77777777" w:rsidR="00336C28" w:rsidRDefault="004E54B3">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18662471" w:history="1">
        <w:r w:rsidR="00336C28" w:rsidRPr="00FF53DF">
          <w:rPr>
            <w:rStyle w:val="Hyperlink"/>
            <w:b/>
            <w:bCs/>
            <w:caps/>
            <w:noProof/>
            <w:spacing w:val="5"/>
            <w:lang w:eastAsia="en-GB"/>
          </w:rPr>
          <w:t>3c.) Impact on Code Objectives</w:t>
        </w:r>
        <w:r w:rsidR="00336C28">
          <w:rPr>
            <w:noProof/>
            <w:webHidden/>
          </w:rPr>
          <w:tab/>
        </w:r>
        <w:r w:rsidR="00336C28">
          <w:rPr>
            <w:noProof/>
            <w:webHidden/>
          </w:rPr>
          <w:fldChar w:fldCharType="begin"/>
        </w:r>
        <w:r w:rsidR="00336C28">
          <w:rPr>
            <w:noProof/>
            <w:webHidden/>
          </w:rPr>
          <w:instrText xml:space="preserve"> PAGEREF _Toc18662471 \h </w:instrText>
        </w:r>
        <w:r w:rsidR="00336C28">
          <w:rPr>
            <w:noProof/>
            <w:webHidden/>
          </w:rPr>
        </w:r>
        <w:r w:rsidR="00336C28">
          <w:rPr>
            <w:noProof/>
            <w:webHidden/>
          </w:rPr>
          <w:fldChar w:fldCharType="separate"/>
        </w:r>
        <w:r w:rsidR="00336C28">
          <w:rPr>
            <w:noProof/>
            <w:webHidden/>
          </w:rPr>
          <w:t>4</w:t>
        </w:r>
        <w:r w:rsidR="00336C28">
          <w:rPr>
            <w:noProof/>
            <w:webHidden/>
          </w:rPr>
          <w:fldChar w:fldCharType="end"/>
        </w:r>
      </w:hyperlink>
    </w:p>
    <w:p w14:paraId="000B2AF8" w14:textId="77777777" w:rsidR="00336C28" w:rsidRDefault="004E54B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8662472" w:history="1">
        <w:r w:rsidR="00336C28" w:rsidRPr="00FF53DF">
          <w:rPr>
            <w:rStyle w:val="Hyperlink"/>
            <w:noProof/>
            <w:lang w:eastAsia="en-GB"/>
          </w:rPr>
          <w:t>4.</w:t>
        </w:r>
        <w:r w:rsidR="00336C28">
          <w:rPr>
            <w:rFonts w:asciiTheme="minorHAnsi" w:eastAsiaTheme="minorEastAsia" w:hAnsiTheme="minorHAnsi" w:cstheme="minorBidi"/>
            <w:b w:val="0"/>
            <w:bCs w:val="0"/>
            <w:caps w:val="0"/>
            <w:noProof/>
            <w:sz w:val="22"/>
            <w:szCs w:val="22"/>
            <w:lang w:val="en-IE" w:eastAsia="en-IE" w:bidi="ar-SA"/>
          </w:rPr>
          <w:tab/>
        </w:r>
        <w:r w:rsidR="00336C28" w:rsidRPr="00FF53DF">
          <w:rPr>
            <w:rStyle w:val="Hyperlink"/>
            <w:noProof/>
            <w:lang w:eastAsia="en-GB"/>
          </w:rPr>
          <w:t>ASSESSMENT OF ALTERNATIVES</w:t>
        </w:r>
        <w:r w:rsidR="00336C28">
          <w:rPr>
            <w:noProof/>
            <w:webHidden/>
          </w:rPr>
          <w:tab/>
        </w:r>
        <w:r w:rsidR="00336C28">
          <w:rPr>
            <w:noProof/>
            <w:webHidden/>
          </w:rPr>
          <w:fldChar w:fldCharType="begin"/>
        </w:r>
        <w:r w:rsidR="00336C28">
          <w:rPr>
            <w:noProof/>
            <w:webHidden/>
          </w:rPr>
          <w:instrText xml:space="preserve"> PAGEREF _Toc18662472 \h </w:instrText>
        </w:r>
        <w:r w:rsidR="00336C28">
          <w:rPr>
            <w:noProof/>
            <w:webHidden/>
          </w:rPr>
        </w:r>
        <w:r w:rsidR="00336C28">
          <w:rPr>
            <w:noProof/>
            <w:webHidden/>
          </w:rPr>
          <w:fldChar w:fldCharType="separate"/>
        </w:r>
        <w:r w:rsidR="00336C28">
          <w:rPr>
            <w:noProof/>
            <w:webHidden/>
          </w:rPr>
          <w:t>5</w:t>
        </w:r>
        <w:r w:rsidR="00336C28">
          <w:rPr>
            <w:noProof/>
            <w:webHidden/>
          </w:rPr>
          <w:fldChar w:fldCharType="end"/>
        </w:r>
      </w:hyperlink>
    </w:p>
    <w:p w14:paraId="477C13F5" w14:textId="77777777" w:rsidR="00336C28" w:rsidRDefault="004E54B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8662473" w:history="1">
        <w:r w:rsidR="00336C28" w:rsidRPr="00FF53DF">
          <w:rPr>
            <w:rStyle w:val="Hyperlink"/>
            <w:noProof/>
            <w:lang w:eastAsia="en-GB"/>
          </w:rPr>
          <w:t>5.</w:t>
        </w:r>
        <w:r w:rsidR="00336C28">
          <w:rPr>
            <w:rFonts w:asciiTheme="minorHAnsi" w:eastAsiaTheme="minorEastAsia" w:hAnsiTheme="minorHAnsi" w:cstheme="minorBidi"/>
            <w:b w:val="0"/>
            <w:bCs w:val="0"/>
            <w:caps w:val="0"/>
            <w:noProof/>
            <w:sz w:val="22"/>
            <w:szCs w:val="22"/>
            <w:lang w:val="en-IE" w:eastAsia="en-IE" w:bidi="ar-SA"/>
          </w:rPr>
          <w:tab/>
        </w:r>
        <w:r w:rsidR="00336C28" w:rsidRPr="00FF53DF">
          <w:rPr>
            <w:rStyle w:val="Hyperlink"/>
            <w:noProof/>
            <w:lang w:eastAsia="en-GB"/>
          </w:rPr>
          <w:t>impact on systems and resources</w:t>
        </w:r>
        <w:r w:rsidR="00336C28">
          <w:rPr>
            <w:noProof/>
            <w:webHidden/>
          </w:rPr>
          <w:tab/>
        </w:r>
        <w:r w:rsidR="00336C28">
          <w:rPr>
            <w:noProof/>
            <w:webHidden/>
          </w:rPr>
          <w:fldChar w:fldCharType="begin"/>
        </w:r>
        <w:r w:rsidR="00336C28">
          <w:rPr>
            <w:noProof/>
            <w:webHidden/>
          </w:rPr>
          <w:instrText xml:space="preserve"> PAGEREF _Toc18662473 \h </w:instrText>
        </w:r>
        <w:r w:rsidR="00336C28">
          <w:rPr>
            <w:noProof/>
            <w:webHidden/>
          </w:rPr>
        </w:r>
        <w:r w:rsidR="00336C28">
          <w:rPr>
            <w:noProof/>
            <w:webHidden/>
          </w:rPr>
          <w:fldChar w:fldCharType="separate"/>
        </w:r>
        <w:r w:rsidR="00336C28">
          <w:rPr>
            <w:noProof/>
            <w:webHidden/>
          </w:rPr>
          <w:t>5</w:t>
        </w:r>
        <w:r w:rsidR="00336C28">
          <w:rPr>
            <w:noProof/>
            <w:webHidden/>
          </w:rPr>
          <w:fldChar w:fldCharType="end"/>
        </w:r>
      </w:hyperlink>
    </w:p>
    <w:p w14:paraId="7E1669C1" w14:textId="77777777" w:rsidR="00336C28" w:rsidRDefault="004E54B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8662474" w:history="1">
        <w:r w:rsidR="00336C28" w:rsidRPr="00FF53DF">
          <w:rPr>
            <w:rStyle w:val="Hyperlink"/>
            <w:noProof/>
            <w:lang w:eastAsia="en-GB"/>
          </w:rPr>
          <w:t>6.</w:t>
        </w:r>
        <w:r w:rsidR="00336C28">
          <w:rPr>
            <w:rFonts w:asciiTheme="minorHAnsi" w:eastAsiaTheme="minorEastAsia" w:hAnsiTheme="minorHAnsi" w:cstheme="minorBidi"/>
            <w:b w:val="0"/>
            <w:bCs w:val="0"/>
            <w:caps w:val="0"/>
            <w:noProof/>
            <w:sz w:val="22"/>
            <w:szCs w:val="22"/>
            <w:lang w:val="en-IE" w:eastAsia="en-IE" w:bidi="ar-SA"/>
          </w:rPr>
          <w:tab/>
        </w:r>
        <w:r w:rsidR="00336C28" w:rsidRPr="00FF53DF">
          <w:rPr>
            <w:rStyle w:val="Hyperlink"/>
            <w:noProof/>
            <w:lang w:eastAsia="en-GB"/>
          </w:rPr>
          <w:t>Impact on other Codes/Documents</w:t>
        </w:r>
        <w:r w:rsidR="00336C28">
          <w:rPr>
            <w:noProof/>
            <w:webHidden/>
          </w:rPr>
          <w:tab/>
        </w:r>
        <w:r w:rsidR="00336C28">
          <w:rPr>
            <w:noProof/>
            <w:webHidden/>
          </w:rPr>
          <w:fldChar w:fldCharType="begin"/>
        </w:r>
        <w:r w:rsidR="00336C28">
          <w:rPr>
            <w:noProof/>
            <w:webHidden/>
          </w:rPr>
          <w:instrText xml:space="preserve"> PAGEREF _Toc18662474 \h </w:instrText>
        </w:r>
        <w:r w:rsidR="00336C28">
          <w:rPr>
            <w:noProof/>
            <w:webHidden/>
          </w:rPr>
        </w:r>
        <w:r w:rsidR="00336C28">
          <w:rPr>
            <w:noProof/>
            <w:webHidden/>
          </w:rPr>
          <w:fldChar w:fldCharType="separate"/>
        </w:r>
        <w:r w:rsidR="00336C28">
          <w:rPr>
            <w:noProof/>
            <w:webHidden/>
          </w:rPr>
          <w:t>5</w:t>
        </w:r>
        <w:r w:rsidR="00336C28">
          <w:rPr>
            <w:noProof/>
            <w:webHidden/>
          </w:rPr>
          <w:fldChar w:fldCharType="end"/>
        </w:r>
      </w:hyperlink>
    </w:p>
    <w:p w14:paraId="3CE41117" w14:textId="77777777" w:rsidR="00336C28" w:rsidRDefault="004E54B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8662475" w:history="1">
        <w:r w:rsidR="00336C28" w:rsidRPr="00FF53DF">
          <w:rPr>
            <w:rStyle w:val="Hyperlink"/>
            <w:noProof/>
            <w:lang w:eastAsia="en-GB"/>
          </w:rPr>
          <w:t>7.</w:t>
        </w:r>
        <w:r w:rsidR="00336C28">
          <w:rPr>
            <w:rFonts w:asciiTheme="minorHAnsi" w:eastAsiaTheme="minorEastAsia" w:hAnsiTheme="minorHAnsi" w:cstheme="minorBidi"/>
            <w:b w:val="0"/>
            <w:bCs w:val="0"/>
            <w:caps w:val="0"/>
            <w:noProof/>
            <w:sz w:val="22"/>
            <w:szCs w:val="22"/>
            <w:lang w:val="en-IE" w:eastAsia="en-IE" w:bidi="ar-SA"/>
          </w:rPr>
          <w:tab/>
        </w:r>
        <w:r w:rsidR="00336C28" w:rsidRPr="00FF53DF">
          <w:rPr>
            <w:rStyle w:val="Hyperlink"/>
            <w:noProof/>
            <w:lang w:eastAsia="en-GB"/>
          </w:rPr>
          <w:t>MODIFICATION COMMITTEE VIEWS</w:t>
        </w:r>
        <w:r w:rsidR="00336C28">
          <w:rPr>
            <w:noProof/>
            <w:webHidden/>
          </w:rPr>
          <w:tab/>
        </w:r>
        <w:r w:rsidR="00336C28">
          <w:rPr>
            <w:noProof/>
            <w:webHidden/>
          </w:rPr>
          <w:fldChar w:fldCharType="begin"/>
        </w:r>
        <w:r w:rsidR="00336C28">
          <w:rPr>
            <w:noProof/>
            <w:webHidden/>
          </w:rPr>
          <w:instrText xml:space="preserve"> PAGEREF _Toc18662475 \h </w:instrText>
        </w:r>
        <w:r w:rsidR="00336C28">
          <w:rPr>
            <w:noProof/>
            <w:webHidden/>
          </w:rPr>
        </w:r>
        <w:r w:rsidR="00336C28">
          <w:rPr>
            <w:noProof/>
            <w:webHidden/>
          </w:rPr>
          <w:fldChar w:fldCharType="separate"/>
        </w:r>
        <w:r w:rsidR="00336C28">
          <w:rPr>
            <w:noProof/>
            <w:webHidden/>
          </w:rPr>
          <w:t>5</w:t>
        </w:r>
        <w:r w:rsidR="00336C28">
          <w:rPr>
            <w:noProof/>
            <w:webHidden/>
          </w:rPr>
          <w:fldChar w:fldCharType="end"/>
        </w:r>
      </w:hyperlink>
    </w:p>
    <w:p w14:paraId="1470827D" w14:textId="77777777" w:rsidR="00336C28" w:rsidRDefault="004E54B3">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18662476" w:history="1">
        <w:r w:rsidR="00336C28" w:rsidRPr="00FF53DF">
          <w:rPr>
            <w:rStyle w:val="Hyperlink"/>
            <w:b/>
            <w:bCs/>
            <w:noProof/>
            <w:spacing w:val="5"/>
          </w:rPr>
          <w:t>Meeting 93 – 22 august 2019</w:t>
        </w:r>
        <w:r w:rsidR="00336C28">
          <w:rPr>
            <w:noProof/>
            <w:webHidden/>
          </w:rPr>
          <w:tab/>
        </w:r>
        <w:r w:rsidR="00336C28">
          <w:rPr>
            <w:noProof/>
            <w:webHidden/>
          </w:rPr>
          <w:fldChar w:fldCharType="begin"/>
        </w:r>
        <w:r w:rsidR="00336C28">
          <w:rPr>
            <w:noProof/>
            <w:webHidden/>
          </w:rPr>
          <w:instrText xml:space="preserve"> PAGEREF _Toc18662476 \h </w:instrText>
        </w:r>
        <w:r w:rsidR="00336C28">
          <w:rPr>
            <w:noProof/>
            <w:webHidden/>
          </w:rPr>
        </w:r>
        <w:r w:rsidR="00336C28">
          <w:rPr>
            <w:noProof/>
            <w:webHidden/>
          </w:rPr>
          <w:fldChar w:fldCharType="separate"/>
        </w:r>
        <w:r w:rsidR="00336C28">
          <w:rPr>
            <w:noProof/>
            <w:webHidden/>
          </w:rPr>
          <w:t>5</w:t>
        </w:r>
        <w:r w:rsidR="00336C28">
          <w:rPr>
            <w:noProof/>
            <w:webHidden/>
          </w:rPr>
          <w:fldChar w:fldCharType="end"/>
        </w:r>
      </w:hyperlink>
    </w:p>
    <w:p w14:paraId="3B4AB4CD" w14:textId="77777777" w:rsidR="00336C28" w:rsidRDefault="004E54B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8662477" w:history="1">
        <w:r w:rsidR="00336C28" w:rsidRPr="00FF53DF">
          <w:rPr>
            <w:rStyle w:val="Hyperlink"/>
            <w:noProof/>
            <w:lang w:eastAsia="en-GB"/>
          </w:rPr>
          <w:t>8.</w:t>
        </w:r>
        <w:r w:rsidR="00336C28">
          <w:rPr>
            <w:rFonts w:asciiTheme="minorHAnsi" w:eastAsiaTheme="minorEastAsia" w:hAnsiTheme="minorHAnsi" w:cstheme="minorBidi"/>
            <w:b w:val="0"/>
            <w:bCs w:val="0"/>
            <w:caps w:val="0"/>
            <w:noProof/>
            <w:sz w:val="22"/>
            <w:szCs w:val="22"/>
            <w:lang w:val="en-IE" w:eastAsia="en-IE" w:bidi="ar-SA"/>
          </w:rPr>
          <w:tab/>
        </w:r>
        <w:r w:rsidR="00336C28" w:rsidRPr="00FF53DF">
          <w:rPr>
            <w:rStyle w:val="Hyperlink"/>
            <w:noProof/>
            <w:lang w:eastAsia="en-GB"/>
          </w:rPr>
          <w:t>Proposed Legal Drafting</w:t>
        </w:r>
        <w:r w:rsidR="00336C28">
          <w:rPr>
            <w:noProof/>
            <w:webHidden/>
          </w:rPr>
          <w:tab/>
        </w:r>
        <w:r w:rsidR="00336C28">
          <w:rPr>
            <w:noProof/>
            <w:webHidden/>
          </w:rPr>
          <w:fldChar w:fldCharType="begin"/>
        </w:r>
        <w:r w:rsidR="00336C28">
          <w:rPr>
            <w:noProof/>
            <w:webHidden/>
          </w:rPr>
          <w:instrText xml:space="preserve"> PAGEREF _Toc18662477 \h </w:instrText>
        </w:r>
        <w:r w:rsidR="00336C28">
          <w:rPr>
            <w:noProof/>
            <w:webHidden/>
          </w:rPr>
        </w:r>
        <w:r w:rsidR="00336C28">
          <w:rPr>
            <w:noProof/>
            <w:webHidden/>
          </w:rPr>
          <w:fldChar w:fldCharType="separate"/>
        </w:r>
        <w:r w:rsidR="00336C28">
          <w:rPr>
            <w:noProof/>
            <w:webHidden/>
          </w:rPr>
          <w:t>5</w:t>
        </w:r>
        <w:r w:rsidR="00336C28">
          <w:rPr>
            <w:noProof/>
            <w:webHidden/>
          </w:rPr>
          <w:fldChar w:fldCharType="end"/>
        </w:r>
      </w:hyperlink>
    </w:p>
    <w:p w14:paraId="3C06E993" w14:textId="77777777" w:rsidR="00336C28" w:rsidRDefault="004E54B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8662478" w:history="1">
        <w:r w:rsidR="00336C28" w:rsidRPr="00FF53DF">
          <w:rPr>
            <w:rStyle w:val="Hyperlink"/>
            <w:smallCaps/>
            <w:noProof/>
            <w:lang w:eastAsia="en-GB"/>
          </w:rPr>
          <w:t>9.</w:t>
        </w:r>
        <w:r w:rsidR="00336C28">
          <w:rPr>
            <w:rFonts w:asciiTheme="minorHAnsi" w:eastAsiaTheme="minorEastAsia" w:hAnsiTheme="minorHAnsi" w:cstheme="minorBidi"/>
            <w:b w:val="0"/>
            <w:bCs w:val="0"/>
            <w:caps w:val="0"/>
            <w:noProof/>
            <w:sz w:val="22"/>
            <w:szCs w:val="22"/>
            <w:lang w:val="en-IE" w:eastAsia="en-IE" w:bidi="ar-SA"/>
          </w:rPr>
          <w:tab/>
        </w:r>
        <w:r w:rsidR="00336C28" w:rsidRPr="00FF53DF">
          <w:rPr>
            <w:rStyle w:val="Hyperlink"/>
            <w:smallCaps/>
            <w:noProof/>
            <w:lang w:eastAsia="en-GB"/>
          </w:rPr>
          <w:t>LEGAL REVIEW</w:t>
        </w:r>
        <w:r w:rsidR="00336C28">
          <w:rPr>
            <w:noProof/>
            <w:webHidden/>
          </w:rPr>
          <w:tab/>
        </w:r>
        <w:r w:rsidR="00336C28">
          <w:rPr>
            <w:noProof/>
            <w:webHidden/>
          </w:rPr>
          <w:fldChar w:fldCharType="begin"/>
        </w:r>
        <w:r w:rsidR="00336C28">
          <w:rPr>
            <w:noProof/>
            <w:webHidden/>
          </w:rPr>
          <w:instrText xml:space="preserve"> PAGEREF _Toc18662478 \h </w:instrText>
        </w:r>
        <w:r w:rsidR="00336C28">
          <w:rPr>
            <w:noProof/>
            <w:webHidden/>
          </w:rPr>
        </w:r>
        <w:r w:rsidR="00336C28">
          <w:rPr>
            <w:noProof/>
            <w:webHidden/>
          </w:rPr>
          <w:fldChar w:fldCharType="separate"/>
        </w:r>
        <w:r w:rsidR="00336C28">
          <w:rPr>
            <w:noProof/>
            <w:webHidden/>
          </w:rPr>
          <w:t>5</w:t>
        </w:r>
        <w:r w:rsidR="00336C28">
          <w:rPr>
            <w:noProof/>
            <w:webHidden/>
          </w:rPr>
          <w:fldChar w:fldCharType="end"/>
        </w:r>
      </w:hyperlink>
    </w:p>
    <w:p w14:paraId="703B82B8" w14:textId="77777777" w:rsidR="00336C28" w:rsidRDefault="004E54B3">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8662479" w:history="1">
        <w:r w:rsidR="00336C28" w:rsidRPr="00FF53DF">
          <w:rPr>
            <w:rStyle w:val="Hyperlink"/>
            <w:noProof/>
            <w:lang w:eastAsia="en-GB"/>
          </w:rPr>
          <w:t>10.</w:t>
        </w:r>
        <w:r w:rsidR="00336C28">
          <w:rPr>
            <w:rFonts w:asciiTheme="minorHAnsi" w:eastAsiaTheme="minorEastAsia" w:hAnsiTheme="minorHAnsi" w:cstheme="minorBidi"/>
            <w:b w:val="0"/>
            <w:bCs w:val="0"/>
            <w:caps w:val="0"/>
            <w:noProof/>
            <w:sz w:val="22"/>
            <w:szCs w:val="22"/>
            <w:lang w:val="en-IE" w:eastAsia="en-IE" w:bidi="ar-SA"/>
          </w:rPr>
          <w:tab/>
        </w:r>
        <w:r w:rsidR="00336C28" w:rsidRPr="00FF53DF">
          <w:rPr>
            <w:rStyle w:val="Hyperlink"/>
            <w:noProof/>
            <w:lang w:eastAsia="en-GB"/>
          </w:rPr>
          <w:t>IMPLEMENTATION TIMESCALE</w:t>
        </w:r>
        <w:r w:rsidR="00336C28">
          <w:rPr>
            <w:noProof/>
            <w:webHidden/>
          </w:rPr>
          <w:tab/>
        </w:r>
        <w:r w:rsidR="00336C28">
          <w:rPr>
            <w:noProof/>
            <w:webHidden/>
          </w:rPr>
          <w:fldChar w:fldCharType="begin"/>
        </w:r>
        <w:r w:rsidR="00336C28">
          <w:rPr>
            <w:noProof/>
            <w:webHidden/>
          </w:rPr>
          <w:instrText xml:space="preserve"> PAGEREF _Toc18662479 \h </w:instrText>
        </w:r>
        <w:r w:rsidR="00336C28">
          <w:rPr>
            <w:noProof/>
            <w:webHidden/>
          </w:rPr>
        </w:r>
        <w:r w:rsidR="00336C28">
          <w:rPr>
            <w:noProof/>
            <w:webHidden/>
          </w:rPr>
          <w:fldChar w:fldCharType="separate"/>
        </w:r>
        <w:r w:rsidR="00336C28">
          <w:rPr>
            <w:noProof/>
            <w:webHidden/>
          </w:rPr>
          <w:t>5</w:t>
        </w:r>
        <w:r w:rsidR="00336C28">
          <w:rPr>
            <w:noProof/>
            <w:webHidden/>
          </w:rPr>
          <w:fldChar w:fldCharType="end"/>
        </w:r>
      </w:hyperlink>
    </w:p>
    <w:p w14:paraId="3612B046" w14:textId="77777777" w:rsidR="00336C28" w:rsidRDefault="004E54B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8662480" w:history="1">
        <w:r w:rsidR="00336C28" w:rsidRPr="00FF53DF">
          <w:rPr>
            <w:rStyle w:val="Hyperlink"/>
            <w:noProof/>
            <w:lang w:eastAsia="en-GB"/>
          </w:rPr>
          <w:t>1</w:t>
        </w:r>
        <w:r w:rsidR="00336C28">
          <w:rPr>
            <w:rFonts w:asciiTheme="minorHAnsi" w:eastAsiaTheme="minorEastAsia" w:hAnsiTheme="minorHAnsi" w:cstheme="minorBidi"/>
            <w:b w:val="0"/>
            <w:bCs w:val="0"/>
            <w:caps w:val="0"/>
            <w:noProof/>
            <w:sz w:val="22"/>
            <w:szCs w:val="22"/>
            <w:lang w:val="en-IE" w:eastAsia="en-IE" w:bidi="ar-SA"/>
          </w:rPr>
          <w:tab/>
        </w:r>
        <w:r w:rsidR="00336C28" w:rsidRPr="00FF53DF">
          <w:rPr>
            <w:rStyle w:val="Hyperlink"/>
            <w:noProof/>
            <w:lang w:eastAsia="en-GB"/>
          </w:rPr>
          <w:t>Appendix 1: Mod_12_19 system service flag for demand site units</w:t>
        </w:r>
        <w:r w:rsidR="00336C28">
          <w:rPr>
            <w:noProof/>
            <w:webHidden/>
          </w:rPr>
          <w:tab/>
        </w:r>
        <w:r w:rsidR="00336C28">
          <w:rPr>
            <w:noProof/>
            <w:webHidden/>
          </w:rPr>
          <w:fldChar w:fldCharType="begin"/>
        </w:r>
        <w:r w:rsidR="00336C28">
          <w:rPr>
            <w:noProof/>
            <w:webHidden/>
          </w:rPr>
          <w:instrText xml:space="preserve"> PAGEREF _Toc18662480 \h </w:instrText>
        </w:r>
        <w:r w:rsidR="00336C28">
          <w:rPr>
            <w:noProof/>
            <w:webHidden/>
          </w:rPr>
        </w:r>
        <w:r w:rsidR="00336C28">
          <w:rPr>
            <w:noProof/>
            <w:webHidden/>
          </w:rPr>
          <w:fldChar w:fldCharType="separate"/>
        </w:r>
        <w:r w:rsidR="00336C28">
          <w:rPr>
            <w:noProof/>
            <w:webHidden/>
          </w:rPr>
          <w:t>6</w:t>
        </w:r>
        <w:r w:rsidR="00336C28">
          <w:rPr>
            <w:noProof/>
            <w:webHidden/>
          </w:rPr>
          <w:fldChar w:fldCharType="end"/>
        </w:r>
      </w:hyperlink>
    </w:p>
    <w:p w14:paraId="573817A5" w14:textId="77777777" w:rsidR="00A3487C" w:rsidRDefault="00D45AED" w:rsidP="00FC23FE">
      <w:pPr>
        <w:tabs>
          <w:tab w:val="center" w:pos="4771"/>
        </w:tabs>
      </w:pPr>
      <w:r w:rsidRPr="003D3D96">
        <w:fldChar w:fldCharType="end"/>
      </w:r>
      <w:r w:rsidR="00FC23FE">
        <w:t xml:space="preserve"> </w:t>
      </w:r>
    </w:p>
    <w:p w14:paraId="573817A6" w14:textId="77777777" w:rsidR="00A3487C" w:rsidRDefault="00A3487C" w:rsidP="00FC23FE">
      <w:pPr>
        <w:tabs>
          <w:tab w:val="center" w:pos="4771"/>
        </w:tabs>
      </w:pPr>
    </w:p>
    <w:p w14:paraId="573817A7" w14:textId="77777777" w:rsidR="00A3487C" w:rsidRDefault="00A3487C" w:rsidP="00FC23FE">
      <w:pPr>
        <w:tabs>
          <w:tab w:val="center" w:pos="4771"/>
        </w:tabs>
      </w:pPr>
    </w:p>
    <w:p w14:paraId="573817A8" w14:textId="77777777" w:rsidR="005A3294" w:rsidRDefault="005A3294" w:rsidP="00FC23FE">
      <w:pPr>
        <w:tabs>
          <w:tab w:val="center" w:pos="4771"/>
        </w:tabs>
      </w:pPr>
    </w:p>
    <w:p w14:paraId="573817A9" w14:textId="77777777" w:rsidR="005A3294" w:rsidRDefault="005A3294" w:rsidP="00FC23FE">
      <w:pPr>
        <w:tabs>
          <w:tab w:val="center" w:pos="4771"/>
        </w:tabs>
      </w:pPr>
    </w:p>
    <w:p w14:paraId="2B4C410C" w14:textId="77777777" w:rsidR="00F224CD" w:rsidRDefault="00F224CD" w:rsidP="00FC23FE">
      <w:pPr>
        <w:tabs>
          <w:tab w:val="center" w:pos="4771"/>
        </w:tabs>
      </w:pPr>
    </w:p>
    <w:p w14:paraId="573817AA" w14:textId="77777777" w:rsidR="00B74531" w:rsidRPr="003D3D96" w:rsidRDefault="00FC23FE" w:rsidP="00FC23FE">
      <w:pPr>
        <w:tabs>
          <w:tab w:val="center" w:pos="4771"/>
        </w:tabs>
      </w:pPr>
      <w:r>
        <w:tab/>
      </w:r>
    </w:p>
    <w:p w14:paraId="573817AB" w14:textId="77777777"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18662465"/>
      <w:r w:rsidRPr="003D3D96">
        <w:rPr>
          <w:lang w:eastAsia="en-GB"/>
        </w:rPr>
        <w:lastRenderedPageBreak/>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14:paraId="573817AC" w14:textId="4C71BC34" w:rsidR="005569FD" w:rsidRPr="003D3D96" w:rsidRDefault="005A4AA4" w:rsidP="005569FD">
      <w:pPr>
        <w:pStyle w:val="Heading2"/>
        <w:numPr>
          <w:ilvl w:val="0"/>
          <w:numId w:val="0"/>
        </w:numPr>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18662466"/>
      <w:r>
        <w:rPr>
          <w:rStyle w:val="IntenseReference"/>
          <w:color w:val="1F497D"/>
          <w:sz w:val="18"/>
          <w:szCs w:val="18"/>
          <w:u w:val="none"/>
        </w:rPr>
        <w:t>Recommended for approval</w:t>
      </w:r>
      <w:r w:rsidR="00596A9E">
        <w:rPr>
          <w:rStyle w:val="IntenseReference"/>
          <w:color w:val="1F497D"/>
          <w:sz w:val="18"/>
          <w:szCs w:val="18"/>
          <w:u w:val="none"/>
        </w:rPr>
        <w:t xml:space="preserve"> </w:t>
      </w:r>
      <w:r w:rsidR="00987EFC" w:rsidRPr="003D3D96">
        <w:rPr>
          <w:rStyle w:val="IntenseReference"/>
          <w:color w:val="1F497D"/>
          <w:sz w:val="18"/>
          <w:szCs w:val="18"/>
          <w:u w:val="none"/>
        </w:rPr>
        <w:t xml:space="preserve">– </w:t>
      </w:r>
      <w:r w:rsidR="00B4725C">
        <w:rPr>
          <w:rStyle w:val="IntenseReference"/>
          <w:color w:val="1F497D"/>
          <w:sz w:val="18"/>
          <w:szCs w:val="18"/>
          <w:u w:val="none"/>
        </w:rPr>
        <w:t>unanimous</w:t>
      </w:r>
      <w:r w:rsidR="00987EFC" w:rsidRPr="003D3D96">
        <w:rPr>
          <w:rStyle w:val="IntenseReference"/>
          <w:color w:val="1F497D"/>
          <w:sz w:val="18"/>
          <w:szCs w:val="18"/>
          <w:u w:val="none"/>
        </w:rPr>
        <w:t xml:space="preserve"> Vote</w:t>
      </w:r>
      <w:bookmarkEnd w:id="12"/>
      <w:bookmarkEnd w:id="13"/>
      <w:bookmarkEnd w:id="14"/>
      <w:bookmarkEnd w:id="15"/>
      <w:bookmarkEnd w:id="16"/>
      <w:bookmarkEnd w:id="17"/>
      <w:bookmarkEnd w:id="18"/>
    </w:p>
    <w:p w14:paraId="573817AD" w14:textId="77777777" w:rsidR="008A753C" w:rsidRDefault="008A753C" w:rsidP="008A753C">
      <w:pPr>
        <w:pStyle w:val="Bullet1"/>
        <w:numPr>
          <w:ilvl w:val="0"/>
          <w:numId w:val="0"/>
        </w:numPr>
        <w:jc w:val="both"/>
        <w:rPr>
          <w:rStyle w:val="IntenseReference1"/>
          <w:b w:val="0"/>
          <w:bCs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160"/>
        <w:gridCol w:w="1589"/>
      </w:tblGrid>
      <w:tr w:rsidR="008A753C" w:rsidRPr="00756CCD" w14:paraId="573817AF" w14:textId="77777777" w:rsidTr="00B5082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573817AE" w14:textId="722778A4" w:rsidR="008A753C" w:rsidRPr="00756CCD" w:rsidRDefault="008A753C" w:rsidP="00B50824">
            <w:pPr>
              <w:spacing w:before="40" w:after="40"/>
              <w:jc w:val="center"/>
              <w:rPr>
                <w:b/>
                <w:color w:val="FFFFFF"/>
              </w:rPr>
            </w:pPr>
            <w:r w:rsidRPr="00AC22FA">
              <w:rPr>
                <w:b/>
                <w:color w:val="FFFFFF"/>
              </w:rPr>
              <w:t xml:space="preserve">Recommended for </w:t>
            </w:r>
            <w:r w:rsidR="00D40F43">
              <w:rPr>
                <w:b/>
                <w:color w:val="FFFFFF"/>
              </w:rPr>
              <w:t>Approval</w:t>
            </w:r>
            <w:r w:rsidR="005A4AA4">
              <w:rPr>
                <w:b/>
                <w:color w:val="FFFFFF"/>
              </w:rPr>
              <w:t xml:space="preserve"> by Unanimous</w:t>
            </w:r>
            <w:r>
              <w:rPr>
                <w:b/>
                <w:color w:val="FFFFFF"/>
              </w:rPr>
              <w:t xml:space="preserve"> </w:t>
            </w:r>
            <w:r w:rsidRPr="00AC22FA">
              <w:rPr>
                <w:b/>
                <w:color w:val="FFFFFF"/>
              </w:rPr>
              <w:t xml:space="preserve">Vote </w:t>
            </w:r>
          </w:p>
        </w:tc>
      </w:tr>
      <w:tr w:rsidR="000201F8" w:rsidRPr="00B4725C" w14:paraId="573817B3" w14:textId="77777777" w:rsidTr="000201F8">
        <w:trPr>
          <w:jc w:val="center"/>
        </w:trPr>
        <w:tc>
          <w:tcPr>
            <w:tcW w:w="1695" w:type="pct"/>
            <w:shd w:val="clear" w:color="auto" w:fill="auto"/>
            <w:vAlign w:val="center"/>
          </w:tcPr>
          <w:p w14:paraId="573817B0" w14:textId="44576EBB" w:rsidR="000201F8" w:rsidRPr="008A7D00" w:rsidRDefault="000201F8" w:rsidP="00B4725C">
            <w:pPr>
              <w:spacing w:before="40" w:after="40"/>
              <w:jc w:val="center"/>
              <w:rPr>
                <w:rFonts w:cs="Arial"/>
                <w:sz w:val="16"/>
                <w:szCs w:val="16"/>
              </w:rPr>
            </w:pPr>
            <w:r>
              <w:rPr>
                <w:rFonts w:cs="Arial"/>
              </w:rPr>
              <w:t>Jill Murray (Chair)</w:t>
            </w:r>
          </w:p>
        </w:tc>
        <w:tc>
          <w:tcPr>
            <w:tcW w:w="1904" w:type="pct"/>
            <w:shd w:val="clear" w:color="auto" w:fill="auto"/>
            <w:vAlign w:val="center"/>
          </w:tcPr>
          <w:p w14:paraId="573817B1" w14:textId="4E527D1F" w:rsidR="000201F8" w:rsidRPr="008A7D00" w:rsidRDefault="000201F8" w:rsidP="00B4725C">
            <w:pPr>
              <w:spacing w:before="40" w:after="40"/>
              <w:jc w:val="center"/>
              <w:rPr>
                <w:rFonts w:cs="Arial"/>
                <w:sz w:val="16"/>
                <w:szCs w:val="16"/>
              </w:rPr>
            </w:pPr>
            <w:r>
              <w:rPr>
                <w:rFonts w:cs="Arial"/>
              </w:rPr>
              <w:t>Supplier Alternate</w:t>
            </w:r>
          </w:p>
        </w:tc>
        <w:tc>
          <w:tcPr>
            <w:tcW w:w="1400" w:type="pct"/>
            <w:shd w:val="clear" w:color="auto" w:fill="auto"/>
            <w:vAlign w:val="center"/>
          </w:tcPr>
          <w:p w14:paraId="573817B2" w14:textId="294E902D" w:rsidR="000201F8" w:rsidRPr="00B4725C" w:rsidRDefault="00B4725C" w:rsidP="00B4725C">
            <w:pPr>
              <w:spacing w:before="40" w:after="40"/>
              <w:jc w:val="center"/>
            </w:pPr>
            <w:r w:rsidRPr="00B4725C">
              <w:t>Approved</w:t>
            </w:r>
          </w:p>
        </w:tc>
      </w:tr>
      <w:tr w:rsidR="000201F8" w:rsidRPr="00B4725C" w14:paraId="573817B7" w14:textId="77777777" w:rsidTr="000201F8">
        <w:trPr>
          <w:jc w:val="center"/>
        </w:trPr>
        <w:tc>
          <w:tcPr>
            <w:tcW w:w="1695" w:type="pct"/>
            <w:shd w:val="clear" w:color="auto" w:fill="auto"/>
            <w:vAlign w:val="center"/>
          </w:tcPr>
          <w:p w14:paraId="573817B4" w14:textId="02C09765" w:rsidR="000201F8" w:rsidRPr="008A7D00" w:rsidRDefault="000201F8" w:rsidP="00B4725C">
            <w:pPr>
              <w:spacing w:before="40" w:after="40"/>
              <w:jc w:val="center"/>
              <w:rPr>
                <w:rFonts w:cs="Arial"/>
                <w:sz w:val="16"/>
                <w:szCs w:val="16"/>
              </w:rPr>
            </w:pPr>
            <w:r>
              <w:rPr>
                <w:rFonts w:cs="Arial"/>
              </w:rPr>
              <w:t>Alan Mullane</w:t>
            </w:r>
          </w:p>
        </w:tc>
        <w:tc>
          <w:tcPr>
            <w:tcW w:w="1904" w:type="pct"/>
            <w:shd w:val="clear" w:color="auto" w:fill="auto"/>
            <w:vAlign w:val="center"/>
          </w:tcPr>
          <w:p w14:paraId="573817B5" w14:textId="15B166CD" w:rsidR="000201F8" w:rsidRPr="008A7D00" w:rsidRDefault="000201F8" w:rsidP="00B4725C">
            <w:pPr>
              <w:spacing w:before="40" w:after="40"/>
              <w:jc w:val="center"/>
              <w:rPr>
                <w:rFonts w:cs="Arial"/>
                <w:sz w:val="16"/>
                <w:szCs w:val="16"/>
              </w:rPr>
            </w:pPr>
            <w:r>
              <w:rPr>
                <w:rFonts w:cs="Arial"/>
              </w:rPr>
              <w:t>Assetless Member</w:t>
            </w:r>
          </w:p>
        </w:tc>
        <w:tc>
          <w:tcPr>
            <w:tcW w:w="1400" w:type="pct"/>
            <w:shd w:val="clear" w:color="auto" w:fill="auto"/>
            <w:vAlign w:val="center"/>
          </w:tcPr>
          <w:p w14:paraId="573817B6" w14:textId="7364F9EB" w:rsidR="000201F8" w:rsidRPr="00B4725C" w:rsidRDefault="00B4725C" w:rsidP="00B4725C">
            <w:pPr>
              <w:jc w:val="center"/>
            </w:pPr>
            <w:r w:rsidRPr="00B4725C">
              <w:t>Approved</w:t>
            </w:r>
          </w:p>
        </w:tc>
      </w:tr>
      <w:tr w:rsidR="000201F8" w:rsidRPr="00B4725C" w14:paraId="573817BB" w14:textId="77777777" w:rsidTr="000201F8">
        <w:trPr>
          <w:trHeight w:val="437"/>
          <w:jc w:val="center"/>
        </w:trPr>
        <w:tc>
          <w:tcPr>
            <w:tcW w:w="1695" w:type="pct"/>
            <w:shd w:val="clear" w:color="auto" w:fill="auto"/>
            <w:vAlign w:val="center"/>
          </w:tcPr>
          <w:p w14:paraId="573817B8" w14:textId="55244257" w:rsidR="000201F8" w:rsidRPr="008A7D00" w:rsidRDefault="000201F8" w:rsidP="00B4725C">
            <w:pPr>
              <w:spacing w:before="40" w:after="40"/>
              <w:jc w:val="center"/>
              <w:rPr>
                <w:rFonts w:cs="Arial"/>
                <w:sz w:val="16"/>
                <w:szCs w:val="16"/>
              </w:rPr>
            </w:pPr>
            <w:r>
              <w:rPr>
                <w:rFonts w:cs="Arial"/>
              </w:rPr>
              <w:t>William Carr</w:t>
            </w:r>
          </w:p>
        </w:tc>
        <w:tc>
          <w:tcPr>
            <w:tcW w:w="1904" w:type="pct"/>
            <w:shd w:val="clear" w:color="auto" w:fill="auto"/>
            <w:vAlign w:val="center"/>
          </w:tcPr>
          <w:p w14:paraId="573817B9" w14:textId="2A51AE98" w:rsidR="000201F8" w:rsidRPr="008A7D00" w:rsidRDefault="000201F8" w:rsidP="00B4725C">
            <w:pPr>
              <w:spacing w:before="40" w:after="40"/>
              <w:jc w:val="center"/>
              <w:rPr>
                <w:sz w:val="16"/>
                <w:szCs w:val="16"/>
              </w:rPr>
            </w:pPr>
            <w:r>
              <w:rPr>
                <w:rFonts w:cs="Arial"/>
              </w:rPr>
              <w:t>Generator Alternate</w:t>
            </w:r>
          </w:p>
        </w:tc>
        <w:tc>
          <w:tcPr>
            <w:tcW w:w="1400" w:type="pct"/>
            <w:shd w:val="clear" w:color="auto" w:fill="auto"/>
            <w:vAlign w:val="center"/>
          </w:tcPr>
          <w:p w14:paraId="573817BA" w14:textId="03D49619" w:rsidR="000201F8" w:rsidRPr="00B4725C" w:rsidRDefault="00B4725C" w:rsidP="00B4725C">
            <w:pPr>
              <w:jc w:val="center"/>
            </w:pPr>
            <w:r w:rsidRPr="00B4725C">
              <w:t>Approved</w:t>
            </w:r>
          </w:p>
        </w:tc>
      </w:tr>
      <w:tr w:rsidR="000201F8" w:rsidRPr="00B4725C" w14:paraId="573817BF" w14:textId="77777777" w:rsidTr="000201F8">
        <w:trPr>
          <w:jc w:val="center"/>
        </w:trPr>
        <w:tc>
          <w:tcPr>
            <w:tcW w:w="1695" w:type="pct"/>
            <w:shd w:val="clear" w:color="auto" w:fill="auto"/>
            <w:vAlign w:val="center"/>
          </w:tcPr>
          <w:p w14:paraId="573817BC" w14:textId="53C3B084" w:rsidR="000201F8" w:rsidRPr="008A7D00" w:rsidRDefault="000201F8" w:rsidP="00B4725C">
            <w:pPr>
              <w:spacing w:before="40" w:after="40"/>
              <w:jc w:val="center"/>
              <w:rPr>
                <w:rFonts w:cs="Arial"/>
                <w:sz w:val="16"/>
                <w:szCs w:val="16"/>
              </w:rPr>
            </w:pPr>
            <w:r>
              <w:rPr>
                <w:rFonts w:cs="Arial"/>
              </w:rPr>
              <w:t>Joe Devlin</w:t>
            </w:r>
          </w:p>
        </w:tc>
        <w:tc>
          <w:tcPr>
            <w:tcW w:w="1904" w:type="pct"/>
            <w:shd w:val="clear" w:color="auto" w:fill="auto"/>
            <w:vAlign w:val="center"/>
          </w:tcPr>
          <w:p w14:paraId="573817BD" w14:textId="5A057B7D" w:rsidR="000201F8" w:rsidRPr="008A7D00" w:rsidRDefault="000201F8" w:rsidP="00B4725C">
            <w:pPr>
              <w:spacing w:before="40" w:after="40"/>
              <w:jc w:val="center"/>
              <w:rPr>
                <w:rFonts w:cs="Arial"/>
                <w:sz w:val="16"/>
                <w:szCs w:val="16"/>
              </w:rPr>
            </w:pPr>
            <w:r>
              <w:rPr>
                <w:rFonts w:cs="Arial"/>
              </w:rPr>
              <w:t>Generator Alternate</w:t>
            </w:r>
          </w:p>
        </w:tc>
        <w:tc>
          <w:tcPr>
            <w:tcW w:w="1400" w:type="pct"/>
            <w:shd w:val="clear" w:color="auto" w:fill="auto"/>
            <w:vAlign w:val="center"/>
          </w:tcPr>
          <w:p w14:paraId="573817BE" w14:textId="0D8EFBF3" w:rsidR="000201F8" w:rsidRPr="00B4725C" w:rsidRDefault="00B4725C" w:rsidP="00B4725C">
            <w:pPr>
              <w:jc w:val="center"/>
            </w:pPr>
            <w:r w:rsidRPr="00B4725C">
              <w:t>Approved</w:t>
            </w:r>
          </w:p>
        </w:tc>
      </w:tr>
      <w:tr w:rsidR="000201F8" w:rsidRPr="00B4725C" w14:paraId="573817C3" w14:textId="77777777" w:rsidTr="000201F8">
        <w:trPr>
          <w:jc w:val="center"/>
        </w:trPr>
        <w:tc>
          <w:tcPr>
            <w:tcW w:w="1695" w:type="pct"/>
            <w:shd w:val="clear" w:color="auto" w:fill="auto"/>
            <w:vAlign w:val="center"/>
          </w:tcPr>
          <w:p w14:paraId="573817C0" w14:textId="3CBE824A" w:rsidR="000201F8" w:rsidRPr="008A7D00" w:rsidRDefault="000201F8" w:rsidP="00B4725C">
            <w:pPr>
              <w:spacing w:before="40" w:after="40"/>
              <w:jc w:val="center"/>
              <w:rPr>
                <w:rFonts w:cs="Arial"/>
                <w:sz w:val="16"/>
                <w:szCs w:val="16"/>
              </w:rPr>
            </w:pPr>
            <w:r>
              <w:rPr>
                <w:rFonts w:cs="Arial"/>
              </w:rPr>
              <w:t>David Gascon</w:t>
            </w:r>
          </w:p>
        </w:tc>
        <w:tc>
          <w:tcPr>
            <w:tcW w:w="1904" w:type="pct"/>
            <w:shd w:val="clear" w:color="auto" w:fill="auto"/>
            <w:vAlign w:val="center"/>
          </w:tcPr>
          <w:p w14:paraId="573817C1" w14:textId="54879E35" w:rsidR="000201F8" w:rsidRPr="008A7D00" w:rsidRDefault="000201F8" w:rsidP="00B4725C">
            <w:pPr>
              <w:spacing w:before="40" w:after="40"/>
              <w:jc w:val="center"/>
              <w:rPr>
                <w:rFonts w:cs="Arial"/>
                <w:sz w:val="16"/>
                <w:szCs w:val="16"/>
              </w:rPr>
            </w:pPr>
            <w:r>
              <w:rPr>
                <w:rFonts w:cs="Arial"/>
              </w:rPr>
              <w:t>Generator Alternate</w:t>
            </w:r>
          </w:p>
        </w:tc>
        <w:tc>
          <w:tcPr>
            <w:tcW w:w="1400" w:type="pct"/>
            <w:shd w:val="clear" w:color="auto" w:fill="auto"/>
            <w:vAlign w:val="center"/>
          </w:tcPr>
          <w:p w14:paraId="573817C2" w14:textId="41645BF7" w:rsidR="000201F8" w:rsidRPr="00B4725C" w:rsidRDefault="00B4725C" w:rsidP="00B4725C">
            <w:pPr>
              <w:jc w:val="center"/>
            </w:pPr>
            <w:r w:rsidRPr="00B4725C">
              <w:t>Approved</w:t>
            </w:r>
          </w:p>
        </w:tc>
      </w:tr>
      <w:tr w:rsidR="000201F8" w:rsidRPr="00B4725C" w14:paraId="573817C7" w14:textId="77777777" w:rsidTr="000201F8">
        <w:trPr>
          <w:jc w:val="center"/>
        </w:trPr>
        <w:tc>
          <w:tcPr>
            <w:tcW w:w="1695" w:type="pct"/>
            <w:shd w:val="clear" w:color="auto" w:fill="auto"/>
            <w:vAlign w:val="center"/>
          </w:tcPr>
          <w:p w14:paraId="573817C4" w14:textId="7AC5188D" w:rsidR="000201F8" w:rsidRPr="008A7D00" w:rsidRDefault="000201F8" w:rsidP="00B4725C">
            <w:pPr>
              <w:spacing w:before="40" w:after="40"/>
              <w:jc w:val="center"/>
              <w:rPr>
                <w:rFonts w:cs="Arial"/>
                <w:sz w:val="16"/>
                <w:szCs w:val="16"/>
              </w:rPr>
            </w:pPr>
            <w:r>
              <w:rPr>
                <w:rFonts w:cs="Arial"/>
              </w:rPr>
              <w:t>Kevin Hannafin</w:t>
            </w:r>
          </w:p>
        </w:tc>
        <w:tc>
          <w:tcPr>
            <w:tcW w:w="1904" w:type="pct"/>
            <w:shd w:val="clear" w:color="auto" w:fill="auto"/>
            <w:vAlign w:val="center"/>
          </w:tcPr>
          <w:p w14:paraId="573817C5" w14:textId="5393E25E" w:rsidR="000201F8" w:rsidRPr="008A7D00" w:rsidRDefault="000201F8" w:rsidP="00B4725C">
            <w:pPr>
              <w:spacing w:before="40" w:after="40"/>
              <w:jc w:val="center"/>
              <w:rPr>
                <w:rFonts w:cs="Arial"/>
                <w:sz w:val="16"/>
                <w:szCs w:val="16"/>
              </w:rPr>
            </w:pPr>
            <w:r>
              <w:rPr>
                <w:rFonts w:cs="Arial"/>
              </w:rPr>
              <w:t>Generator Member</w:t>
            </w:r>
          </w:p>
        </w:tc>
        <w:tc>
          <w:tcPr>
            <w:tcW w:w="1400" w:type="pct"/>
            <w:shd w:val="clear" w:color="auto" w:fill="auto"/>
            <w:vAlign w:val="center"/>
          </w:tcPr>
          <w:p w14:paraId="573817C6" w14:textId="4228DF88" w:rsidR="000201F8" w:rsidRPr="00B4725C" w:rsidRDefault="00B4725C" w:rsidP="00B4725C">
            <w:pPr>
              <w:jc w:val="center"/>
            </w:pPr>
            <w:r w:rsidRPr="00B4725C">
              <w:t>Approved</w:t>
            </w:r>
          </w:p>
        </w:tc>
      </w:tr>
      <w:tr w:rsidR="000201F8" w:rsidRPr="00B4725C" w14:paraId="573817CB" w14:textId="77777777" w:rsidTr="000201F8">
        <w:trPr>
          <w:jc w:val="center"/>
        </w:trPr>
        <w:tc>
          <w:tcPr>
            <w:tcW w:w="1695" w:type="pct"/>
            <w:shd w:val="clear" w:color="auto" w:fill="auto"/>
            <w:vAlign w:val="center"/>
          </w:tcPr>
          <w:p w14:paraId="573817C8" w14:textId="6ED29BFE" w:rsidR="000201F8" w:rsidRPr="008A7D00" w:rsidRDefault="000201F8" w:rsidP="00B4725C">
            <w:pPr>
              <w:spacing w:before="40" w:after="40"/>
              <w:jc w:val="center"/>
              <w:rPr>
                <w:rFonts w:cs="Arial"/>
                <w:sz w:val="16"/>
                <w:szCs w:val="16"/>
              </w:rPr>
            </w:pPr>
            <w:r>
              <w:rPr>
                <w:rFonts w:cs="Arial"/>
              </w:rPr>
              <w:t>Mark Phelan</w:t>
            </w:r>
          </w:p>
        </w:tc>
        <w:tc>
          <w:tcPr>
            <w:tcW w:w="1904" w:type="pct"/>
            <w:shd w:val="clear" w:color="auto" w:fill="auto"/>
            <w:vAlign w:val="center"/>
          </w:tcPr>
          <w:p w14:paraId="573817C9" w14:textId="313C1218" w:rsidR="000201F8" w:rsidRPr="008A7D00" w:rsidRDefault="000201F8" w:rsidP="00B4725C">
            <w:pPr>
              <w:spacing w:before="40" w:after="40"/>
              <w:jc w:val="center"/>
              <w:rPr>
                <w:rFonts w:cs="Arial"/>
                <w:sz w:val="16"/>
                <w:szCs w:val="16"/>
              </w:rPr>
            </w:pPr>
            <w:r>
              <w:rPr>
                <w:rFonts w:cs="Arial"/>
              </w:rPr>
              <w:t>Supplier Alternate</w:t>
            </w:r>
          </w:p>
        </w:tc>
        <w:tc>
          <w:tcPr>
            <w:tcW w:w="1400" w:type="pct"/>
            <w:shd w:val="clear" w:color="auto" w:fill="auto"/>
            <w:vAlign w:val="center"/>
          </w:tcPr>
          <w:p w14:paraId="573817CA" w14:textId="35144537" w:rsidR="000201F8" w:rsidRPr="00B4725C" w:rsidRDefault="00B4725C" w:rsidP="00B4725C">
            <w:pPr>
              <w:jc w:val="center"/>
            </w:pPr>
            <w:r w:rsidRPr="00B4725C">
              <w:t>Approved</w:t>
            </w:r>
          </w:p>
        </w:tc>
      </w:tr>
      <w:tr w:rsidR="000201F8" w:rsidRPr="00B4725C" w14:paraId="573817CF" w14:textId="77777777" w:rsidTr="000201F8">
        <w:trPr>
          <w:jc w:val="center"/>
        </w:trPr>
        <w:tc>
          <w:tcPr>
            <w:tcW w:w="1695" w:type="pct"/>
            <w:shd w:val="clear" w:color="auto" w:fill="auto"/>
            <w:vAlign w:val="center"/>
          </w:tcPr>
          <w:p w14:paraId="573817CC" w14:textId="4302A0AE" w:rsidR="000201F8" w:rsidRPr="008A7D00" w:rsidRDefault="000201F8" w:rsidP="00B4725C">
            <w:pPr>
              <w:spacing w:before="40" w:after="40"/>
              <w:jc w:val="center"/>
              <w:rPr>
                <w:rFonts w:cs="Arial"/>
                <w:sz w:val="16"/>
                <w:szCs w:val="16"/>
              </w:rPr>
            </w:pPr>
            <w:r>
              <w:rPr>
                <w:rFonts w:cs="Arial"/>
              </w:rPr>
              <w:t>Rochelle Broderick</w:t>
            </w:r>
          </w:p>
        </w:tc>
        <w:tc>
          <w:tcPr>
            <w:tcW w:w="1904" w:type="pct"/>
            <w:shd w:val="clear" w:color="auto" w:fill="auto"/>
            <w:vAlign w:val="center"/>
          </w:tcPr>
          <w:p w14:paraId="573817CD" w14:textId="2A6B7619" w:rsidR="000201F8" w:rsidRPr="008A7D00" w:rsidRDefault="000201F8" w:rsidP="00B4725C">
            <w:pPr>
              <w:spacing w:before="40" w:after="40"/>
              <w:jc w:val="center"/>
              <w:rPr>
                <w:rFonts w:cs="Arial"/>
                <w:sz w:val="16"/>
                <w:szCs w:val="16"/>
              </w:rPr>
            </w:pPr>
            <w:r>
              <w:rPr>
                <w:rFonts w:cs="Arial"/>
              </w:rPr>
              <w:t>Supplier Alternate</w:t>
            </w:r>
          </w:p>
        </w:tc>
        <w:tc>
          <w:tcPr>
            <w:tcW w:w="1400" w:type="pct"/>
            <w:shd w:val="clear" w:color="auto" w:fill="auto"/>
            <w:vAlign w:val="center"/>
          </w:tcPr>
          <w:p w14:paraId="573817CE" w14:textId="65B01C87" w:rsidR="000201F8" w:rsidRPr="00B4725C" w:rsidRDefault="00B4725C" w:rsidP="00B4725C">
            <w:pPr>
              <w:jc w:val="center"/>
            </w:pPr>
            <w:r w:rsidRPr="00B4725C">
              <w:t>Approved</w:t>
            </w:r>
          </w:p>
        </w:tc>
      </w:tr>
      <w:tr w:rsidR="000201F8" w:rsidRPr="00B4725C" w14:paraId="573817D3" w14:textId="77777777" w:rsidTr="000201F8">
        <w:trPr>
          <w:jc w:val="center"/>
        </w:trPr>
        <w:tc>
          <w:tcPr>
            <w:tcW w:w="1695" w:type="pct"/>
            <w:shd w:val="clear" w:color="auto" w:fill="auto"/>
            <w:vAlign w:val="center"/>
          </w:tcPr>
          <w:p w14:paraId="573817D0" w14:textId="4B498AC8" w:rsidR="000201F8" w:rsidRPr="008A7D00" w:rsidRDefault="000201F8" w:rsidP="00B4725C">
            <w:pPr>
              <w:spacing w:before="40" w:after="40"/>
              <w:jc w:val="center"/>
              <w:rPr>
                <w:rFonts w:cs="Arial"/>
                <w:sz w:val="16"/>
                <w:szCs w:val="16"/>
              </w:rPr>
            </w:pPr>
            <w:r>
              <w:rPr>
                <w:rFonts w:cs="Arial"/>
              </w:rPr>
              <w:t>Robert McCarthy</w:t>
            </w:r>
          </w:p>
        </w:tc>
        <w:tc>
          <w:tcPr>
            <w:tcW w:w="1904" w:type="pct"/>
            <w:shd w:val="clear" w:color="auto" w:fill="auto"/>
            <w:vAlign w:val="center"/>
          </w:tcPr>
          <w:p w14:paraId="573817D1" w14:textId="31098E5D" w:rsidR="000201F8" w:rsidRPr="008A7D00" w:rsidRDefault="000201F8" w:rsidP="00B4725C">
            <w:pPr>
              <w:spacing w:before="40" w:after="40"/>
              <w:jc w:val="center"/>
              <w:rPr>
                <w:rFonts w:cs="Arial"/>
                <w:sz w:val="16"/>
                <w:szCs w:val="16"/>
              </w:rPr>
            </w:pPr>
            <w:r>
              <w:rPr>
                <w:rFonts w:cs="Arial"/>
              </w:rPr>
              <w:t>DSU Alternate</w:t>
            </w:r>
          </w:p>
        </w:tc>
        <w:tc>
          <w:tcPr>
            <w:tcW w:w="1400" w:type="pct"/>
            <w:shd w:val="clear" w:color="auto" w:fill="auto"/>
            <w:vAlign w:val="center"/>
          </w:tcPr>
          <w:p w14:paraId="573817D2" w14:textId="3043672C" w:rsidR="000201F8" w:rsidRPr="00B4725C" w:rsidRDefault="00B4725C" w:rsidP="00B4725C">
            <w:pPr>
              <w:jc w:val="center"/>
            </w:pPr>
            <w:r w:rsidRPr="00B4725C">
              <w:t>Approved</w:t>
            </w:r>
          </w:p>
        </w:tc>
      </w:tr>
      <w:tr w:rsidR="00D40F43" w:rsidRPr="00B4725C" w14:paraId="287153B6" w14:textId="77777777" w:rsidTr="000201F8">
        <w:trPr>
          <w:jc w:val="center"/>
        </w:trPr>
        <w:tc>
          <w:tcPr>
            <w:tcW w:w="1695" w:type="pct"/>
            <w:shd w:val="clear" w:color="auto" w:fill="auto"/>
            <w:vAlign w:val="center"/>
          </w:tcPr>
          <w:p w14:paraId="5178DA53" w14:textId="7DE38735" w:rsidR="00D40F43" w:rsidRDefault="00D40F43" w:rsidP="00B4725C">
            <w:pPr>
              <w:spacing w:before="40" w:after="40"/>
              <w:jc w:val="center"/>
              <w:rPr>
                <w:rFonts w:cs="Arial"/>
              </w:rPr>
            </w:pPr>
            <w:r>
              <w:rPr>
                <w:rFonts w:cs="Arial"/>
              </w:rPr>
              <w:t>Eamonn Boland</w:t>
            </w:r>
          </w:p>
        </w:tc>
        <w:tc>
          <w:tcPr>
            <w:tcW w:w="1904" w:type="pct"/>
            <w:shd w:val="clear" w:color="auto" w:fill="auto"/>
            <w:vAlign w:val="center"/>
          </w:tcPr>
          <w:p w14:paraId="245C7A58" w14:textId="1CC700A8" w:rsidR="00D40F43" w:rsidRDefault="00D40F43" w:rsidP="00B4725C">
            <w:pPr>
              <w:spacing w:before="40" w:after="40"/>
              <w:jc w:val="center"/>
              <w:rPr>
                <w:rFonts w:cs="Arial"/>
              </w:rPr>
            </w:pPr>
            <w:r>
              <w:rPr>
                <w:rFonts w:cs="Arial"/>
              </w:rPr>
              <w:t>Supplier Alternate</w:t>
            </w:r>
          </w:p>
        </w:tc>
        <w:tc>
          <w:tcPr>
            <w:tcW w:w="1400" w:type="pct"/>
            <w:shd w:val="clear" w:color="auto" w:fill="auto"/>
            <w:vAlign w:val="center"/>
          </w:tcPr>
          <w:p w14:paraId="0ACE53CB" w14:textId="1970DF03" w:rsidR="00D40F43" w:rsidRPr="00B4725C" w:rsidRDefault="00D40F43" w:rsidP="00B4725C">
            <w:pPr>
              <w:jc w:val="center"/>
            </w:pPr>
            <w:r>
              <w:t>Approved</w:t>
            </w:r>
          </w:p>
        </w:tc>
      </w:tr>
    </w:tbl>
    <w:p w14:paraId="573817D4" w14:textId="77777777" w:rsidR="00FC3FEE" w:rsidRPr="003D3D96" w:rsidRDefault="00FC3FEE" w:rsidP="00727BBB">
      <w:pPr>
        <w:pStyle w:val="Bullet1"/>
        <w:numPr>
          <w:ilvl w:val="0"/>
          <w:numId w:val="0"/>
        </w:numPr>
      </w:pPr>
    </w:p>
    <w:p w14:paraId="573817D5" w14:textId="77777777" w:rsidR="009408DE" w:rsidRPr="003D3D96" w:rsidRDefault="003E7F8C" w:rsidP="00AD60CD">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18662467"/>
      <w:r w:rsidRPr="003D3D96">
        <w:rPr>
          <w:lang w:eastAsia="en-GB"/>
        </w:rPr>
        <w:t>Background</w:t>
      </w:r>
      <w:bookmarkEnd w:id="19"/>
      <w:bookmarkEnd w:id="20"/>
      <w:bookmarkEnd w:id="21"/>
      <w:bookmarkEnd w:id="22"/>
      <w:bookmarkEnd w:id="23"/>
      <w:bookmarkEnd w:id="24"/>
      <w:bookmarkEnd w:id="25"/>
    </w:p>
    <w:p w14:paraId="573817D6" w14:textId="4C83CBF9" w:rsidR="000A159C" w:rsidRDefault="000A159C" w:rsidP="000201F8">
      <w:pPr>
        <w:jc w:val="both"/>
        <w:rPr>
          <w:lang w:val="en-IE"/>
        </w:rPr>
      </w:pPr>
      <w:r>
        <w:rPr>
          <w:rFonts w:cs="Arial"/>
        </w:rPr>
        <w:t>This Modification Proposal was raised by SEMO and was r</w:t>
      </w:r>
      <w:r w:rsidR="00552D4D">
        <w:rPr>
          <w:rFonts w:cs="Arial"/>
        </w:rPr>
        <w:t>eceived by the Secretariat on 08</w:t>
      </w:r>
      <w:r w:rsidR="00552D4D" w:rsidRPr="00552D4D">
        <w:rPr>
          <w:rFonts w:cs="Arial"/>
          <w:vertAlign w:val="superscript"/>
        </w:rPr>
        <w:t>th</w:t>
      </w:r>
      <w:r w:rsidR="00552D4D">
        <w:rPr>
          <w:rFonts w:cs="Arial"/>
        </w:rPr>
        <w:t xml:space="preserve"> August</w:t>
      </w:r>
      <w:r w:rsidR="000201F8">
        <w:rPr>
          <w:rFonts w:cs="Arial"/>
        </w:rPr>
        <w:t xml:space="preserve"> 2019</w:t>
      </w:r>
      <w:r>
        <w:rPr>
          <w:rFonts w:cs="Arial"/>
        </w:rPr>
        <w:t xml:space="preserve">. </w:t>
      </w:r>
      <w:r w:rsidR="00336C28">
        <w:rPr>
          <w:rFonts w:cs="Arial"/>
        </w:rPr>
        <w:t>The proposal was discussed and voted on at Meeting 93 on 22</w:t>
      </w:r>
      <w:r w:rsidR="00336C28" w:rsidRPr="00336C28">
        <w:rPr>
          <w:rFonts w:cs="Arial"/>
          <w:vertAlign w:val="superscript"/>
        </w:rPr>
        <w:t>nd</w:t>
      </w:r>
      <w:r w:rsidR="00336C28">
        <w:rPr>
          <w:rFonts w:cs="Arial"/>
        </w:rPr>
        <w:t xml:space="preserve"> August 2019.</w:t>
      </w:r>
    </w:p>
    <w:p w14:paraId="2FDC6C04" w14:textId="1D5E66F3" w:rsidR="00552D4D" w:rsidRPr="00552D4D" w:rsidRDefault="00552D4D" w:rsidP="00552D4D">
      <w:pPr>
        <w:jc w:val="both"/>
        <w:rPr>
          <w:rFonts w:cs="Arial"/>
          <w:lang w:val="en-IE"/>
        </w:rPr>
      </w:pPr>
      <w:r w:rsidRPr="00552D4D">
        <w:rPr>
          <w:rFonts w:cs="Arial"/>
          <w:lang w:val="en-IE"/>
        </w:rPr>
        <w:t>This proposal seeks to remove the current exclusion on the calculation of System Service Flag for Demand Side Units. This flag is not currently used to determine Capacity Non Delivery Difference Quantities and Charges for Demand Side Units as the Demand Side Non Delivery Percentage (FNDDS) is used, which is calculated by the TSOs based on a methodology</w:t>
      </w:r>
      <w:r w:rsidR="00DA644D">
        <w:rPr>
          <w:rFonts w:cs="Arial"/>
          <w:lang w:val="en-IE"/>
        </w:rPr>
        <w:t xml:space="preserve"> which is </w:t>
      </w:r>
      <w:r w:rsidRPr="00552D4D">
        <w:rPr>
          <w:rFonts w:cs="Arial"/>
          <w:lang w:val="en-IE"/>
        </w:rPr>
        <w:t>determined and published separately from the Trading and Settlement Code. It is therefore also not currently determined under the Code or otherwise.</w:t>
      </w:r>
    </w:p>
    <w:p w14:paraId="50DCAD4C" w14:textId="77777777" w:rsidR="00552D4D" w:rsidRPr="00552D4D" w:rsidRDefault="00552D4D" w:rsidP="00552D4D">
      <w:pPr>
        <w:jc w:val="both"/>
        <w:rPr>
          <w:rFonts w:cs="Arial"/>
          <w:lang w:val="en-IE"/>
        </w:rPr>
      </w:pPr>
      <w:r w:rsidRPr="00552D4D">
        <w:rPr>
          <w:rFonts w:cs="Arial"/>
          <w:lang w:val="en-IE"/>
        </w:rPr>
        <w:t xml:space="preserve">Discussions during the working group process for Mod_32_18 around the treatment of difference charges where a unit is bound by a constraint relating to system service provision led to an action to progress an approach whereby the System Service Flag could be used within the FNDDS methodology for DSUs so that any relief from difference charges where a unit is subject to a System Service Flag can be considered for DSUs. </w:t>
      </w:r>
    </w:p>
    <w:p w14:paraId="0A80AE3A" w14:textId="77777777" w:rsidR="00552D4D" w:rsidRPr="00552D4D" w:rsidRDefault="00552D4D" w:rsidP="00552D4D">
      <w:pPr>
        <w:jc w:val="both"/>
        <w:rPr>
          <w:rFonts w:cs="Arial"/>
          <w:lang w:val="en-IE"/>
        </w:rPr>
      </w:pPr>
      <w:r w:rsidRPr="00552D4D">
        <w:rPr>
          <w:rFonts w:cs="Arial"/>
          <w:lang w:val="en-IE"/>
        </w:rPr>
        <w:t>This is in the context both of the existing approach to System Service Flagging for units bound by the presence of an Operational Constraint relating to the provision of Replacement Reserve (see TSC Appendix N paragraph 2) and also any potential future change to System Service Flagging were any additional Operational Constraints to be included under this rule.</w:t>
      </w:r>
    </w:p>
    <w:p w14:paraId="2E9451AC" w14:textId="33B18DF8" w:rsidR="00552D4D" w:rsidRPr="00552D4D" w:rsidRDefault="00552D4D" w:rsidP="00552D4D">
      <w:pPr>
        <w:jc w:val="both"/>
        <w:rPr>
          <w:rFonts w:cs="Arial"/>
          <w:lang w:val="en-IE"/>
        </w:rPr>
      </w:pPr>
      <w:r w:rsidRPr="00552D4D">
        <w:rPr>
          <w:rFonts w:cs="Arial"/>
          <w:lang w:val="en-IE"/>
        </w:rPr>
        <w:t>Details of how System Service provision is treated in the context of delive</w:t>
      </w:r>
      <w:r>
        <w:rPr>
          <w:rFonts w:cs="Arial"/>
          <w:lang w:val="en-IE"/>
        </w:rPr>
        <w:t>ry or non-</w:t>
      </w:r>
      <w:r w:rsidRPr="00552D4D">
        <w:rPr>
          <w:rFonts w:cs="Arial"/>
          <w:lang w:val="en-IE"/>
        </w:rPr>
        <w:t xml:space="preserve">delivery of capacity obligations for DSUs could be separately provided for within the FNDDS methodology; however, introducing the determination of the System Service Flagging within the Trading and Settlement Code would appear to carry a number of benefits as follows. </w:t>
      </w:r>
    </w:p>
    <w:p w14:paraId="0B0E08FB" w14:textId="77777777" w:rsidR="00552D4D" w:rsidRPr="00552D4D" w:rsidRDefault="00552D4D" w:rsidP="00552D4D">
      <w:pPr>
        <w:jc w:val="both"/>
        <w:rPr>
          <w:rFonts w:cs="Arial"/>
          <w:lang w:val="en-IE"/>
        </w:rPr>
      </w:pPr>
    </w:p>
    <w:p w14:paraId="347B4253" w14:textId="77777777" w:rsidR="00552D4D" w:rsidRPr="00552D4D" w:rsidRDefault="00552D4D" w:rsidP="00552D4D">
      <w:pPr>
        <w:pStyle w:val="ListParagraph"/>
        <w:numPr>
          <w:ilvl w:val="0"/>
          <w:numId w:val="46"/>
        </w:numPr>
        <w:overflowPunct w:val="0"/>
        <w:autoSpaceDE w:val="0"/>
        <w:autoSpaceDN w:val="0"/>
        <w:adjustRightInd w:val="0"/>
        <w:spacing w:before="0" w:after="0" w:line="240" w:lineRule="auto"/>
        <w:jc w:val="both"/>
        <w:textAlignment w:val="baseline"/>
        <w:rPr>
          <w:rFonts w:cs="Arial"/>
          <w:lang w:val="en-IE"/>
        </w:rPr>
      </w:pPr>
      <w:r w:rsidRPr="00552D4D">
        <w:rPr>
          <w:rFonts w:cs="Arial"/>
          <w:lang w:val="en-IE"/>
        </w:rPr>
        <w:t>Placing a Codified obligation on the TSOs to calculate FSS;</w:t>
      </w:r>
    </w:p>
    <w:p w14:paraId="77AC4C61" w14:textId="141353E4" w:rsidR="00552D4D" w:rsidRPr="00552D4D" w:rsidRDefault="00FC0B30" w:rsidP="00552D4D">
      <w:pPr>
        <w:pStyle w:val="ListParagraph"/>
        <w:numPr>
          <w:ilvl w:val="0"/>
          <w:numId w:val="46"/>
        </w:numPr>
        <w:overflowPunct w:val="0"/>
        <w:autoSpaceDE w:val="0"/>
        <w:autoSpaceDN w:val="0"/>
        <w:adjustRightInd w:val="0"/>
        <w:spacing w:before="0" w:after="0" w:line="240" w:lineRule="auto"/>
        <w:jc w:val="both"/>
        <w:textAlignment w:val="baseline"/>
        <w:rPr>
          <w:rFonts w:cs="Arial"/>
          <w:lang w:val="en-IE"/>
        </w:rPr>
      </w:pPr>
      <w:r>
        <w:rPr>
          <w:rFonts w:cs="Arial"/>
          <w:lang w:val="en-IE"/>
        </w:rPr>
        <w:t>T</w:t>
      </w:r>
      <w:r w:rsidR="00552D4D" w:rsidRPr="00552D4D">
        <w:rPr>
          <w:rFonts w:cs="Arial"/>
          <w:lang w:val="en-IE"/>
        </w:rPr>
        <w:t>he ability to easily ensure that the System Service Flagging approaches for DSUs and other units are equivalent or otherwise fair;</w:t>
      </w:r>
    </w:p>
    <w:p w14:paraId="27FB2A76" w14:textId="47DF5C01" w:rsidR="00552D4D" w:rsidRPr="00552D4D" w:rsidRDefault="00FC0B30" w:rsidP="00552D4D">
      <w:pPr>
        <w:pStyle w:val="ListParagraph"/>
        <w:numPr>
          <w:ilvl w:val="0"/>
          <w:numId w:val="46"/>
        </w:numPr>
        <w:overflowPunct w:val="0"/>
        <w:autoSpaceDE w:val="0"/>
        <w:autoSpaceDN w:val="0"/>
        <w:adjustRightInd w:val="0"/>
        <w:spacing w:before="0" w:after="0" w:line="240" w:lineRule="auto"/>
        <w:jc w:val="both"/>
        <w:textAlignment w:val="baseline"/>
        <w:rPr>
          <w:rFonts w:cs="Arial"/>
          <w:lang w:val="en-IE"/>
        </w:rPr>
      </w:pPr>
      <w:r>
        <w:rPr>
          <w:rFonts w:cs="Arial"/>
          <w:lang w:val="en-IE"/>
        </w:rPr>
        <w:t>E</w:t>
      </w:r>
      <w:r w:rsidR="00552D4D" w:rsidRPr="00552D4D">
        <w:rPr>
          <w:rFonts w:cs="Arial"/>
          <w:lang w:val="en-IE"/>
        </w:rPr>
        <w:t xml:space="preserve">nsuring that there is no ambiguity as to whether a Trading and Settlement Code default rule does or doesn’t apply prior to the determination of FSS under an outside methodology; and </w:t>
      </w:r>
    </w:p>
    <w:p w14:paraId="6998C935" w14:textId="7A584592" w:rsidR="00552D4D" w:rsidRPr="00552D4D" w:rsidRDefault="00FC0B30" w:rsidP="00552D4D">
      <w:pPr>
        <w:pStyle w:val="ListParagraph"/>
        <w:numPr>
          <w:ilvl w:val="0"/>
          <w:numId w:val="46"/>
        </w:numPr>
        <w:overflowPunct w:val="0"/>
        <w:autoSpaceDE w:val="0"/>
        <w:autoSpaceDN w:val="0"/>
        <w:adjustRightInd w:val="0"/>
        <w:spacing w:before="0" w:after="0" w:line="240" w:lineRule="auto"/>
        <w:jc w:val="both"/>
        <w:textAlignment w:val="baseline"/>
        <w:rPr>
          <w:rFonts w:cs="Arial"/>
          <w:lang w:val="en-IE"/>
        </w:rPr>
      </w:pPr>
      <w:r>
        <w:rPr>
          <w:rFonts w:cs="Arial"/>
          <w:lang w:val="en-IE"/>
        </w:rPr>
        <w:t>E</w:t>
      </w:r>
      <w:r w:rsidR="00336C28" w:rsidRPr="00552D4D">
        <w:rPr>
          <w:rFonts w:cs="Arial"/>
          <w:lang w:val="en-IE"/>
        </w:rPr>
        <w:t>nsuring</w:t>
      </w:r>
      <w:r w:rsidR="00552D4D" w:rsidRPr="00552D4D">
        <w:rPr>
          <w:rFonts w:cs="Arial"/>
          <w:lang w:val="en-IE"/>
        </w:rPr>
        <w:t xml:space="preserve"> that FSS determination comes under Trading and Settlement Code governance in terms of how they are calculated and the process for their modification if required in future.</w:t>
      </w:r>
    </w:p>
    <w:p w14:paraId="34FE102D" w14:textId="77777777" w:rsidR="00552D4D" w:rsidRPr="00552D4D" w:rsidRDefault="00552D4D" w:rsidP="00552D4D">
      <w:pPr>
        <w:jc w:val="both"/>
        <w:rPr>
          <w:rFonts w:cs="Arial"/>
          <w:lang w:val="en-IE"/>
        </w:rPr>
      </w:pPr>
      <w:r w:rsidRPr="00552D4D">
        <w:rPr>
          <w:rFonts w:cs="Arial"/>
          <w:lang w:val="en-IE"/>
        </w:rPr>
        <w:t xml:space="preserve">This proposal should not be considered to be assuming, fettering or pre-empting any particular changes to the FNDDS calculation methodology or methodology regarding the general determination of System Operator Flag by the System Operators. Rather, it is intended to allow for any subsequent changes to either or both of these as may be deemed appropriate as discussed during the working groups for Mod_32_18. </w:t>
      </w:r>
    </w:p>
    <w:p w14:paraId="742FCC16" w14:textId="77777777" w:rsidR="00552D4D" w:rsidRPr="00552D4D" w:rsidRDefault="00552D4D" w:rsidP="00552D4D">
      <w:pPr>
        <w:jc w:val="both"/>
        <w:rPr>
          <w:rFonts w:cs="Arial"/>
          <w:lang w:val="en-IE"/>
        </w:rPr>
      </w:pPr>
      <w:r w:rsidRPr="00552D4D">
        <w:rPr>
          <w:rFonts w:cs="Arial"/>
          <w:lang w:val="en-IE"/>
        </w:rPr>
        <w:t>At the working groups it was acknowledged by SEMO and the working group at large that this Modification Proposal is worthy of consideration regardless of whether or not additional Operational Constraints related to System Services are subsequently included in the determination of FSS. An extract from the working group recommendation report related to the discussion around a potential proposal to introduce other Operational Constraints to FSS determination and how this could be applied to DSUs is as below:</w:t>
      </w:r>
    </w:p>
    <w:p w14:paraId="6ABBC0E4" w14:textId="7747F883" w:rsidR="00552D4D" w:rsidRPr="00552D4D" w:rsidRDefault="00552D4D" w:rsidP="00552D4D">
      <w:pPr>
        <w:jc w:val="both"/>
        <w:rPr>
          <w:rFonts w:cs="Arial"/>
          <w:i/>
          <w:lang w:val="en-IE"/>
        </w:rPr>
      </w:pPr>
      <w:r w:rsidRPr="00552D4D">
        <w:rPr>
          <w:rFonts w:cs="Arial"/>
          <w:i/>
          <w:lang w:val="en-IE"/>
        </w:rPr>
        <w:t>“SEMO confirmed that the proposed change is intended to apply equally across all Generator Units (including DSUs) and where required, an update could be made to the FNDDS calculation methodology to ensure this was the case. The Regulatory Authorities acknowledged this point and agreed that the solution should treat all Generator Units equally including DSUs</w:t>
      </w:r>
      <w:proofErr w:type="gramStart"/>
      <w:r w:rsidRPr="00552D4D">
        <w:rPr>
          <w:rFonts w:cs="Arial"/>
          <w:i/>
          <w:lang w:val="en-IE"/>
        </w:rPr>
        <w:t>.“</w:t>
      </w:r>
      <w:proofErr w:type="gramEnd"/>
    </w:p>
    <w:p w14:paraId="573817DA" w14:textId="77777777" w:rsidR="009C65C6" w:rsidRPr="003D3D96" w:rsidRDefault="009408DE" w:rsidP="00AD60CD">
      <w:pPr>
        <w:pStyle w:val="Heading1"/>
        <w:pageBreakBefore w:val="0"/>
        <w:numPr>
          <w:ilvl w:val="0"/>
          <w:numId w:val="11"/>
        </w:numPr>
        <w:rPr>
          <w:lang w:eastAsia="en-GB"/>
        </w:rPr>
      </w:pPr>
      <w:bookmarkStart w:id="26" w:name="_Toc313526628"/>
      <w:bookmarkStart w:id="27" w:name="_Toc313526769"/>
      <w:bookmarkStart w:id="28" w:name="_Toc313526823"/>
      <w:bookmarkStart w:id="29" w:name="_Toc313526909"/>
      <w:bookmarkStart w:id="30" w:name="_Toc313526998"/>
      <w:bookmarkStart w:id="31" w:name="_Toc313527108"/>
      <w:bookmarkStart w:id="32" w:name="_Toc18662468"/>
      <w:r w:rsidRPr="003D3D96">
        <w:rPr>
          <w:lang w:eastAsia="en-GB"/>
        </w:rPr>
        <w:t>PURPOSE OF PROPOSED MODIFICATION</w:t>
      </w:r>
      <w:bookmarkEnd w:id="26"/>
      <w:bookmarkEnd w:id="27"/>
      <w:bookmarkEnd w:id="28"/>
      <w:bookmarkEnd w:id="29"/>
      <w:bookmarkEnd w:id="30"/>
      <w:bookmarkEnd w:id="31"/>
      <w:bookmarkEnd w:id="32"/>
    </w:p>
    <w:p w14:paraId="573817DB" w14:textId="77777777"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18662469"/>
      <w:bookmarkStart w:id="41" w:name="_Toc313526633"/>
      <w:bookmarkStart w:id="42" w:name="_Toc313526774"/>
      <w:bookmarkStart w:id="43" w:name="_Toc313526828"/>
      <w:bookmarkStart w:id="44" w:name="_Toc313526914"/>
      <w:bookmarkStart w:id="45" w:name="_Toc313527003"/>
      <w:bookmarkStart w:id="46" w:name="_Toc313527113"/>
      <w:r w:rsidRPr="003D3D96">
        <w:rPr>
          <w:b/>
          <w:bCs/>
          <w:caps/>
          <w:smallCaps/>
          <w:color w:val="1F497D"/>
          <w:spacing w:val="5"/>
          <w:sz w:val="22"/>
          <w:szCs w:val="22"/>
          <w:u w:val="single"/>
          <w:lang w:eastAsia="en-GB" w:bidi="ar-SA"/>
        </w:rPr>
        <w:t>3A.) justification of Modification</w:t>
      </w:r>
      <w:bookmarkEnd w:id="33"/>
      <w:bookmarkEnd w:id="34"/>
      <w:bookmarkEnd w:id="35"/>
      <w:bookmarkEnd w:id="36"/>
      <w:bookmarkEnd w:id="37"/>
      <w:bookmarkEnd w:id="38"/>
      <w:bookmarkEnd w:id="39"/>
      <w:bookmarkEnd w:id="40"/>
    </w:p>
    <w:p w14:paraId="5F1CC5AF" w14:textId="5CA1ED68" w:rsidR="00DA644D" w:rsidRPr="00DA644D" w:rsidRDefault="00DA644D" w:rsidP="00DA644D">
      <w:pPr>
        <w:jc w:val="both"/>
        <w:rPr>
          <w:rFonts w:cs="Arial"/>
          <w:lang w:val="en-IE"/>
        </w:rPr>
      </w:pPr>
      <w:r w:rsidRPr="00DA644D">
        <w:rPr>
          <w:rFonts w:cs="Arial"/>
          <w:lang w:val="en-IE"/>
        </w:rPr>
        <w:t xml:space="preserve">This proposal seeks to provide clarity and to facilitate appropriate treatment of DSUs in relation to the application of System Service Flags so that these are available to the FNDDS methodology as applied to the calculation of charges for </w:t>
      </w:r>
      <w:r>
        <w:rPr>
          <w:rFonts w:cs="Arial"/>
          <w:lang w:val="en-IE"/>
        </w:rPr>
        <w:t>non-</w:t>
      </w:r>
      <w:r w:rsidRPr="00DA644D">
        <w:rPr>
          <w:rFonts w:cs="Arial"/>
          <w:lang w:val="en-IE"/>
        </w:rPr>
        <w:t xml:space="preserve">delivery on capacity obligations for the purpose of calculating difference charges for DSUs where they are bound by the presence of an Operational Constraint should this be deemed appropriate. </w:t>
      </w:r>
    </w:p>
    <w:p w14:paraId="18A3862C" w14:textId="5B27C665" w:rsidR="00DA644D" w:rsidRPr="00DA644D" w:rsidRDefault="00DA644D" w:rsidP="00DA644D">
      <w:pPr>
        <w:jc w:val="both"/>
        <w:rPr>
          <w:rFonts w:cs="Arial"/>
          <w:lang w:val="en-IE"/>
        </w:rPr>
      </w:pPr>
      <w:r w:rsidRPr="00DA644D">
        <w:rPr>
          <w:rFonts w:cs="Arial"/>
          <w:lang w:val="en-IE"/>
        </w:rPr>
        <w:t xml:space="preserve">This is to allow for fair treatment of DSUs and to ensure that the appropriate governance applies in relation to System Service Flagging. </w:t>
      </w:r>
    </w:p>
    <w:p w14:paraId="573817E3" w14:textId="77777777" w:rsidR="00B173F5" w:rsidRPr="00B173F5" w:rsidRDefault="00E41097" w:rsidP="00674934">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47" w:name="_Toc334796302"/>
      <w:bookmarkStart w:id="48" w:name="_Toc18662470"/>
      <w:r w:rsidRPr="003D3D96">
        <w:rPr>
          <w:b/>
          <w:bCs/>
          <w:caps/>
          <w:smallCaps/>
          <w:color w:val="1F497D"/>
          <w:spacing w:val="5"/>
          <w:sz w:val="22"/>
          <w:szCs w:val="22"/>
          <w:u w:val="single"/>
          <w:lang w:eastAsia="en-GB" w:bidi="ar-SA"/>
        </w:rPr>
        <w:t>3B.) Impact of not Implementing a Solution</w:t>
      </w:r>
      <w:bookmarkEnd w:id="47"/>
      <w:bookmarkEnd w:id="48"/>
    </w:p>
    <w:p w14:paraId="02B8C66B" w14:textId="172E778F" w:rsidR="00DA644D" w:rsidRPr="00DA644D" w:rsidRDefault="00DA644D" w:rsidP="00DA644D">
      <w:pPr>
        <w:jc w:val="both"/>
        <w:rPr>
          <w:rFonts w:cs="Arial"/>
          <w:lang w:val="en-IE"/>
        </w:rPr>
      </w:pPr>
      <w:bookmarkStart w:id="49" w:name="_Toc334796303"/>
      <w:r w:rsidRPr="00DA644D">
        <w:rPr>
          <w:rFonts w:cs="Arial"/>
          <w:lang w:val="en-IE"/>
        </w:rPr>
        <w:t>If this proposal is not implemented it will continue to be the case that no System Service Flag is calculated for DSUs under the Trading and Settlement Code so that the aforementioned facilitation of equitable treatment,</w:t>
      </w:r>
      <w:r>
        <w:rPr>
          <w:rFonts w:cs="Arial"/>
          <w:lang w:val="en-IE"/>
        </w:rPr>
        <w:t xml:space="preserve"> in relation to non-</w:t>
      </w:r>
      <w:r w:rsidRPr="00DA644D">
        <w:rPr>
          <w:rFonts w:cs="Arial"/>
          <w:lang w:val="en-IE"/>
        </w:rPr>
        <w:t>delivery of capacity obligations, under Trading and Settlement Code governance will remain absent.</w:t>
      </w:r>
    </w:p>
    <w:p w14:paraId="7564070A" w14:textId="4D59F4F2" w:rsidR="00DA644D" w:rsidRPr="00DA644D" w:rsidRDefault="00DA644D" w:rsidP="00DA644D">
      <w:pPr>
        <w:jc w:val="both"/>
        <w:rPr>
          <w:rFonts w:cs="Arial"/>
          <w:lang w:val="en-IE"/>
        </w:rPr>
      </w:pPr>
      <w:r w:rsidRPr="00DA644D">
        <w:rPr>
          <w:rFonts w:cs="Arial"/>
          <w:lang w:val="en-IE"/>
        </w:rPr>
        <w:t>It could also be necessary to have a System Service Flag determined outside of the Trading and Settlement Code which would not carry Codified obligation on the TSOs to determine such flags for DSUs and it could also be unclear whether or not TSC default rules applied and could lead to unintended conflicts or ambiguities as to how the flags are determined.</w:t>
      </w:r>
    </w:p>
    <w:p w14:paraId="2346A4BB" w14:textId="4EDB5834" w:rsidR="00DA644D" w:rsidRPr="000A35F4" w:rsidRDefault="00E41097" w:rsidP="000A35F4">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50" w:name="_Toc18662471"/>
      <w:r w:rsidRPr="003D3D96">
        <w:rPr>
          <w:b/>
          <w:bCs/>
          <w:caps/>
          <w:smallCaps/>
          <w:color w:val="1F497D"/>
          <w:spacing w:val="5"/>
          <w:sz w:val="22"/>
          <w:szCs w:val="22"/>
          <w:u w:val="single"/>
          <w:lang w:eastAsia="en-GB" w:bidi="ar-SA"/>
        </w:rPr>
        <w:t>3c.) Impact on Code Objectiv</w:t>
      </w:r>
      <w:bookmarkStart w:id="51" w:name="_Toc327198773"/>
      <w:bookmarkStart w:id="52" w:name="_Toc313527112"/>
      <w:bookmarkStart w:id="53" w:name="_Toc313527002"/>
      <w:bookmarkStart w:id="54" w:name="_Toc313526913"/>
      <w:bookmarkStart w:id="55" w:name="_Toc313526827"/>
      <w:bookmarkStart w:id="56" w:name="_Toc313526773"/>
      <w:bookmarkStart w:id="57" w:name="_Toc313526632"/>
      <w:bookmarkStart w:id="58" w:name="_Toc413406753"/>
      <w:bookmarkEnd w:id="49"/>
      <w:r w:rsidR="002968CB">
        <w:rPr>
          <w:b/>
          <w:bCs/>
          <w:caps/>
          <w:smallCaps/>
          <w:color w:val="1F497D"/>
          <w:spacing w:val="5"/>
          <w:sz w:val="22"/>
          <w:szCs w:val="22"/>
          <w:u w:val="single"/>
          <w:lang w:eastAsia="en-GB" w:bidi="ar-SA"/>
        </w:rPr>
        <w:t>es</w:t>
      </w:r>
      <w:bookmarkEnd w:id="50"/>
      <w:bookmarkEnd w:id="51"/>
      <w:bookmarkEnd w:id="52"/>
      <w:bookmarkEnd w:id="53"/>
      <w:bookmarkEnd w:id="54"/>
      <w:bookmarkEnd w:id="55"/>
      <w:bookmarkEnd w:id="56"/>
      <w:bookmarkEnd w:id="57"/>
      <w:bookmarkEnd w:id="58"/>
    </w:p>
    <w:p w14:paraId="682A5D71" w14:textId="77777777" w:rsidR="00DA644D" w:rsidRPr="00DA644D" w:rsidRDefault="00DA644D" w:rsidP="00DA644D">
      <w:pPr>
        <w:pStyle w:val="CERLEVEL5"/>
        <w:numPr>
          <w:ilvl w:val="4"/>
          <w:numId w:val="47"/>
        </w:numPr>
        <w:rPr>
          <w:rFonts w:eastAsiaTheme="minorEastAsia" w:cs="Arial"/>
          <w:sz w:val="20"/>
          <w:szCs w:val="20"/>
          <w:lang w:val="en-IE"/>
        </w:rPr>
      </w:pPr>
      <w:r w:rsidRPr="00DA644D">
        <w:rPr>
          <w:rFonts w:eastAsiaTheme="minorEastAsia" w:cs="Arial"/>
          <w:sz w:val="20"/>
          <w:szCs w:val="20"/>
          <w:lang w:val="en-IE"/>
        </w:rPr>
        <w:t xml:space="preserve">to provide transparency in the operation of the Single Electricity Market; </w:t>
      </w:r>
    </w:p>
    <w:p w14:paraId="3C4FAB24" w14:textId="77777777" w:rsidR="00DA644D" w:rsidRPr="00DA644D" w:rsidRDefault="00DA644D" w:rsidP="000A35F4">
      <w:pPr>
        <w:spacing w:before="120" w:after="120"/>
        <w:jc w:val="both"/>
        <w:rPr>
          <w:rFonts w:cs="Arial"/>
          <w:lang w:val="en-IE"/>
        </w:rPr>
      </w:pPr>
      <w:proofErr w:type="gramStart"/>
      <w:r w:rsidRPr="00DA644D">
        <w:rPr>
          <w:rFonts w:cs="Arial"/>
          <w:lang w:val="en-IE"/>
        </w:rPr>
        <w:t>Provides transparency by placing the determination of System Service Flag for DSU under Trading and Settlement Code governance (as opposed to the potential alternative of capturing this within the FNDDS methodology).</w:t>
      </w:r>
      <w:proofErr w:type="gramEnd"/>
    </w:p>
    <w:p w14:paraId="57655DEB" w14:textId="77777777" w:rsidR="00DA644D" w:rsidRPr="00DA644D" w:rsidRDefault="00DA644D" w:rsidP="00DA644D">
      <w:pPr>
        <w:numPr>
          <w:ilvl w:val="4"/>
          <w:numId w:val="39"/>
        </w:numPr>
        <w:spacing w:before="120" w:after="120" w:line="240" w:lineRule="auto"/>
        <w:jc w:val="both"/>
        <w:rPr>
          <w:rFonts w:eastAsiaTheme="minorEastAsia" w:cs="Arial"/>
          <w:lang w:val="en-IE"/>
        </w:rPr>
      </w:pPr>
      <w:r w:rsidRPr="00DA644D">
        <w:rPr>
          <w:rFonts w:eastAsiaTheme="minorEastAsia" w:cs="Arial"/>
          <w:lang w:val="en-IE"/>
        </w:rPr>
        <w:t xml:space="preserve">to ensure no undue discrimination between persons who are parties to the Code; </w:t>
      </w:r>
    </w:p>
    <w:p w14:paraId="01195D91" w14:textId="0D9EDB8F" w:rsidR="00DA644D" w:rsidRPr="00DA644D" w:rsidRDefault="00DA644D" w:rsidP="000A35F4">
      <w:pPr>
        <w:overflowPunct w:val="0"/>
        <w:autoSpaceDE w:val="0"/>
        <w:autoSpaceDN w:val="0"/>
        <w:adjustRightInd w:val="0"/>
        <w:spacing w:before="0" w:after="0" w:line="240" w:lineRule="auto"/>
        <w:jc w:val="both"/>
        <w:textAlignment w:val="baseline"/>
        <w:rPr>
          <w:rFonts w:cs="Arial"/>
          <w:lang w:val="en-IE"/>
        </w:rPr>
      </w:pPr>
      <w:r w:rsidRPr="00DA644D">
        <w:rPr>
          <w:rFonts w:cs="Arial"/>
          <w:lang w:val="en-IE"/>
        </w:rPr>
        <w:t>Ensures no undue discrimination between parties to the Code by facilitating</w:t>
      </w:r>
      <w:r w:rsidR="000A35F4">
        <w:rPr>
          <w:rFonts w:cs="Arial"/>
          <w:lang w:val="en-IE"/>
        </w:rPr>
        <w:t xml:space="preserve"> equitable </w:t>
      </w:r>
      <w:r w:rsidRPr="00DA644D">
        <w:rPr>
          <w:rFonts w:cs="Arial"/>
          <w:lang w:val="en-IE"/>
        </w:rPr>
        <w:t>or otherwise fair treatment of Demand Side Units in relation to the treatment</w:t>
      </w:r>
      <w:r w:rsidR="000A35F4">
        <w:rPr>
          <w:rFonts w:cs="Arial"/>
          <w:lang w:val="en-IE"/>
        </w:rPr>
        <w:t xml:space="preserve"> of exposure to charges for non-</w:t>
      </w:r>
      <w:r w:rsidRPr="00DA644D">
        <w:rPr>
          <w:rFonts w:cs="Arial"/>
          <w:lang w:val="en-IE"/>
        </w:rPr>
        <w:t>delivery of capacity obligations where the unit is bound by certain defined Operational Constraints.</w:t>
      </w:r>
    </w:p>
    <w:p w14:paraId="54CB641F" w14:textId="77777777" w:rsidR="00DA644D" w:rsidRPr="00DA644D" w:rsidRDefault="00DA644D" w:rsidP="00DA644D">
      <w:pPr>
        <w:overflowPunct w:val="0"/>
        <w:autoSpaceDE w:val="0"/>
        <w:autoSpaceDN w:val="0"/>
        <w:adjustRightInd w:val="0"/>
        <w:spacing w:before="0" w:after="0" w:line="240" w:lineRule="auto"/>
        <w:textAlignment w:val="baseline"/>
        <w:rPr>
          <w:rFonts w:cs="Arial"/>
          <w:lang w:val="en-IE"/>
        </w:rPr>
      </w:pPr>
    </w:p>
    <w:p w14:paraId="573817E9" w14:textId="77777777" w:rsidR="00425E05" w:rsidRPr="003D3D96" w:rsidRDefault="004B68B9" w:rsidP="00AD60CD">
      <w:pPr>
        <w:pStyle w:val="Heading1"/>
        <w:pageBreakBefore w:val="0"/>
        <w:numPr>
          <w:ilvl w:val="0"/>
          <w:numId w:val="12"/>
        </w:numPr>
        <w:rPr>
          <w:lang w:eastAsia="en-GB"/>
        </w:rPr>
      </w:pPr>
      <w:bookmarkStart w:id="59" w:name="_Toc18662472"/>
      <w:bookmarkEnd w:id="41"/>
      <w:bookmarkEnd w:id="42"/>
      <w:bookmarkEnd w:id="43"/>
      <w:bookmarkEnd w:id="44"/>
      <w:bookmarkEnd w:id="45"/>
      <w:bookmarkEnd w:id="46"/>
      <w:r>
        <w:rPr>
          <w:lang w:eastAsia="en-GB"/>
        </w:rPr>
        <w:t>ASSESSMENT OF ALTERNATIVES</w:t>
      </w:r>
      <w:bookmarkEnd w:id="59"/>
    </w:p>
    <w:p w14:paraId="573817EA" w14:textId="77777777" w:rsidR="00425E05" w:rsidRPr="003D3D96" w:rsidRDefault="00425E05" w:rsidP="00511493">
      <w:pPr>
        <w:jc w:val="both"/>
      </w:pPr>
      <w:r w:rsidRPr="003D3D96">
        <w:t>N/A</w:t>
      </w:r>
    </w:p>
    <w:p w14:paraId="4A79E8A1" w14:textId="0EF47232" w:rsidR="00AA78E8" w:rsidRPr="00AA78E8" w:rsidRDefault="00024548" w:rsidP="00AA78E8">
      <w:pPr>
        <w:pStyle w:val="Heading1"/>
        <w:pageBreakBefore w:val="0"/>
        <w:numPr>
          <w:ilvl w:val="0"/>
          <w:numId w:val="12"/>
        </w:numPr>
        <w:rPr>
          <w:lang w:eastAsia="en-GB"/>
        </w:rPr>
      </w:pPr>
      <w:bookmarkStart w:id="60" w:name="_Toc313526634"/>
      <w:bookmarkStart w:id="61" w:name="_Toc313526775"/>
      <w:bookmarkStart w:id="62" w:name="_Toc313526829"/>
      <w:bookmarkStart w:id="63" w:name="_Toc313526915"/>
      <w:bookmarkStart w:id="64" w:name="_Toc313527004"/>
      <w:bookmarkStart w:id="65" w:name="_Toc313527114"/>
      <w:bookmarkStart w:id="66" w:name="_Toc18662473"/>
      <w:r w:rsidRPr="003D3D96">
        <w:rPr>
          <w:lang w:eastAsia="en-GB"/>
        </w:rPr>
        <w:t>impact on systems and resources</w:t>
      </w:r>
      <w:bookmarkStart w:id="67" w:name="_Toc313526635"/>
      <w:bookmarkStart w:id="68" w:name="_Toc313526776"/>
      <w:bookmarkStart w:id="69" w:name="_Toc313526830"/>
      <w:bookmarkStart w:id="70" w:name="_Toc313526916"/>
      <w:bookmarkStart w:id="71" w:name="_Toc313527005"/>
      <w:bookmarkStart w:id="72" w:name="_Toc313527115"/>
      <w:bookmarkEnd w:id="60"/>
      <w:bookmarkEnd w:id="61"/>
      <w:bookmarkEnd w:id="62"/>
      <w:bookmarkEnd w:id="63"/>
      <w:bookmarkEnd w:id="64"/>
      <w:bookmarkEnd w:id="65"/>
      <w:bookmarkEnd w:id="66"/>
    </w:p>
    <w:p w14:paraId="4CB8D757" w14:textId="77777777" w:rsidR="00B828B0" w:rsidRPr="00B828B0" w:rsidRDefault="00B828B0" w:rsidP="00B828B0">
      <w:pPr>
        <w:jc w:val="both"/>
        <w:rPr>
          <w:rFonts w:cs="Arial"/>
          <w:lang w:val="en-IE"/>
        </w:rPr>
      </w:pPr>
      <w:r w:rsidRPr="00B828B0">
        <w:rPr>
          <w:rFonts w:cs="Arial"/>
          <w:lang w:val="en-IE"/>
        </w:rPr>
        <w:t xml:space="preserve">No impact on Market systems anticipated since this functionality already exists but is not currently applied. </w:t>
      </w:r>
    </w:p>
    <w:p w14:paraId="426E503F" w14:textId="521C934A" w:rsidR="00B828B0" w:rsidRPr="00CB515B" w:rsidRDefault="00B828B0" w:rsidP="00B828B0">
      <w:pPr>
        <w:overflowPunct w:val="0"/>
        <w:autoSpaceDE w:val="0"/>
        <w:autoSpaceDN w:val="0"/>
        <w:adjustRightInd w:val="0"/>
        <w:spacing w:before="0" w:after="0" w:line="240" w:lineRule="auto"/>
        <w:jc w:val="both"/>
        <w:textAlignment w:val="baseline"/>
        <w:rPr>
          <w:rFonts w:cs="Arial"/>
          <w:lang w:val="en-IE" w:eastAsia="en-GB" w:bidi="ar-SA"/>
        </w:rPr>
      </w:pPr>
      <w:r w:rsidRPr="00B828B0">
        <w:rPr>
          <w:rFonts w:cs="Arial"/>
          <w:lang w:val="en-IE"/>
        </w:rPr>
        <w:t>Potential application of the FSS values is to the calculation of FNDDS which is carried out outside the Central Market Systems by the System Operators. As such, there is a potential subsequent impact on FNDDS methodology should it be considered</w:t>
      </w:r>
      <w:r w:rsidR="008B49B6">
        <w:rPr>
          <w:rFonts w:cs="Arial"/>
          <w:lang w:val="en-IE"/>
        </w:rPr>
        <w:t xml:space="preserve"> </w:t>
      </w:r>
      <w:r w:rsidR="008B49B6" w:rsidRPr="008B49B6">
        <w:rPr>
          <w:rFonts w:cs="Arial"/>
          <w:lang w:val="en-IE"/>
        </w:rPr>
        <w:t>appropriate to apply these flags therein.</w:t>
      </w:r>
    </w:p>
    <w:p w14:paraId="573817ED" w14:textId="77777777" w:rsidR="00425E05" w:rsidRPr="003D3D96" w:rsidRDefault="00425E05" w:rsidP="00AD60CD">
      <w:pPr>
        <w:pStyle w:val="Heading1"/>
        <w:pageBreakBefore w:val="0"/>
        <w:numPr>
          <w:ilvl w:val="0"/>
          <w:numId w:val="12"/>
        </w:numPr>
        <w:rPr>
          <w:lang w:eastAsia="en-GB"/>
        </w:rPr>
      </w:pPr>
      <w:bookmarkStart w:id="73" w:name="_Toc18662474"/>
      <w:r w:rsidRPr="003D3D96">
        <w:rPr>
          <w:lang w:eastAsia="en-GB"/>
        </w:rPr>
        <w:t>Impact on other Codes/Documents</w:t>
      </w:r>
      <w:bookmarkEnd w:id="67"/>
      <w:bookmarkEnd w:id="68"/>
      <w:bookmarkEnd w:id="69"/>
      <w:bookmarkEnd w:id="70"/>
      <w:bookmarkEnd w:id="71"/>
      <w:bookmarkEnd w:id="72"/>
      <w:bookmarkEnd w:id="73"/>
    </w:p>
    <w:p w14:paraId="573817EE" w14:textId="77777777" w:rsidR="005C5088" w:rsidRPr="003D3D96" w:rsidRDefault="00425E05" w:rsidP="00511493">
      <w:pPr>
        <w:jc w:val="both"/>
      </w:pPr>
      <w:r w:rsidRPr="003D3D96">
        <w:t>N/A</w:t>
      </w:r>
    </w:p>
    <w:p w14:paraId="573817EF" w14:textId="77777777" w:rsidR="00F82A51" w:rsidRPr="003D3D96" w:rsidRDefault="00F82A51" w:rsidP="00AD60CD">
      <w:pPr>
        <w:pStyle w:val="Heading1"/>
        <w:pageBreakBefore w:val="0"/>
        <w:numPr>
          <w:ilvl w:val="0"/>
          <w:numId w:val="12"/>
        </w:numPr>
        <w:rPr>
          <w:lang w:eastAsia="en-GB"/>
        </w:rPr>
      </w:pPr>
      <w:bookmarkStart w:id="74" w:name="_Toc313526636"/>
      <w:bookmarkStart w:id="75" w:name="_Toc313526777"/>
      <w:bookmarkStart w:id="76" w:name="_Toc313526831"/>
      <w:bookmarkStart w:id="77" w:name="_Toc313526917"/>
      <w:bookmarkStart w:id="78" w:name="_Toc313527006"/>
      <w:bookmarkStart w:id="79" w:name="_Toc313527116"/>
      <w:bookmarkStart w:id="80" w:name="_Toc18662475"/>
      <w:r w:rsidRPr="003D3D96">
        <w:rPr>
          <w:lang w:eastAsia="en-GB"/>
        </w:rPr>
        <w:t>MODIFICATION COMMITTEE VIEWS</w:t>
      </w:r>
      <w:bookmarkEnd w:id="74"/>
      <w:bookmarkEnd w:id="75"/>
      <w:bookmarkEnd w:id="76"/>
      <w:bookmarkEnd w:id="77"/>
      <w:bookmarkEnd w:id="78"/>
      <w:bookmarkEnd w:id="79"/>
      <w:bookmarkEnd w:id="80"/>
    </w:p>
    <w:p w14:paraId="573817F0" w14:textId="029FE7BF" w:rsidR="00CB515B" w:rsidRPr="00CB515B" w:rsidRDefault="00583DCC" w:rsidP="00CB515B">
      <w:pPr>
        <w:pStyle w:val="Heading2"/>
        <w:numPr>
          <w:ilvl w:val="0"/>
          <w:numId w:val="0"/>
        </w:numPr>
        <w:ind w:left="576" w:hanging="576"/>
        <w:rPr>
          <w:b/>
          <w:bCs/>
          <w:smallCaps/>
          <w:color w:val="1F497D"/>
          <w:spacing w:val="5"/>
          <w:u w:val="single"/>
        </w:rPr>
      </w:pPr>
      <w:bookmarkStart w:id="81" w:name="_Toc18662476"/>
      <w:bookmarkStart w:id="82" w:name="_Toc313526639"/>
      <w:bookmarkStart w:id="83" w:name="_Toc313526780"/>
      <w:bookmarkStart w:id="84" w:name="_Toc313526834"/>
      <w:bookmarkStart w:id="85" w:name="_Toc313526920"/>
      <w:bookmarkStart w:id="86" w:name="_Toc313527009"/>
      <w:bookmarkStart w:id="87" w:name="_Toc313527119"/>
      <w:r w:rsidRPr="003D3D96">
        <w:rPr>
          <w:rStyle w:val="IntenseReference"/>
          <w:color w:val="1F497D"/>
        </w:rPr>
        <w:t xml:space="preserve">Meeting </w:t>
      </w:r>
      <w:r w:rsidR="005E795F">
        <w:rPr>
          <w:b/>
          <w:bCs/>
          <w:smallCaps/>
          <w:color w:val="1F497D"/>
          <w:spacing w:val="5"/>
          <w:u w:val="single"/>
        </w:rPr>
        <w:t>93 – 22 august</w:t>
      </w:r>
      <w:r>
        <w:rPr>
          <w:b/>
          <w:bCs/>
          <w:smallCaps/>
          <w:color w:val="1F497D"/>
          <w:spacing w:val="5"/>
          <w:u w:val="single"/>
        </w:rPr>
        <w:t xml:space="preserve"> 201</w:t>
      </w:r>
      <w:r w:rsidR="00AA78E8">
        <w:rPr>
          <w:b/>
          <w:bCs/>
          <w:smallCaps/>
          <w:color w:val="1F497D"/>
          <w:spacing w:val="5"/>
          <w:u w:val="single"/>
        </w:rPr>
        <w:t>9</w:t>
      </w:r>
      <w:bookmarkEnd w:id="81"/>
    </w:p>
    <w:p w14:paraId="35644E82" w14:textId="49371962" w:rsidR="004758FB" w:rsidRDefault="004758FB" w:rsidP="004758FB">
      <w:pPr>
        <w:jc w:val="both"/>
      </w:pPr>
      <w:r>
        <w:t xml:space="preserve">The proposer delivered a </w:t>
      </w:r>
      <w:hyperlink r:id="rId16" w:history="1">
        <w:r w:rsidRPr="00F224CD">
          <w:rPr>
            <w:rStyle w:val="Hyperlink"/>
          </w:rPr>
          <w:t>presentation</w:t>
        </w:r>
      </w:hyperlink>
      <w:r>
        <w:t xml:space="preserve"> on this proposal which would allow for the calculation of System Service Flags (FSS) for Demand Side Units by the System Operators under the Code. Implementation would include the obligation to the TSO to continue to calculate FSS and provide for the application of Default rules within the Code as well as ensuring that the process to modify how FSS are determined, including the addition of any further constraints, is under the Code Modifications Process. A DSU Alternate confirmed it was a Modification Proposal resulting from a recommendation of Working Groups for Mod_32_18.</w:t>
      </w:r>
    </w:p>
    <w:p w14:paraId="129E6C1C" w14:textId="25D1F48F" w:rsidR="00AA78E8" w:rsidRDefault="004758FB" w:rsidP="004758FB">
      <w:pPr>
        <w:jc w:val="both"/>
      </w:pPr>
      <w:r>
        <w:t>The Chairperson referred to the section in the legal drafting which disapplies provisions for Interconnectors and asked that SEMO reword this to reflect the same format as the equivalent text for Demand Side Units. SEMO Member confirmed that they were happy for this to be captured to aid clarity.</w:t>
      </w:r>
    </w:p>
    <w:p w14:paraId="573817F5" w14:textId="77777777" w:rsidR="001D05B9" w:rsidRPr="003D3D96" w:rsidRDefault="00425E05" w:rsidP="00AD60CD">
      <w:pPr>
        <w:pStyle w:val="Heading1"/>
        <w:pageBreakBefore w:val="0"/>
        <w:numPr>
          <w:ilvl w:val="0"/>
          <w:numId w:val="12"/>
        </w:numPr>
        <w:rPr>
          <w:lang w:eastAsia="en-GB"/>
        </w:rPr>
      </w:pPr>
      <w:bookmarkStart w:id="88" w:name="_Toc18662477"/>
      <w:r w:rsidRPr="003D3D96">
        <w:rPr>
          <w:lang w:eastAsia="en-GB"/>
        </w:rPr>
        <w:t>Proposed Legal Drafting</w:t>
      </w:r>
      <w:bookmarkStart w:id="89" w:name="_Toc313526640"/>
      <w:bookmarkStart w:id="90" w:name="_Toc313526781"/>
      <w:bookmarkStart w:id="91" w:name="_Toc313526835"/>
      <w:bookmarkStart w:id="92" w:name="_Toc313526921"/>
      <w:bookmarkStart w:id="93" w:name="_Toc313527010"/>
      <w:bookmarkStart w:id="94" w:name="_Toc313527120"/>
      <w:bookmarkStart w:id="95" w:name="_Toc313527138"/>
      <w:bookmarkEnd w:id="82"/>
      <w:bookmarkEnd w:id="83"/>
      <w:bookmarkEnd w:id="84"/>
      <w:bookmarkEnd w:id="85"/>
      <w:bookmarkEnd w:id="86"/>
      <w:bookmarkEnd w:id="87"/>
      <w:bookmarkEnd w:id="88"/>
    </w:p>
    <w:p w14:paraId="573817F6" w14:textId="03A68F22" w:rsidR="00815087" w:rsidRDefault="00916611" w:rsidP="00815087">
      <w:r w:rsidRPr="00916611">
        <w:t xml:space="preserve">As set out in Appendix 1 </w:t>
      </w:r>
      <w:r w:rsidR="004758FB">
        <w:t>and minor legal drafting change</w:t>
      </w:r>
      <w:r w:rsidR="00C01766">
        <w:t xml:space="preserve"> as below</w:t>
      </w:r>
      <w:r w:rsidR="004758FB">
        <w:t>.</w:t>
      </w:r>
    </w:p>
    <w:p w14:paraId="4DD98DF2" w14:textId="2544D907" w:rsidR="00C01766" w:rsidRPr="007039C9" w:rsidRDefault="00C01766" w:rsidP="00C01766">
      <w:pPr>
        <w:spacing w:before="120" w:after="120" w:line="240" w:lineRule="auto"/>
        <w:ind w:left="993" w:hanging="993"/>
        <w:jc w:val="both"/>
        <w:outlineLvl w:val="4"/>
        <w:rPr>
          <w:ins w:id="96" w:author="Author"/>
          <w:sz w:val="22"/>
          <w:szCs w:val="22"/>
          <w:lang w:val="en-IE"/>
        </w:rPr>
      </w:pPr>
      <w:r>
        <w:rPr>
          <w:sz w:val="22"/>
          <w:szCs w:val="22"/>
          <w:lang w:val="en-IE"/>
        </w:rPr>
        <w:t xml:space="preserve">F.18.6.1 </w:t>
      </w:r>
      <w:ins w:id="97" w:author="Author">
        <w:del w:id="98" w:author="Author">
          <w:r w:rsidRPr="007039C9" w:rsidDel="007039C9">
            <w:rPr>
              <w:sz w:val="22"/>
              <w:szCs w:val="22"/>
              <w:lang w:val="en-IE"/>
            </w:rPr>
            <w:delText xml:space="preserve">The following provisions of section </w:delText>
          </w:r>
          <w:r w:rsidRPr="007039C9" w:rsidDel="007039C9">
            <w:rPr>
              <w:sz w:val="22"/>
              <w:szCs w:val="22"/>
              <w:lang w:val="en-IE"/>
            </w:rPr>
            <w:fldChar w:fldCharType="begin"/>
          </w:r>
          <w:r w:rsidRPr="007039C9" w:rsidDel="007039C9">
            <w:rPr>
              <w:sz w:val="22"/>
              <w:szCs w:val="22"/>
              <w:lang w:val="en-IE"/>
            </w:rPr>
            <w:delInstrText xml:space="preserve"> REF _Ref476680003 \r \h </w:delInstrText>
          </w:r>
        </w:del>
      </w:ins>
      <w:del w:id="99" w:author="Author">
        <w:r w:rsidRPr="007039C9" w:rsidDel="007039C9">
          <w:rPr>
            <w:sz w:val="22"/>
            <w:szCs w:val="22"/>
            <w:lang w:val="en-IE"/>
          </w:rPr>
        </w:r>
      </w:del>
      <w:ins w:id="100" w:author="Author">
        <w:del w:id="101" w:author="Author">
          <w:r w:rsidRPr="007039C9" w:rsidDel="007039C9">
            <w:rPr>
              <w:sz w:val="22"/>
              <w:szCs w:val="22"/>
              <w:lang w:val="en-IE"/>
            </w:rPr>
            <w:fldChar w:fldCharType="separate"/>
          </w:r>
          <w:r w:rsidRPr="007039C9" w:rsidDel="007039C9">
            <w:rPr>
              <w:sz w:val="22"/>
              <w:szCs w:val="22"/>
              <w:lang w:val="en-IE"/>
            </w:rPr>
            <w:delText>F.18.6</w:delText>
          </w:r>
          <w:r w:rsidRPr="007039C9" w:rsidDel="007039C9">
            <w:rPr>
              <w:sz w:val="22"/>
              <w:szCs w:val="22"/>
              <w:lang w:val="en-IE"/>
            </w:rPr>
            <w:fldChar w:fldCharType="end"/>
          </w:r>
          <w:r w:rsidRPr="007039C9" w:rsidDel="007039C9">
            <w:rPr>
              <w:sz w:val="22"/>
              <w:szCs w:val="22"/>
              <w:lang w:val="en-IE"/>
            </w:rPr>
            <w:delText xml:space="preserve"> do not apply to</w:delText>
          </w:r>
        </w:del>
        <w:proofErr w:type="gramStart"/>
        <w:r>
          <w:rPr>
            <w:sz w:val="22"/>
            <w:szCs w:val="22"/>
            <w:lang w:val="en-IE"/>
          </w:rPr>
          <w:t>For</w:t>
        </w:r>
        <w:proofErr w:type="gramEnd"/>
        <w:r w:rsidRPr="007039C9">
          <w:rPr>
            <w:sz w:val="22"/>
            <w:szCs w:val="22"/>
            <w:lang w:val="en-IE"/>
          </w:rPr>
          <w:t xml:space="preserve"> any Capacity Market Unit</w:t>
        </w:r>
        <w:del w:id="102" w:author="Author">
          <w:r w:rsidRPr="007039C9" w:rsidDel="007039C9">
            <w:rPr>
              <w:sz w:val="22"/>
              <w:szCs w:val="22"/>
              <w:lang w:val="en-IE"/>
            </w:rPr>
            <w:delText xml:space="preserve"> which represents</w:delText>
          </w:r>
        </w:del>
        <w:r w:rsidRPr="007039C9">
          <w:rPr>
            <w:sz w:val="22"/>
            <w:szCs w:val="22"/>
            <w:lang w:val="en-IE"/>
          </w:rPr>
          <w:t>:</w:t>
        </w:r>
      </w:ins>
    </w:p>
    <w:p w14:paraId="2E2753FB" w14:textId="77777777" w:rsidR="00C01766" w:rsidRPr="007039C9" w:rsidRDefault="00C01766" w:rsidP="00C01766">
      <w:pPr>
        <w:numPr>
          <w:ilvl w:val="4"/>
          <w:numId w:val="39"/>
        </w:numPr>
        <w:spacing w:before="120" w:after="120" w:line="240" w:lineRule="auto"/>
        <w:jc w:val="both"/>
        <w:rPr>
          <w:ins w:id="103" w:author="Author"/>
          <w:sz w:val="22"/>
          <w:szCs w:val="22"/>
          <w:lang w:val="en-IE"/>
        </w:rPr>
      </w:pPr>
      <w:ins w:id="104" w:author="Author">
        <w:r>
          <w:rPr>
            <w:sz w:val="22"/>
            <w:szCs w:val="22"/>
            <w:lang w:val="en-IE"/>
          </w:rPr>
          <w:t>Which represents a</w:t>
        </w:r>
        <w:del w:id="105" w:author="Author">
          <w:r w:rsidRPr="007039C9" w:rsidDel="007039C9">
            <w:rPr>
              <w:sz w:val="22"/>
              <w:szCs w:val="22"/>
              <w:lang w:val="en-IE"/>
            </w:rPr>
            <w:delText>A</w:delText>
          </w:r>
        </w:del>
        <w:r w:rsidRPr="007039C9">
          <w:rPr>
            <w:sz w:val="22"/>
            <w:szCs w:val="22"/>
            <w:lang w:val="en-IE"/>
          </w:rPr>
          <w:t xml:space="preserve"> Demand Side Unit</w:t>
        </w:r>
        <w:r>
          <w:rPr>
            <w:sz w:val="22"/>
            <w:szCs w:val="22"/>
            <w:lang w:val="en-IE"/>
          </w:rPr>
          <w:t>, the provisions of paragraphs F.18.6.5 to F.18.6.7 do not apply</w:t>
        </w:r>
        <w:r w:rsidRPr="007039C9">
          <w:rPr>
            <w:sz w:val="22"/>
            <w:szCs w:val="22"/>
            <w:lang w:val="en-IE"/>
          </w:rPr>
          <w:t xml:space="preserve">; </w:t>
        </w:r>
        <w:r>
          <w:rPr>
            <w:sz w:val="22"/>
            <w:szCs w:val="22"/>
            <w:lang w:val="en-IE"/>
          </w:rPr>
          <w:t>and</w:t>
        </w:r>
        <w:del w:id="106" w:author="Author">
          <w:r w:rsidRPr="007039C9" w:rsidDel="007039C9">
            <w:rPr>
              <w:sz w:val="22"/>
              <w:szCs w:val="22"/>
              <w:lang w:val="en-IE"/>
            </w:rPr>
            <w:delText>or</w:delText>
          </w:r>
        </w:del>
      </w:ins>
    </w:p>
    <w:p w14:paraId="35CDA092" w14:textId="14808085" w:rsidR="00C01766" w:rsidRPr="007039C9" w:rsidRDefault="00C01766" w:rsidP="00C01766">
      <w:pPr>
        <w:numPr>
          <w:ilvl w:val="4"/>
          <w:numId w:val="39"/>
        </w:numPr>
        <w:spacing w:before="120" w:after="120" w:line="240" w:lineRule="auto"/>
        <w:jc w:val="both"/>
        <w:rPr>
          <w:ins w:id="107" w:author="Author"/>
          <w:sz w:val="22"/>
          <w:szCs w:val="22"/>
          <w:lang w:val="en-IE"/>
        </w:rPr>
      </w:pPr>
      <w:ins w:id="108" w:author="Author">
        <w:r>
          <w:rPr>
            <w:sz w:val="22"/>
            <w:szCs w:val="22"/>
            <w:lang w:val="en-IE"/>
          </w:rPr>
          <w:t xml:space="preserve">Which represents </w:t>
        </w:r>
        <w:proofErr w:type="gramStart"/>
        <w:r>
          <w:rPr>
            <w:sz w:val="22"/>
            <w:szCs w:val="22"/>
            <w:lang w:val="en-IE"/>
          </w:rPr>
          <w:t>a</w:t>
        </w:r>
        <w:proofErr w:type="gramEnd"/>
        <w:del w:id="109" w:author="Author">
          <w:r w:rsidRPr="007039C9" w:rsidDel="007039C9">
            <w:rPr>
              <w:sz w:val="22"/>
              <w:szCs w:val="22"/>
              <w:lang w:val="en-IE"/>
            </w:rPr>
            <w:delText>A</w:delText>
          </w:r>
        </w:del>
        <w:r w:rsidRPr="007039C9">
          <w:rPr>
            <w:sz w:val="22"/>
            <w:szCs w:val="22"/>
            <w:lang w:val="en-IE"/>
          </w:rPr>
          <w:t>n Interconnector</w:t>
        </w:r>
        <w:r>
          <w:rPr>
            <w:sz w:val="22"/>
            <w:szCs w:val="22"/>
            <w:lang w:val="en-IE"/>
          </w:rPr>
          <w:t xml:space="preserve">, </w:t>
        </w:r>
        <w:r w:rsidRPr="00C01766">
          <w:rPr>
            <w:sz w:val="22"/>
            <w:szCs w:val="22"/>
            <w:highlight w:val="yellow"/>
            <w:lang w:val="en-IE"/>
          </w:rPr>
          <w:t>the provisions of section F.18.6.2 to F.18.6.7</w:t>
        </w:r>
        <w:r>
          <w:rPr>
            <w:sz w:val="22"/>
            <w:szCs w:val="22"/>
            <w:lang w:val="en-IE"/>
          </w:rPr>
          <w:t xml:space="preserve"> do not apply</w:t>
        </w:r>
        <w:r w:rsidRPr="007039C9">
          <w:rPr>
            <w:sz w:val="22"/>
            <w:szCs w:val="22"/>
            <w:lang w:val="en-IE"/>
          </w:rPr>
          <w:t>.</w:t>
        </w:r>
      </w:ins>
    </w:p>
    <w:p w14:paraId="7A048EDC" w14:textId="77777777" w:rsidR="00C01766" w:rsidRDefault="00C01766" w:rsidP="00815087"/>
    <w:p w14:paraId="62622178" w14:textId="77777777" w:rsidR="00C01766" w:rsidRPr="002B042A" w:rsidRDefault="00C01766" w:rsidP="00815087">
      <w:pPr>
        <w:rPr>
          <w:rFonts w:cs="Arial"/>
          <w:sz w:val="24"/>
          <w:szCs w:val="24"/>
          <w:lang w:val="en-US" w:eastAsia="en-IE" w:bidi="ar-SA"/>
        </w:rPr>
      </w:pPr>
    </w:p>
    <w:p w14:paraId="573817F7" w14:textId="77777777" w:rsidR="00132649" w:rsidRPr="003D3D96" w:rsidRDefault="00132649" w:rsidP="00AD60CD">
      <w:pPr>
        <w:pStyle w:val="Heading1"/>
        <w:pageBreakBefore w:val="0"/>
        <w:numPr>
          <w:ilvl w:val="0"/>
          <w:numId w:val="12"/>
        </w:numPr>
        <w:rPr>
          <w:bCs w:val="0"/>
          <w:smallCaps/>
          <w:lang w:eastAsia="en-GB"/>
        </w:rPr>
      </w:pPr>
      <w:bookmarkStart w:id="110" w:name="_Toc18662478"/>
      <w:r w:rsidRPr="003D3D96">
        <w:rPr>
          <w:bCs w:val="0"/>
          <w:smallCaps/>
          <w:lang w:eastAsia="en-GB"/>
        </w:rPr>
        <w:t>LEGAL REVIEW</w:t>
      </w:r>
      <w:bookmarkEnd w:id="89"/>
      <w:bookmarkEnd w:id="90"/>
      <w:bookmarkEnd w:id="91"/>
      <w:bookmarkEnd w:id="92"/>
      <w:bookmarkEnd w:id="93"/>
      <w:bookmarkEnd w:id="94"/>
      <w:bookmarkEnd w:id="95"/>
      <w:bookmarkEnd w:id="110"/>
    </w:p>
    <w:p w14:paraId="573817F8" w14:textId="77777777" w:rsidR="00E27EE5" w:rsidRPr="003D3D96" w:rsidRDefault="00AD60CD" w:rsidP="009C65C6">
      <w:pPr>
        <w:pStyle w:val="Bullet1"/>
        <w:numPr>
          <w:ilvl w:val="0"/>
          <w:numId w:val="0"/>
        </w:numPr>
        <w:jc w:val="both"/>
        <w:rPr>
          <w:color w:val="000000"/>
        </w:rPr>
      </w:pPr>
      <w:r w:rsidRPr="00CB7A1B">
        <w:rPr>
          <w:color w:val="000000"/>
        </w:rPr>
        <w:t>N/A</w:t>
      </w:r>
    </w:p>
    <w:p w14:paraId="573817F9" w14:textId="77777777" w:rsidR="00AF6434" w:rsidRDefault="00C32CED" w:rsidP="0001752F">
      <w:pPr>
        <w:pStyle w:val="Heading1"/>
        <w:pageBreakBefore w:val="0"/>
        <w:numPr>
          <w:ilvl w:val="0"/>
          <w:numId w:val="12"/>
        </w:numPr>
        <w:rPr>
          <w:lang w:eastAsia="en-GB"/>
        </w:rPr>
      </w:pPr>
      <w:bookmarkStart w:id="111" w:name="_Toc313526641"/>
      <w:bookmarkStart w:id="112" w:name="_Toc313526782"/>
      <w:bookmarkStart w:id="113" w:name="_Toc313526836"/>
      <w:bookmarkStart w:id="114" w:name="_Toc313526922"/>
      <w:bookmarkStart w:id="115" w:name="_Toc313527011"/>
      <w:bookmarkStart w:id="116" w:name="_Toc313527121"/>
      <w:bookmarkStart w:id="117" w:name="_Toc18662479"/>
      <w:r w:rsidRPr="003D3D96">
        <w:rPr>
          <w:lang w:eastAsia="en-GB"/>
        </w:rPr>
        <w:t>IMPLEMENTATION TIMESCALE</w:t>
      </w:r>
      <w:bookmarkEnd w:id="111"/>
      <w:bookmarkEnd w:id="112"/>
      <w:bookmarkEnd w:id="113"/>
      <w:bookmarkEnd w:id="114"/>
      <w:bookmarkEnd w:id="115"/>
      <w:bookmarkEnd w:id="116"/>
      <w:bookmarkEnd w:id="117"/>
    </w:p>
    <w:p w14:paraId="573817FA" w14:textId="77777777" w:rsidR="002F27CA" w:rsidRPr="003D3D96" w:rsidRDefault="002F27CA" w:rsidP="002F27CA">
      <w:pPr>
        <w:pStyle w:val="Bullet1"/>
        <w:numPr>
          <w:ilvl w:val="0"/>
          <w:numId w:val="0"/>
        </w:numPr>
        <w:jc w:val="both"/>
        <w:rPr>
          <w:color w:val="000000"/>
        </w:rPr>
      </w:pPr>
      <w:r w:rsidRPr="00CB7A1B">
        <w:rPr>
          <w:color w:val="000000"/>
        </w:rPr>
        <w:t>N/A</w:t>
      </w:r>
    </w:p>
    <w:p w14:paraId="573817FB" w14:textId="77777777" w:rsidR="00AF6434" w:rsidRPr="00AF6434" w:rsidRDefault="00AF6434" w:rsidP="00AF6434">
      <w:pPr>
        <w:rPr>
          <w:lang w:eastAsia="en-GB" w:bidi="ar-SA"/>
        </w:rPr>
      </w:pPr>
    </w:p>
    <w:p w14:paraId="573817FC" w14:textId="284D3CB4" w:rsidR="00AF6434" w:rsidRDefault="00AF6434" w:rsidP="006521D3">
      <w:pPr>
        <w:pStyle w:val="Heading1"/>
        <w:pBdr>
          <w:left w:val="single" w:sz="24" w:space="5" w:color="4F81BD"/>
          <w:right w:val="single" w:sz="24" w:space="2" w:color="4F81BD"/>
        </w:pBdr>
        <w:rPr>
          <w:lang w:eastAsia="en-GB"/>
        </w:rPr>
      </w:pPr>
      <w:bookmarkStart w:id="118" w:name="_Toc359934986"/>
      <w:bookmarkStart w:id="119" w:name="_Toc380138275"/>
      <w:bookmarkStart w:id="120" w:name="_Toc472669023"/>
      <w:bookmarkStart w:id="121" w:name="_Toc522090845"/>
      <w:bookmarkStart w:id="122" w:name="_Toc18662480"/>
      <w:r w:rsidRPr="003B0E38">
        <w:rPr>
          <w:lang w:eastAsia="en-GB"/>
        </w:rPr>
        <w:t xml:space="preserve">Appendix 1: </w:t>
      </w:r>
      <w:bookmarkEnd w:id="118"/>
      <w:bookmarkEnd w:id="119"/>
      <w:r w:rsidRPr="00E45BBF">
        <w:rPr>
          <w:lang w:eastAsia="en-GB"/>
        </w:rPr>
        <w:t>Mod_</w:t>
      </w:r>
      <w:bookmarkEnd w:id="120"/>
      <w:bookmarkEnd w:id="121"/>
      <w:r w:rsidR="006521D3">
        <w:rPr>
          <w:lang w:eastAsia="en-GB"/>
        </w:rPr>
        <w:t>12</w:t>
      </w:r>
      <w:r w:rsidR="003F2F5D">
        <w:rPr>
          <w:lang w:eastAsia="en-GB"/>
        </w:rPr>
        <w:t xml:space="preserve">_19 </w:t>
      </w:r>
      <w:r w:rsidR="006521D3">
        <w:rPr>
          <w:lang w:eastAsia="en-GB"/>
        </w:rPr>
        <w:t>system service flag for demand site units</w:t>
      </w:r>
      <w:bookmarkEnd w:id="122"/>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6521D3" w:rsidRPr="004C53E7" w14:paraId="029352A0" w14:textId="77777777" w:rsidTr="00FD349F">
        <w:tc>
          <w:tcPr>
            <w:tcW w:w="9243" w:type="dxa"/>
            <w:gridSpan w:val="6"/>
            <w:shd w:val="clear" w:color="auto" w:fill="548DD4"/>
            <w:vAlign w:val="center"/>
          </w:tcPr>
          <w:p w14:paraId="73505281" w14:textId="77777777" w:rsidR="006521D3" w:rsidRPr="004C53E7" w:rsidRDefault="006521D3" w:rsidP="00FD349F">
            <w:pPr>
              <w:jc w:val="center"/>
              <w:rPr>
                <w:rFonts w:ascii="Calibri" w:hAnsi="Calibri" w:cs="Arial"/>
                <w:lang w:val="en-IE"/>
              </w:rPr>
            </w:pPr>
          </w:p>
          <w:p w14:paraId="6B7A0357" w14:textId="77777777" w:rsidR="006521D3" w:rsidRPr="004C53E7" w:rsidRDefault="006521D3" w:rsidP="00FD349F">
            <w:pPr>
              <w:jc w:val="center"/>
              <w:rPr>
                <w:rFonts w:ascii="Calibri" w:hAnsi="Calibri" w:cs="Arial"/>
                <w:lang w:val="en-IE"/>
              </w:rPr>
            </w:pPr>
            <w:r w:rsidRPr="004C53E7">
              <w:rPr>
                <w:rFonts w:ascii="Calibri" w:hAnsi="Calibri" w:cs="Arial"/>
                <w:b/>
                <w:lang w:val="en-IE"/>
              </w:rPr>
              <w:t>MODIFICATION PROPOSAL FORM</w:t>
            </w:r>
          </w:p>
          <w:p w14:paraId="42DF10C6" w14:textId="77777777" w:rsidR="006521D3" w:rsidRPr="004C53E7" w:rsidRDefault="006521D3" w:rsidP="00FD349F">
            <w:pPr>
              <w:jc w:val="center"/>
              <w:rPr>
                <w:rFonts w:ascii="Calibri" w:hAnsi="Calibri" w:cs="Arial"/>
                <w:lang w:val="en-IE"/>
              </w:rPr>
            </w:pPr>
          </w:p>
        </w:tc>
      </w:tr>
      <w:tr w:rsidR="006521D3" w:rsidRPr="004C53E7" w14:paraId="41770DC1" w14:textId="77777777" w:rsidTr="00FD349F">
        <w:tc>
          <w:tcPr>
            <w:tcW w:w="2088" w:type="dxa"/>
            <w:vAlign w:val="center"/>
          </w:tcPr>
          <w:p w14:paraId="68D57DAB" w14:textId="77777777" w:rsidR="006521D3" w:rsidRPr="004C53E7" w:rsidRDefault="006521D3" w:rsidP="00FD349F">
            <w:pPr>
              <w:jc w:val="center"/>
              <w:rPr>
                <w:rFonts w:cs="Arial"/>
                <w:b/>
                <w:bCs/>
                <w:sz w:val="18"/>
                <w:szCs w:val="18"/>
                <w:lang w:val="en-IE"/>
              </w:rPr>
            </w:pPr>
            <w:r w:rsidRPr="004C53E7">
              <w:rPr>
                <w:rFonts w:cs="Arial"/>
                <w:b/>
                <w:bCs/>
                <w:sz w:val="18"/>
                <w:szCs w:val="18"/>
                <w:lang w:val="en-IE"/>
              </w:rPr>
              <w:t>Proposer</w:t>
            </w:r>
          </w:p>
          <w:p w14:paraId="6142F624" w14:textId="77777777" w:rsidR="006521D3" w:rsidRPr="004C53E7" w:rsidRDefault="006521D3" w:rsidP="00FD349F">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14:paraId="60E9BEEF" w14:textId="77777777" w:rsidR="006521D3" w:rsidRPr="004C53E7" w:rsidRDefault="006521D3" w:rsidP="00FD349F">
            <w:pPr>
              <w:jc w:val="center"/>
              <w:rPr>
                <w:rFonts w:ascii="Calibri" w:hAnsi="Calibri" w:cs="Arial"/>
                <w:b/>
                <w:bCs/>
                <w:lang w:val="en-IE"/>
              </w:rPr>
            </w:pPr>
            <w:r w:rsidRPr="004C53E7">
              <w:rPr>
                <w:rFonts w:ascii="Calibri" w:hAnsi="Calibri" w:cs="Arial"/>
                <w:b/>
                <w:bCs/>
                <w:lang w:val="en-IE"/>
              </w:rPr>
              <w:t>Date of receipt</w:t>
            </w:r>
          </w:p>
          <w:p w14:paraId="024EBA55" w14:textId="77777777" w:rsidR="006521D3" w:rsidRPr="004C53E7" w:rsidRDefault="006521D3" w:rsidP="00FD349F">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14:paraId="214F0AC0" w14:textId="77777777" w:rsidR="006521D3" w:rsidRPr="004C53E7" w:rsidRDefault="006521D3" w:rsidP="00FD349F">
            <w:pPr>
              <w:jc w:val="center"/>
              <w:rPr>
                <w:rFonts w:ascii="Calibri" w:hAnsi="Calibri" w:cs="Arial"/>
                <w:b/>
                <w:bCs/>
                <w:lang w:val="en-IE"/>
              </w:rPr>
            </w:pPr>
            <w:r w:rsidRPr="004C53E7">
              <w:rPr>
                <w:rFonts w:ascii="Calibri" w:hAnsi="Calibri" w:cs="Arial"/>
                <w:b/>
                <w:bCs/>
                <w:lang w:val="en-IE"/>
              </w:rPr>
              <w:t>Type of Proposal</w:t>
            </w:r>
          </w:p>
          <w:p w14:paraId="705C203F" w14:textId="77777777" w:rsidR="006521D3" w:rsidRPr="004C53E7" w:rsidRDefault="006521D3" w:rsidP="00FD349F">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14:paraId="194E0015" w14:textId="77777777" w:rsidR="006521D3" w:rsidRPr="004C53E7" w:rsidRDefault="006521D3" w:rsidP="00FD349F">
            <w:pPr>
              <w:jc w:val="center"/>
              <w:rPr>
                <w:rFonts w:ascii="Calibri" w:hAnsi="Calibri" w:cs="Arial"/>
                <w:color w:val="000000"/>
                <w:lang w:val="en-IE"/>
              </w:rPr>
            </w:pPr>
            <w:r w:rsidRPr="004C53E7">
              <w:rPr>
                <w:rFonts w:ascii="Calibri" w:hAnsi="Calibri" w:cs="Arial"/>
                <w:b/>
                <w:bCs/>
                <w:color w:val="000000"/>
                <w:lang w:val="en-IE"/>
              </w:rPr>
              <w:t>Modification Proposal ID</w:t>
            </w:r>
          </w:p>
          <w:p w14:paraId="6065EE62" w14:textId="77777777" w:rsidR="006521D3" w:rsidRPr="004C53E7" w:rsidRDefault="006521D3" w:rsidP="00FD349F">
            <w:pPr>
              <w:jc w:val="center"/>
              <w:rPr>
                <w:rFonts w:ascii="Calibri" w:hAnsi="Calibri" w:cs="Arial"/>
                <w:lang w:val="en-IE"/>
              </w:rPr>
            </w:pPr>
            <w:r w:rsidRPr="004C53E7">
              <w:rPr>
                <w:rFonts w:ascii="Calibri" w:hAnsi="Calibri" w:cs="Arial"/>
                <w:i/>
                <w:lang w:val="en-IE"/>
              </w:rPr>
              <w:t>(assigned by Secretariat)</w:t>
            </w:r>
          </w:p>
        </w:tc>
      </w:tr>
      <w:tr w:rsidR="006521D3" w:rsidRPr="004C53E7" w14:paraId="43B904FD" w14:textId="77777777" w:rsidTr="00FD349F">
        <w:tc>
          <w:tcPr>
            <w:tcW w:w="2088" w:type="dxa"/>
            <w:vAlign w:val="center"/>
          </w:tcPr>
          <w:p w14:paraId="0F576B06" w14:textId="77777777" w:rsidR="006521D3" w:rsidRPr="004C53E7" w:rsidRDefault="006521D3" w:rsidP="00FD349F">
            <w:pPr>
              <w:jc w:val="center"/>
              <w:rPr>
                <w:rFonts w:ascii="Calibri" w:hAnsi="Calibri" w:cs="Arial"/>
                <w:b/>
                <w:lang w:val="en-IE"/>
              </w:rPr>
            </w:pPr>
            <w:r>
              <w:rPr>
                <w:rFonts w:ascii="Calibri" w:hAnsi="Calibri" w:cs="Arial"/>
                <w:b/>
                <w:lang w:val="en-IE"/>
              </w:rPr>
              <w:t>SEMO</w:t>
            </w:r>
          </w:p>
        </w:tc>
        <w:tc>
          <w:tcPr>
            <w:tcW w:w="2533" w:type="dxa"/>
            <w:gridSpan w:val="2"/>
            <w:vAlign w:val="center"/>
          </w:tcPr>
          <w:p w14:paraId="27B18AB7" w14:textId="77777777" w:rsidR="006521D3" w:rsidRPr="004C53E7" w:rsidRDefault="006521D3" w:rsidP="00FD349F">
            <w:pPr>
              <w:jc w:val="center"/>
              <w:rPr>
                <w:rFonts w:ascii="Calibri" w:hAnsi="Calibri" w:cs="Arial"/>
                <w:b/>
                <w:lang w:val="en-IE"/>
              </w:rPr>
            </w:pPr>
            <w:r>
              <w:rPr>
                <w:rFonts w:ascii="Calibri" w:hAnsi="Calibri" w:cs="Arial"/>
                <w:b/>
                <w:lang w:val="en-IE"/>
              </w:rPr>
              <w:t>08/08/19</w:t>
            </w:r>
          </w:p>
        </w:tc>
        <w:tc>
          <w:tcPr>
            <w:tcW w:w="2311" w:type="dxa"/>
            <w:gridSpan w:val="2"/>
            <w:vAlign w:val="center"/>
          </w:tcPr>
          <w:p w14:paraId="61235789" w14:textId="77777777" w:rsidR="006521D3" w:rsidRDefault="006521D3" w:rsidP="00FD349F">
            <w:pPr>
              <w:rPr>
                <w:rFonts w:ascii="Calibri" w:hAnsi="Calibri" w:cs="Arial"/>
                <w:b/>
                <w:lang w:val="en-IE"/>
              </w:rPr>
            </w:pPr>
          </w:p>
          <w:p w14:paraId="23E2006F" w14:textId="77777777" w:rsidR="006521D3" w:rsidRPr="004C53E7" w:rsidRDefault="006521D3" w:rsidP="00FD349F">
            <w:pPr>
              <w:rPr>
                <w:rFonts w:ascii="Calibri" w:hAnsi="Calibri" w:cs="Arial"/>
                <w:b/>
                <w:lang w:val="en-IE"/>
              </w:rPr>
            </w:pPr>
            <w:r>
              <w:rPr>
                <w:rFonts w:ascii="Calibri" w:hAnsi="Calibri" w:cs="Arial"/>
                <w:b/>
                <w:lang w:val="en-IE"/>
              </w:rPr>
              <w:t xml:space="preserve">            Standard</w:t>
            </w:r>
          </w:p>
          <w:p w14:paraId="303757C0" w14:textId="77777777" w:rsidR="006521D3" w:rsidRPr="004C53E7" w:rsidRDefault="006521D3" w:rsidP="00FD349F">
            <w:pPr>
              <w:rPr>
                <w:rFonts w:ascii="Calibri" w:hAnsi="Calibri" w:cs="Arial"/>
                <w:b/>
                <w:lang w:val="en-IE"/>
              </w:rPr>
            </w:pPr>
          </w:p>
        </w:tc>
        <w:tc>
          <w:tcPr>
            <w:tcW w:w="2311" w:type="dxa"/>
            <w:vAlign w:val="center"/>
          </w:tcPr>
          <w:p w14:paraId="562E27C8" w14:textId="77777777" w:rsidR="006521D3" w:rsidRPr="004C53E7" w:rsidRDefault="006521D3" w:rsidP="00FD349F">
            <w:pPr>
              <w:jc w:val="center"/>
              <w:rPr>
                <w:rFonts w:ascii="Calibri" w:hAnsi="Calibri" w:cs="Arial"/>
                <w:b/>
                <w:lang w:val="en-IE"/>
              </w:rPr>
            </w:pPr>
            <w:r>
              <w:rPr>
                <w:rFonts w:ascii="Calibri" w:hAnsi="Calibri" w:cs="Arial"/>
                <w:b/>
                <w:lang w:val="en-IE"/>
              </w:rPr>
              <w:t>Mod_12_19</w:t>
            </w:r>
          </w:p>
        </w:tc>
      </w:tr>
      <w:tr w:rsidR="006521D3" w:rsidRPr="004C53E7" w14:paraId="457CB5A8" w14:textId="77777777" w:rsidTr="00FD349F">
        <w:trPr>
          <w:trHeight w:val="467"/>
        </w:trPr>
        <w:tc>
          <w:tcPr>
            <w:tcW w:w="9243" w:type="dxa"/>
            <w:gridSpan w:val="6"/>
            <w:shd w:val="clear" w:color="auto" w:fill="C6D9F1"/>
            <w:vAlign w:val="center"/>
          </w:tcPr>
          <w:p w14:paraId="2C0135E1" w14:textId="77777777" w:rsidR="006521D3" w:rsidRPr="004C53E7" w:rsidRDefault="006521D3" w:rsidP="00FD349F">
            <w:pPr>
              <w:jc w:val="center"/>
              <w:rPr>
                <w:rFonts w:ascii="Calibri" w:hAnsi="Calibri" w:cs="Arial"/>
                <w:lang w:val="en-IE"/>
              </w:rPr>
            </w:pPr>
            <w:r w:rsidRPr="004C53E7">
              <w:rPr>
                <w:rFonts w:ascii="Calibri" w:hAnsi="Calibri" w:cs="Arial"/>
                <w:b/>
                <w:bCs/>
                <w:lang w:val="en-IE"/>
              </w:rPr>
              <w:t>Contact Details for Modification Proposal Originator</w:t>
            </w:r>
          </w:p>
        </w:tc>
      </w:tr>
      <w:tr w:rsidR="006521D3" w:rsidRPr="004C53E7" w14:paraId="11F10919" w14:textId="77777777" w:rsidTr="00FD349F">
        <w:tc>
          <w:tcPr>
            <w:tcW w:w="2943" w:type="dxa"/>
            <w:gridSpan w:val="2"/>
            <w:vAlign w:val="center"/>
          </w:tcPr>
          <w:p w14:paraId="5C51BB5B" w14:textId="77777777" w:rsidR="006521D3" w:rsidRPr="004C53E7" w:rsidRDefault="006521D3" w:rsidP="00FD349F">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468D7D48" w14:textId="77777777" w:rsidR="006521D3" w:rsidRPr="004C53E7" w:rsidRDefault="006521D3" w:rsidP="00FD349F">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14:paraId="3D0C0A39" w14:textId="77777777" w:rsidR="006521D3" w:rsidRPr="004C53E7" w:rsidRDefault="006521D3" w:rsidP="00FD349F">
            <w:pPr>
              <w:jc w:val="center"/>
              <w:rPr>
                <w:rFonts w:ascii="Calibri" w:hAnsi="Calibri" w:cs="Arial"/>
                <w:lang w:val="en-IE"/>
              </w:rPr>
            </w:pPr>
            <w:r w:rsidRPr="004C53E7">
              <w:rPr>
                <w:rFonts w:ascii="Calibri" w:hAnsi="Calibri" w:cs="Arial"/>
                <w:b/>
                <w:bCs/>
                <w:lang w:val="en-IE"/>
              </w:rPr>
              <w:t>Email address</w:t>
            </w:r>
          </w:p>
        </w:tc>
      </w:tr>
      <w:tr w:rsidR="006521D3" w:rsidRPr="004C53E7" w14:paraId="5899958A" w14:textId="77777777" w:rsidTr="00FD349F">
        <w:tc>
          <w:tcPr>
            <w:tcW w:w="2943" w:type="dxa"/>
            <w:gridSpan w:val="2"/>
            <w:vAlign w:val="center"/>
          </w:tcPr>
          <w:p w14:paraId="66F6B622" w14:textId="77777777" w:rsidR="006521D3" w:rsidRPr="004C53E7" w:rsidRDefault="006521D3" w:rsidP="00FD349F">
            <w:pPr>
              <w:rPr>
                <w:rFonts w:ascii="Calibri" w:hAnsi="Calibri" w:cs="Arial"/>
                <w:b/>
                <w:lang w:val="en-IE"/>
              </w:rPr>
            </w:pPr>
            <w:r>
              <w:rPr>
                <w:rFonts w:ascii="Calibri" w:hAnsi="Calibri" w:cs="Arial"/>
                <w:b/>
                <w:lang w:val="en-IE"/>
              </w:rPr>
              <w:t>Christopher Goodman</w:t>
            </w:r>
          </w:p>
        </w:tc>
        <w:tc>
          <w:tcPr>
            <w:tcW w:w="2925" w:type="dxa"/>
            <w:gridSpan w:val="2"/>
            <w:vAlign w:val="center"/>
          </w:tcPr>
          <w:p w14:paraId="21B61D15" w14:textId="77777777" w:rsidR="006521D3" w:rsidRPr="004C53E7" w:rsidRDefault="006521D3" w:rsidP="00FD349F">
            <w:pPr>
              <w:rPr>
                <w:rFonts w:ascii="Calibri" w:hAnsi="Calibri" w:cs="Arial"/>
                <w:b/>
                <w:lang w:val="en-IE"/>
              </w:rPr>
            </w:pPr>
          </w:p>
        </w:tc>
        <w:tc>
          <w:tcPr>
            <w:tcW w:w="3375" w:type="dxa"/>
            <w:gridSpan w:val="2"/>
            <w:vAlign w:val="center"/>
          </w:tcPr>
          <w:p w14:paraId="6286633A" w14:textId="77777777" w:rsidR="006521D3" w:rsidRPr="004C53E7" w:rsidRDefault="006521D3" w:rsidP="00FD349F">
            <w:pPr>
              <w:rPr>
                <w:rFonts w:ascii="Calibri" w:hAnsi="Calibri" w:cs="Arial"/>
                <w:b/>
                <w:lang w:val="en-IE"/>
              </w:rPr>
            </w:pPr>
            <w:r>
              <w:rPr>
                <w:rFonts w:ascii="Calibri" w:hAnsi="Calibri" w:cs="Arial"/>
                <w:b/>
                <w:lang w:val="en-IE"/>
              </w:rPr>
              <w:t>Christopher.Goodman@sem-o.com</w:t>
            </w:r>
          </w:p>
        </w:tc>
      </w:tr>
      <w:tr w:rsidR="006521D3" w:rsidRPr="004C53E7" w14:paraId="112BF12C" w14:textId="77777777" w:rsidTr="00FD349F">
        <w:trPr>
          <w:trHeight w:val="327"/>
        </w:trPr>
        <w:tc>
          <w:tcPr>
            <w:tcW w:w="9243" w:type="dxa"/>
            <w:gridSpan w:val="6"/>
            <w:shd w:val="clear" w:color="auto" w:fill="C6D9F1"/>
            <w:vAlign w:val="center"/>
          </w:tcPr>
          <w:p w14:paraId="170AB770" w14:textId="77777777" w:rsidR="006521D3" w:rsidRPr="004C53E7" w:rsidRDefault="006521D3" w:rsidP="00FD349F">
            <w:pPr>
              <w:jc w:val="center"/>
              <w:rPr>
                <w:rFonts w:ascii="Calibri" w:hAnsi="Calibri" w:cs="Arial"/>
                <w:b/>
                <w:bCs/>
                <w:lang w:val="en-IE"/>
              </w:rPr>
            </w:pPr>
            <w:r w:rsidRPr="004C53E7">
              <w:rPr>
                <w:rFonts w:ascii="Calibri" w:hAnsi="Calibri" w:cs="Arial"/>
                <w:b/>
                <w:bCs/>
                <w:lang w:val="en-IE"/>
              </w:rPr>
              <w:t>Modification Proposal Title</w:t>
            </w:r>
          </w:p>
        </w:tc>
      </w:tr>
      <w:tr w:rsidR="006521D3" w:rsidRPr="004C53E7" w14:paraId="0B28879A" w14:textId="77777777" w:rsidTr="00FD349F">
        <w:trPr>
          <w:trHeight w:val="323"/>
        </w:trPr>
        <w:tc>
          <w:tcPr>
            <w:tcW w:w="9243" w:type="dxa"/>
            <w:gridSpan w:val="6"/>
            <w:vAlign w:val="center"/>
          </w:tcPr>
          <w:p w14:paraId="5DCFE246" w14:textId="77777777" w:rsidR="006521D3" w:rsidRPr="004C53E7" w:rsidRDefault="006521D3" w:rsidP="00FD349F">
            <w:pPr>
              <w:spacing w:line="480" w:lineRule="auto"/>
              <w:jc w:val="center"/>
              <w:rPr>
                <w:rFonts w:ascii="Calibri" w:hAnsi="Calibri" w:cs="Arial"/>
                <w:b/>
                <w:bCs/>
                <w:color w:val="000000"/>
                <w:lang w:val="en-IE"/>
              </w:rPr>
            </w:pPr>
            <w:r>
              <w:rPr>
                <w:rFonts w:ascii="Calibri" w:hAnsi="Calibri" w:cs="Arial"/>
                <w:b/>
                <w:bCs/>
                <w:color w:val="000000"/>
                <w:lang w:val="en-IE"/>
              </w:rPr>
              <w:t>System Service Flag for Demand Side Units</w:t>
            </w:r>
          </w:p>
        </w:tc>
      </w:tr>
      <w:tr w:rsidR="006521D3" w:rsidRPr="004C53E7" w14:paraId="2DEB6001" w14:textId="77777777" w:rsidTr="00FD349F">
        <w:tc>
          <w:tcPr>
            <w:tcW w:w="2943" w:type="dxa"/>
            <w:gridSpan w:val="2"/>
            <w:shd w:val="clear" w:color="auto" w:fill="C6D9F1"/>
            <w:vAlign w:val="center"/>
          </w:tcPr>
          <w:p w14:paraId="2CE6CF33" w14:textId="77777777" w:rsidR="006521D3" w:rsidRPr="004C53E7" w:rsidRDefault="006521D3" w:rsidP="00FD349F">
            <w:pPr>
              <w:jc w:val="center"/>
              <w:rPr>
                <w:rFonts w:ascii="Calibri" w:hAnsi="Calibri" w:cs="Arial"/>
                <w:b/>
                <w:bCs/>
                <w:lang w:val="en-IE"/>
              </w:rPr>
            </w:pPr>
            <w:r w:rsidRPr="004C53E7">
              <w:rPr>
                <w:rFonts w:ascii="Calibri" w:hAnsi="Calibri" w:cs="Arial"/>
                <w:b/>
                <w:bCs/>
                <w:lang w:val="en-IE"/>
              </w:rPr>
              <w:t>Documents affected</w:t>
            </w:r>
          </w:p>
          <w:p w14:paraId="2DA7B078" w14:textId="77777777" w:rsidR="006521D3" w:rsidRPr="004C53E7" w:rsidRDefault="006521D3" w:rsidP="00FD349F">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1529B660" w14:textId="77777777" w:rsidR="006521D3" w:rsidRPr="004C53E7" w:rsidRDefault="006521D3" w:rsidP="00FD349F">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14:paraId="7C463EFD" w14:textId="77777777" w:rsidR="006521D3" w:rsidRPr="004C53E7" w:rsidRDefault="006521D3" w:rsidP="00FD349F">
            <w:pPr>
              <w:jc w:val="center"/>
              <w:rPr>
                <w:rStyle w:val="IntenseEmphasis"/>
                <w:lang w:val="en-IE"/>
              </w:rPr>
            </w:pPr>
            <w:r w:rsidRPr="004C53E7">
              <w:rPr>
                <w:rFonts w:ascii="Calibri" w:hAnsi="Calibri" w:cs="Arial"/>
                <w:b/>
                <w:lang w:val="en-IE"/>
              </w:rPr>
              <w:t>Version number of T&amp;SC or AP used in Drafting</w:t>
            </w:r>
          </w:p>
        </w:tc>
      </w:tr>
      <w:tr w:rsidR="006521D3" w:rsidRPr="004C53E7" w14:paraId="6F8C29DE" w14:textId="77777777" w:rsidTr="00FD349F">
        <w:tc>
          <w:tcPr>
            <w:tcW w:w="2943" w:type="dxa"/>
            <w:gridSpan w:val="2"/>
            <w:shd w:val="clear" w:color="auto" w:fill="FFFFFF"/>
            <w:vAlign w:val="center"/>
          </w:tcPr>
          <w:p w14:paraId="39CED603" w14:textId="77777777" w:rsidR="006521D3" w:rsidRDefault="006521D3" w:rsidP="00FD349F">
            <w:pPr>
              <w:jc w:val="center"/>
              <w:rPr>
                <w:rFonts w:ascii="Calibri" w:hAnsi="Calibri" w:cs="Arial"/>
                <w:b/>
                <w:lang w:val="en-IE"/>
              </w:rPr>
            </w:pPr>
          </w:p>
          <w:p w14:paraId="4EF50E26" w14:textId="77777777" w:rsidR="006521D3" w:rsidRPr="004C53E7" w:rsidDel="00476388" w:rsidRDefault="006521D3" w:rsidP="00FD349F">
            <w:pPr>
              <w:jc w:val="center"/>
              <w:rPr>
                <w:rFonts w:ascii="Calibri" w:hAnsi="Calibri" w:cs="Arial"/>
                <w:b/>
                <w:lang w:val="en-IE"/>
              </w:rPr>
            </w:pPr>
            <w:r w:rsidRPr="004C53E7">
              <w:rPr>
                <w:rFonts w:ascii="Calibri" w:hAnsi="Calibri" w:cs="Arial"/>
                <w:b/>
                <w:lang w:val="en-IE"/>
              </w:rPr>
              <w:t>T&amp;SC</w:t>
            </w:r>
            <w:r>
              <w:rPr>
                <w:rFonts w:ascii="Calibri" w:hAnsi="Calibri" w:cs="Arial"/>
                <w:b/>
                <w:lang w:val="en-IE"/>
              </w:rPr>
              <w:t xml:space="preserve"> Part B</w:t>
            </w:r>
          </w:p>
          <w:p w14:paraId="2A2CB893" w14:textId="77777777" w:rsidR="006521D3" w:rsidRPr="004C53E7" w:rsidDel="00476388" w:rsidRDefault="006521D3" w:rsidP="00FD349F">
            <w:pPr>
              <w:jc w:val="center"/>
              <w:rPr>
                <w:rFonts w:ascii="Calibri" w:hAnsi="Calibri" w:cs="Arial"/>
                <w:b/>
                <w:lang w:val="en-IE"/>
              </w:rPr>
            </w:pPr>
          </w:p>
        </w:tc>
        <w:tc>
          <w:tcPr>
            <w:tcW w:w="2925" w:type="dxa"/>
            <w:gridSpan w:val="2"/>
            <w:vAlign w:val="center"/>
          </w:tcPr>
          <w:p w14:paraId="10B1A10B" w14:textId="77777777" w:rsidR="006521D3" w:rsidRPr="004C53E7" w:rsidRDefault="006521D3" w:rsidP="00FD349F">
            <w:pPr>
              <w:jc w:val="center"/>
              <w:rPr>
                <w:rFonts w:ascii="Calibri" w:hAnsi="Calibri" w:cs="Arial"/>
                <w:b/>
                <w:lang w:val="en-IE"/>
              </w:rPr>
            </w:pPr>
            <w:r>
              <w:rPr>
                <w:rFonts w:ascii="Calibri" w:hAnsi="Calibri" w:cs="Arial"/>
                <w:b/>
                <w:lang w:val="en-IE"/>
              </w:rPr>
              <w:t>Section F.18.6</w:t>
            </w:r>
          </w:p>
        </w:tc>
        <w:tc>
          <w:tcPr>
            <w:tcW w:w="3375" w:type="dxa"/>
            <w:gridSpan w:val="2"/>
            <w:vAlign w:val="center"/>
          </w:tcPr>
          <w:p w14:paraId="097BDAF9" w14:textId="77777777" w:rsidR="006521D3" w:rsidRPr="004C53E7" w:rsidRDefault="006521D3" w:rsidP="00FD349F">
            <w:pPr>
              <w:jc w:val="center"/>
              <w:rPr>
                <w:rFonts w:ascii="Calibri" w:hAnsi="Calibri" w:cs="Arial"/>
                <w:b/>
                <w:lang w:val="en-IE"/>
              </w:rPr>
            </w:pPr>
            <w:r>
              <w:rPr>
                <w:rFonts w:ascii="Calibri" w:hAnsi="Calibri" w:cs="Arial"/>
                <w:b/>
                <w:lang w:val="en-IE"/>
              </w:rPr>
              <w:t>Version 21</w:t>
            </w:r>
          </w:p>
        </w:tc>
      </w:tr>
      <w:tr w:rsidR="006521D3" w:rsidRPr="004C53E7" w14:paraId="230E7092" w14:textId="77777777" w:rsidTr="00FD349F">
        <w:trPr>
          <w:trHeight w:val="375"/>
        </w:trPr>
        <w:tc>
          <w:tcPr>
            <w:tcW w:w="9243" w:type="dxa"/>
            <w:gridSpan w:val="6"/>
            <w:shd w:val="clear" w:color="auto" w:fill="C6D9F1"/>
            <w:vAlign w:val="center"/>
          </w:tcPr>
          <w:p w14:paraId="6F2F1851" w14:textId="77777777" w:rsidR="006521D3" w:rsidRPr="004C53E7" w:rsidRDefault="006521D3" w:rsidP="00FD349F">
            <w:pPr>
              <w:jc w:val="center"/>
              <w:rPr>
                <w:rFonts w:ascii="Calibri" w:hAnsi="Calibri" w:cs="Arial"/>
                <w:b/>
                <w:bCs/>
                <w:lang w:val="en-IE"/>
              </w:rPr>
            </w:pPr>
            <w:r w:rsidRPr="004C53E7">
              <w:rPr>
                <w:rFonts w:ascii="Calibri" w:hAnsi="Calibri" w:cs="Arial"/>
                <w:b/>
                <w:bCs/>
                <w:lang w:val="en-IE"/>
              </w:rPr>
              <w:t>Explanation of Proposed Change</w:t>
            </w:r>
          </w:p>
          <w:p w14:paraId="7CC4C033" w14:textId="77777777" w:rsidR="006521D3" w:rsidRPr="004C53E7" w:rsidRDefault="006521D3" w:rsidP="00FD349F">
            <w:pPr>
              <w:jc w:val="center"/>
              <w:rPr>
                <w:rFonts w:ascii="Calibri" w:hAnsi="Calibri" w:cs="Arial"/>
                <w:lang w:val="en-IE"/>
              </w:rPr>
            </w:pPr>
            <w:r w:rsidRPr="004C53E7">
              <w:rPr>
                <w:rFonts w:ascii="Calibri" w:hAnsi="Calibri"/>
                <w:i/>
                <w:spacing w:val="-3"/>
                <w:lang w:val="en-IE"/>
              </w:rPr>
              <w:t>(mandatory by originator)</w:t>
            </w:r>
          </w:p>
        </w:tc>
      </w:tr>
      <w:tr w:rsidR="006521D3" w:rsidRPr="004C53E7" w14:paraId="20D1E26A" w14:textId="77777777" w:rsidTr="00FD349F">
        <w:trPr>
          <w:trHeight w:val="467"/>
        </w:trPr>
        <w:tc>
          <w:tcPr>
            <w:tcW w:w="9243" w:type="dxa"/>
            <w:gridSpan w:val="6"/>
            <w:vAlign w:val="center"/>
          </w:tcPr>
          <w:p w14:paraId="7C01573E" w14:textId="77777777" w:rsidR="006521D3" w:rsidRDefault="006521D3" w:rsidP="00FD349F">
            <w:pPr>
              <w:rPr>
                <w:rFonts w:ascii="Calibri" w:hAnsi="Calibri" w:cs="Arial"/>
                <w:lang w:val="en-IE"/>
              </w:rPr>
            </w:pPr>
          </w:p>
          <w:p w14:paraId="5A7CED4B" w14:textId="3714130C" w:rsidR="006521D3" w:rsidRDefault="006521D3" w:rsidP="00FD349F">
            <w:pPr>
              <w:rPr>
                <w:rFonts w:ascii="Calibri" w:hAnsi="Calibri" w:cs="Arial"/>
                <w:lang w:val="en-IE"/>
              </w:rPr>
            </w:pPr>
            <w:r>
              <w:rPr>
                <w:rFonts w:ascii="Calibri" w:hAnsi="Calibri" w:cs="Arial"/>
                <w:lang w:val="en-IE"/>
              </w:rPr>
              <w:t>This proposal seeks to remove the current exclusion on the calculation of System Service Flag for Demand Side Units. This flag is not currently used to determine Capacity Non Delivery Difference Quantities and Charges for Demand Side Units as the Demand Side Non Delivery Percentage (FNDDS) is used, which is calculated by the TSOs b</w:t>
            </w:r>
            <w:r w:rsidR="00336C28">
              <w:rPr>
                <w:rFonts w:ascii="Calibri" w:hAnsi="Calibri" w:cs="Arial"/>
                <w:lang w:val="en-IE"/>
              </w:rPr>
              <w:t xml:space="preserve">ased on a methodology which is </w:t>
            </w:r>
            <w:r>
              <w:rPr>
                <w:rFonts w:ascii="Calibri" w:hAnsi="Calibri" w:cs="Arial"/>
                <w:lang w:val="en-IE"/>
              </w:rPr>
              <w:t>determined and published separately from the Trading and Settlement Code. It is therefore also not currently determined under the Code or otherwise.</w:t>
            </w:r>
          </w:p>
          <w:p w14:paraId="05A8352F" w14:textId="77777777" w:rsidR="006521D3" w:rsidRDefault="006521D3" w:rsidP="00FD349F">
            <w:pPr>
              <w:rPr>
                <w:rFonts w:ascii="Calibri" w:hAnsi="Calibri" w:cs="Arial"/>
                <w:lang w:val="en-IE"/>
              </w:rPr>
            </w:pPr>
          </w:p>
          <w:p w14:paraId="210D04DF" w14:textId="77777777" w:rsidR="006521D3" w:rsidRDefault="006521D3" w:rsidP="00FD349F">
            <w:pPr>
              <w:rPr>
                <w:rFonts w:ascii="Calibri" w:hAnsi="Calibri" w:cs="Arial"/>
                <w:lang w:val="en-IE"/>
              </w:rPr>
            </w:pPr>
            <w:r>
              <w:rPr>
                <w:rFonts w:ascii="Calibri" w:hAnsi="Calibri" w:cs="Arial"/>
                <w:lang w:val="en-IE"/>
              </w:rPr>
              <w:t xml:space="preserve">Discussions during the working group process for Mod_32_18 around the treatment of difference charges where a unit is bound by a constraint relating to system service provision led to an action to progress an approach whereby the System Service Flag could be used within the FNDDS methodology for DSUs so that any relief from difference charges where a unit is subject to a System Service Flag can be considered for DSUs. </w:t>
            </w:r>
          </w:p>
          <w:p w14:paraId="0B80ACB7" w14:textId="77777777" w:rsidR="006521D3" w:rsidRDefault="006521D3" w:rsidP="00FD349F">
            <w:pPr>
              <w:rPr>
                <w:rFonts w:ascii="Calibri" w:hAnsi="Calibri" w:cs="Arial"/>
                <w:lang w:val="en-IE"/>
              </w:rPr>
            </w:pPr>
          </w:p>
          <w:p w14:paraId="626EA9D1" w14:textId="77777777" w:rsidR="006521D3" w:rsidRDefault="006521D3" w:rsidP="00FD349F">
            <w:pPr>
              <w:rPr>
                <w:rFonts w:ascii="Calibri" w:hAnsi="Calibri" w:cs="Arial"/>
                <w:lang w:val="en-IE"/>
              </w:rPr>
            </w:pPr>
            <w:r>
              <w:rPr>
                <w:rFonts w:ascii="Calibri" w:hAnsi="Calibri" w:cs="Arial"/>
                <w:lang w:val="en-IE"/>
              </w:rPr>
              <w:t>This is in the context both of the existing approach to System Service Flagging for units bound by the presence of an Operational Constraint relating to the provision of Replacement Reserve (see TSC Appendix N paragraph 2) and also any potential future change to System Service Flagging were any additional Operational Constraints to be included under this rule.</w:t>
            </w:r>
          </w:p>
          <w:p w14:paraId="4A759FC0" w14:textId="77777777" w:rsidR="006521D3" w:rsidRDefault="006521D3" w:rsidP="00FD349F">
            <w:pPr>
              <w:rPr>
                <w:rFonts w:ascii="Calibri" w:hAnsi="Calibri" w:cs="Arial"/>
                <w:lang w:val="en-IE"/>
              </w:rPr>
            </w:pPr>
          </w:p>
          <w:p w14:paraId="1D7E6703" w14:textId="77777777" w:rsidR="006521D3" w:rsidRDefault="006521D3" w:rsidP="00FD349F">
            <w:pPr>
              <w:rPr>
                <w:rFonts w:ascii="Calibri" w:hAnsi="Calibri" w:cs="Arial"/>
                <w:lang w:val="en-IE"/>
              </w:rPr>
            </w:pPr>
            <w:r>
              <w:rPr>
                <w:rFonts w:ascii="Calibri" w:hAnsi="Calibri" w:cs="Arial"/>
                <w:lang w:val="en-IE"/>
              </w:rPr>
              <w:t xml:space="preserve">Details of how System Service provision is treated in the context of delivery or non delivery of capacity obligations for DSUs could be separately provided for within the FNDDS methodology; however, introducing the determination of the System Service Flagging within the Trading and Settlement Code would appear to carry a number of benefits as follows. </w:t>
            </w:r>
          </w:p>
          <w:p w14:paraId="1542A4E6" w14:textId="77777777" w:rsidR="006521D3" w:rsidRDefault="006521D3" w:rsidP="00FD349F">
            <w:pPr>
              <w:rPr>
                <w:rFonts w:ascii="Calibri" w:hAnsi="Calibri" w:cs="Arial"/>
                <w:lang w:val="en-IE"/>
              </w:rPr>
            </w:pPr>
          </w:p>
          <w:p w14:paraId="38BCD7FB" w14:textId="77777777" w:rsidR="006521D3" w:rsidRDefault="006521D3" w:rsidP="006521D3">
            <w:pPr>
              <w:pStyle w:val="ListParagraph"/>
              <w:numPr>
                <w:ilvl w:val="0"/>
                <w:numId w:val="46"/>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Placing a Codified obligation on the TSOs to calculate FSS;</w:t>
            </w:r>
          </w:p>
          <w:p w14:paraId="3FB69C83" w14:textId="77777777" w:rsidR="006521D3" w:rsidRDefault="006521D3" w:rsidP="006521D3">
            <w:pPr>
              <w:pStyle w:val="ListParagraph"/>
              <w:numPr>
                <w:ilvl w:val="0"/>
                <w:numId w:val="46"/>
              </w:numPr>
              <w:overflowPunct w:val="0"/>
              <w:autoSpaceDE w:val="0"/>
              <w:autoSpaceDN w:val="0"/>
              <w:adjustRightInd w:val="0"/>
              <w:spacing w:before="0" w:after="0" w:line="240" w:lineRule="auto"/>
              <w:textAlignment w:val="baseline"/>
              <w:rPr>
                <w:rFonts w:ascii="Calibri" w:hAnsi="Calibri" w:cs="Arial"/>
                <w:lang w:val="en-IE"/>
              </w:rPr>
            </w:pPr>
            <w:r w:rsidRPr="0082518A">
              <w:rPr>
                <w:rFonts w:ascii="Calibri" w:hAnsi="Calibri" w:cs="Arial"/>
                <w:lang w:val="en-IE"/>
              </w:rPr>
              <w:t>the ability to easily ensure that the System Service Flagging approaches for DSUs and other units are equivalent or otherwise fair</w:t>
            </w:r>
            <w:r>
              <w:rPr>
                <w:rFonts w:ascii="Calibri" w:hAnsi="Calibri" w:cs="Arial"/>
                <w:lang w:val="en-IE"/>
              </w:rPr>
              <w:t>;</w:t>
            </w:r>
          </w:p>
          <w:p w14:paraId="5B9F2FBF" w14:textId="77777777" w:rsidR="006521D3" w:rsidRDefault="006521D3" w:rsidP="006521D3">
            <w:pPr>
              <w:pStyle w:val="ListParagraph"/>
              <w:numPr>
                <w:ilvl w:val="0"/>
                <w:numId w:val="46"/>
              </w:numPr>
              <w:overflowPunct w:val="0"/>
              <w:autoSpaceDE w:val="0"/>
              <w:autoSpaceDN w:val="0"/>
              <w:adjustRightInd w:val="0"/>
              <w:spacing w:before="0" w:after="0" w:line="240" w:lineRule="auto"/>
              <w:textAlignment w:val="baseline"/>
              <w:rPr>
                <w:rFonts w:ascii="Calibri" w:hAnsi="Calibri" w:cs="Arial"/>
                <w:lang w:val="en-IE"/>
              </w:rPr>
            </w:pPr>
            <w:r w:rsidRPr="0082518A">
              <w:rPr>
                <w:rFonts w:ascii="Calibri" w:hAnsi="Calibri" w:cs="Arial"/>
                <w:lang w:val="en-IE"/>
              </w:rPr>
              <w:t>ensuring that there is no ambiguity as to whether a Trading and Settlement Code default rule does or doesn’t apply prior to the determination of FSS under an outside methodolog</w:t>
            </w:r>
            <w:r>
              <w:rPr>
                <w:rFonts w:ascii="Calibri" w:hAnsi="Calibri" w:cs="Arial"/>
                <w:lang w:val="en-IE"/>
              </w:rPr>
              <w:t xml:space="preserve">y; and </w:t>
            </w:r>
          </w:p>
          <w:p w14:paraId="04F78A48" w14:textId="77777777" w:rsidR="006521D3" w:rsidRPr="0082518A" w:rsidRDefault="006521D3" w:rsidP="006521D3">
            <w:pPr>
              <w:pStyle w:val="ListParagraph"/>
              <w:numPr>
                <w:ilvl w:val="0"/>
                <w:numId w:val="46"/>
              </w:numPr>
              <w:overflowPunct w:val="0"/>
              <w:autoSpaceDE w:val="0"/>
              <w:autoSpaceDN w:val="0"/>
              <w:adjustRightInd w:val="0"/>
              <w:spacing w:before="0" w:after="0" w:line="240" w:lineRule="auto"/>
              <w:textAlignment w:val="baseline"/>
              <w:rPr>
                <w:rFonts w:ascii="Calibri" w:hAnsi="Calibri" w:cs="Arial"/>
                <w:lang w:val="en-IE"/>
              </w:rPr>
            </w:pPr>
            <w:proofErr w:type="gramStart"/>
            <w:r w:rsidRPr="0082518A">
              <w:rPr>
                <w:rFonts w:ascii="Calibri" w:hAnsi="Calibri" w:cs="Arial"/>
                <w:lang w:val="en-IE"/>
              </w:rPr>
              <w:t>ensuring</w:t>
            </w:r>
            <w:proofErr w:type="gramEnd"/>
            <w:r>
              <w:rPr>
                <w:rFonts w:ascii="Calibri" w:hAnsi="Calibri" w:cs="Arial"/>
                <w:lang w:val="en-IE"/>
              </w:rPr>
              <w:t xml:space="preserve"> that FSS</w:t>
            </w:r>
            <w:r w:rsidRPr="0082518A">
              <w:rPr>
                <w:rFonts w:ascii="Calibri" w:hAnsi="Calibri" w:cs="Arial"/>
                <w:lang w:val="en-IE"/>
              </w:rPr>
              <w:t xml:space="preserve"> determination comes under Trading and Settlement Code governance in terms of how they are calculated and the process for their modification if required in future.</w:t>
            </w:r>
          </w:p>
          <w:p w14:paraId="2780A21B" w14:textId="77777777" w:rsidR="006521D3" w:rsidRDefault="006521D3" w:rsidP="00FD349F">
            <w:pPr>
              <w:rPr>
                <w:rFonts w:ascii="Calibri" w:hAnsi="Calibri" w:cs="Arial"/>
                <w:lang w:val="en-IE"/>
              </w:rPr>
            </w:pPr>
          </w:p>
          <w:p w14:paraId="0CD7B742" w14:textId="77777777" w:rsidR="006521D3" w:rsidRDefault="006521D3" w:rsidP="00FD349F">
            <w:pPr>
              <w:rPr>
                <w:rFonts w:ascii="Calibri" w:hAnsi="Calibri" w:cs="Arial"/>
                <w:lang w:val="en-IE"/>
              </w:rPr>
            </w:pPr>
            <w:r>
              <w:rPr>
                <w:rFonts w:ascii="Calibri" w:hAnsi="Calibri" w:cs="Arial"/>
                <w:lang w:val="en-IE"/>
              </w:rPr>
              <w:t xml:space="preserve">This proposal should not be considered to be assuming, fettering or pre-empting any particular changes to the FNDDS calculation methodology or methodology regarding the general determination of System Operator Flag by the System Operators. Rather, it is intended to allow for any subsequent changes to either or both of these as may be deemed appropriate as discussed during the working groups for Mod_32_18. </w:t>
            </w:r>
          </w:p>
          <w:p w14:paraId="4A9E2376" w14:textId="77777777" w:rsidR="006521D3" w:rsidRDefault="006521D3" w:rsidP="00FD349F">
            <w:pPr>
              <w:rPr>
                <w:rFonts w:ascii="Calibri" w:hAnsi="Calibri" w:cs="Arial"/>
                <w:lang w:val="en-IE"/>
              </w:rPr>
            </w:pPr>
          </w:p>
          <w:p w14:paraId="2FC34075" w14:textId="77777777" w:rsidR="006521D3" w:rsidRDefault="006521D3" w:rsidP="00FD349F">
            <w:pPr>
              <w:rPr>
                <w:rFonts w:ascii="Calibri" w:hAnsi="Calibri" w:cs="Arial"/>
                <w:lang w:val="en-IE"/>
              </w:rPr>
            </w:pPr>
            <w:r>
              <w:rPr>
                <w:rFonts w:ascii="Calibri" w:hAnsi="Calibri" w:cs="Arial"/>
                <w:lang w:val="en-IE"/>
              </w:rPr>
              <w:t>At the working groups it was acknowledged by SEMO and the working group at large that this Modification Proposal is worthy of consideration regardless of whether or not additional Operational Constraints related to System Services are subsequently included in the determination of FSS. An extract from the working group recommendation report related to the discussion around a potential proposal to introduce other Operational Constraints to FSS determination and how this could be applied to DSUs is as below:</w:t>
            </w:r>
          </w:p>
          <w:p w14:paraId="708C9321" w14:textId="77777777" w:rsidR="006521D3" w:rsidRDefault="006521D3" w:rsidP="00FD349F">
            <w:pPr>
              <w:rPr>
                <w:rFonts w:ascii="Calibri" w:hAnsi="Calibri" w:cs="Arial"/>
                <w:lang w:val="en-IE"/>
              </w:rPr>
            </w:pPr>
          </w:p>
          <w:p w14:paraId="5BF555E4" w14:textId="77777777" w:rsidR="006521D3" w:rsidRPr="00EC672A" w:rsidRDefault="006521D3" w:rsidP="00FD349F">
            <w:pPr>
              <w:jc w:val="both"/>
              <w:rPr>
                <w:rFonts w:ascii="Calibri" w:hAnsi="Calibri" w:cs="Arial"/>
                <w:i/>
                <w:lang w:val="en-IE"/>
              </w:rPr>
            </w:pPr>
            <w:r>
              <w:rPr>
                <w:rFonts w:ascii="Calibri" w:hAnsi="Calibri" w:cs="Arial"/>
                <w:i/>
                <w:lang w:val="en-IE"/>
              </w:rPr>
              <w:t>“</w:t>
            </w:r>
            <w:r w:rsidRPr="00EC672A">
              <w:rPr>
                <w:rFonts w:ascii="Calibri" w:hAnsi="Calibri" w:cs="Arial"/>
                <w:i/>
                <w:lang w:val="en-IE"/>
              </w:rPr>
              <w:t>SEMO confirmed that the proposed change is intended to apply equally across all Generator Units (including DSUs) and where required, an update could be made to the FNDDS calculation methodology to ensure this was the case. The Regulatory Authorities acknowledged this point and agreed that the solution should treat all Generato</w:t>
            </w:r>
            <w:r>
              <w:rPr>
                <w:rFonts w:ascii="Calibri" w:hAnsi="Calibri" w:cs="Arial"/>
                <w:i/>
                <w:lang w:val="en-IE"/>
              </w:rPr>
              <w:t>r Units equally including DSUs</w:t>
            </w:r>
            <w:proofErr w:type="gramStart"/>
            <w:r>
              <w:rPr>
                <w:rFonts w:ascii="Calibri" w:hAnsi="Calibri" w:cs="Arial"/>
                <w:i/>
                <w:lang w:val="en-IE"/>
              </w:rPr>
              <w:t>.“</w:t>
            </w:r>
            <w:proofErr w:type="gramEnd"/>
          </w:p>
          <w:p w14:paraId="6DED043C" w14:textId="77777777" w:rsidR="006521D3" w:rsidRPr="00EC672A" w:rsidRDefault="006521D3" w:rsidP="00FD349F">
            <w:pPr>
              <w:rPr>
                <w:rFonts w:ascii="Calibri" w:hAnsi="Calibri" w:cs="Arial"/>
                <w:i/>
                <w:lang w:val="en-IE"/>
              </w:rPr>
            </w:pPr>
          </w:p>
          <w:p w14:paraId="38C86E07" w14:textId="77777777" w:rsidR="006521D3" w:rsidRPr="00EC672A" w:rsidRDefault="006521D3" w:rsidP="00FD349F">
            <w:pPr>
              <w:rPr>
                <w:rFonts w:ascii="Calibri" w:hAnsi="Calibri" w:cs="Arial"/>
                <w:i/>
                <w:lang w:val="en-IE"/>
              </w:rPr>
            </w:pPr>
          </w:p>
          <w:p w14:paraId="7C31E2AC" w14:textId="77777777" w:rsidR="006521D3" w:rsidRPr="004C53E7" w:rsidRDefault="006521D3" w:rsidP="00FD349F">
            <w:pPr>
              <w:rPr>
                <w:rFonts w:ascii="Calibri" w:hAnsi="Calibri" w:cs="Arial"/>
                <w:lang w:val="en-IE"/>
              </w:rPr>
            </w:pPr>
          </w:p>
        </w:tc>
      </w:tr>
      <w:tr w:rsidR="006521D3" w:rsidRPr="004C53E7" w:rsidDel="00404964" w14:paraId="0B48277C" w14:textId="77777777" w:rsidTr="00FD349F">
        <w:tc>
          <w:tcPr>
            <w:tcW w:w="9243" w:type="dxa"/>
            <w:gridSpan w:val="6"/>
            <w:shd w:val="clear" w:color="auto" w:fill="C6D9F1"/>
            <w:vAlign w:val="center"/>
          </w:tcPr>
          <w:p w14:paraId="2EE7AEC9" w14:textId="77777777" w:rsidR="006521D3" w:rsidRPr="004C53E7" w:rsidRDefault="006521D3" w:rsidP="00FD349F">
            <w:pPr>
              <w:jc w:val="center"/>
              <w:rPr>
                <w:rFonts w:ascii="Calibri" w:hAnsi="Calibri" w:cs="Arial"/>
                <w:iCs/>
                <w:lang w:val="en-IE"/>
              </w:rPr>
            </w:pPr>
            <w:r w:rsidRPr="004C53E7">
              <w:rPr>
                <w:rFonts w:ascii="Calibri" w:hAnsi="Calibri" w:cs="Arial"/>
                <w:b/>
                <w:bCs/>
                <w:iCs/>
                <w:lang w:val="en-IE"/>
              </w:rPr>
              <w:t>Legal Drafting Change</w:t>
            </w:r>
          </w:p>
          <w:p w14:paraId="09292A4B" w14:textId="77777777" w:rsidR="006521D3" w:rsidRPr="004C53E7" w:rsidDel="00404964" w:rsidRDefault="006521D3" w:rsidP="00FD349F">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6521D3" w:rsidRPr="004C53E7" w:rsidDel="00404964" w14:paraId="6372C760" w14:textId="77777777" w:rsidTr="00FD349F">
        <w:trPr>
          <w:hidden/>
        </w:trPr>
        <w:tc>
          <w:tcPr>
            <w:tcW w:w="9243" w:type="dxa"/>
            <w:gridSpan w:val="6"/>
            <w:vAlign w:val="center"/>
          </w:tcPr>
          <w:p w14:paraId="6A1F8847" w14:textId="77777777" w:rsidR="006521D3" w:rsidRPr="007039C9" w:rsidRDefault="006521D3" w:rsidP="006521D3">
            <w:pPr>
              <w:pStyle w:val="ListParagraph"/>
              <w:keepNext/>
              <w:numPr>
                <w:ilvl w:val="0"/>
                <w:numId w:val="39"/>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123" w:name="_Toc18395354"/>
            <w:bookmarkStart w:id="124" w:name="_Toc18662481"/>
            <w:bookmarkEnd w:id="123"/>
            <w:bookmarkEnd w:id="124"/>
          </w:p>
          <w:p w14:paraId="56BBE987" w14:textId="77777777" w:rsidR="006521D3" w:rsidRPr="007039C9" w:rsidRDefault="006521D3" w:rsidP="006521D3">
            <w:pPr>
              <w:pStyle w:val="ListParagraph"/>
              <w:keepNext/>
              <w:numPr>
                <w:ilvl w:val="0"/>
                <w:numId w:val="39"/>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125" w:name="_Toc18395355"/>
            <w:bookmarkStart w:id="126" w:name="_Toc18662482"/>
            <w:bookmarkEnd w:id="125"/>
            <w:bookmarkEnd w:id="126"/>
          </w:p>
          <w:p w14:paraId="01FAC2CD" w14:textId="77777777" w:rsidR="006521D3" w:rsidRPr="007039C9" w:rsidRDefault="006521D3" w:rsidP="006521D3">
            <w:pPr>
              <w:pStyle w:val="ListParagraph"/>
              <w:keepNext/>
              <w:numPr>
                <w:ilvl w:val="0"/>
                <w:numId w:val="39"/>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127" w:name="_Toc18395356"/>
            <w:bookmarkStart w:id="128" w:name="_Toc18662483"/>
            <w:bookmarkEnd w:id="127"/>
            <w:bookmarkEnd w:id="128"/>
          </w:p>
          <w:p w14:paraId="0C0FF563" w14:textId="77777777" w:rsidR="006521D3" w:rsidRPr="007039C9" w:rsidRDefault="006521D3" w:rsidP="006521D3">
            <w:pPr>
              <w:pStyle w:val="ListParagraph"/>
              <w:keepNext/>
              <w:numPr>
                <w:ilvl w:val="0"/>
                <w:numId w:val="39"/>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129" w:name="_Toc18395357"/>
            <w:bookmarkStart w:id="130" w:name="_Toc18662484"/>
            <w:bookmarkEnd w:id="129"/>
            <w:bookmarkEnd w:id="130"/>
          </w:p>
          <w:p w14:paraId="5B45924F" w14:textId="77777777" w:rsidR="006521D3" w:rsidRPr="007039C9" w:rsidRDefault="006521D3" w:rsidP="006521D3">
            <w:pPr>
              <w:pStyle w:val="ListParagraph"/>
              <w:keepNext/>
              <w:numPr>
                <w:ilvl w:val="0"/>
                <w:numId w:val="39"/>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131" w:name="_Toc18395358"/>
            <w:bookmarkStart w:id="132" w:name="_Toc18662485"/>
            <w:bookmarkEnd w:id="131"/>
            <w:bookmarkEnd w:id="132"/>
          </w:p>
          <w:p w14:paraId="170ACC24" w14:textId="77777777" w:rsidR="006521D3" w:rsidRPr="007039C9" w:rsidRDefault="006521D3" w:rsidP="006521D3">
            <w:pPr>
              <w:pStyle w:val="ListParagraph"/>
              <w:keepNext/>
              <w:numPr>
                <w:ilvl w:val="0"/>
                <w:numId w:val="39"/>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133" w:name="_Toc18395359"/>
            <w:bookmarkStart w:id="134" w:name="_Toc18662486"/>
            <w:bookmarkEnd w:id="133"/>
            <w:bookmarkEnd w:id="134"/>
          </w:p>
          <w:p w14:paraId="14463767" w14:textId="77777777" w:rsidR="006521D3" w:rsidRPr="007039C9" w:rsidRDefault="006521D3" w:rsidP="006521D3">
            <w:pPr>
              <w:pStyle w:val="ListParagraph"/>
              <w:keepNext/>
              <w:numPr>
                <w:ilvl w:val="1"/>
                <w:numId w:val="39"/>
              </w:numPr>
              <w:spacing w:before="240" w:after="120" w:line="240" w:lineRule="auto"/>
              <w:contextualSpacing w:val="0"/>
              <w:jc w:val="both"/>
              <w:outlineLvl w:val="1"/>
              <w:rPr>
                <w:b/>
                <w:caps/>
                <w:vanish/>
                <w:sz w:val="24"/>
                <w:szCs w:val="22"/>
                <w:lang w:val="en-US"/>
              </w:rPr>
            </w:pPr>
            <w:bookmarkStart w:id="135" w:name="_Toc18395360"/>
            <w:bookmarkStart w:id="136" w:name="_Toc18662487"/>
            <w:bookmarkEnd w:id="135"/>
            <w:bookmarkEnd w:id="136"/>
          </w:p>
          <w:p w14:paraId="64C83857" w14:textId="77777777" w:rsidR="006521D3" w:rsidRPr="007039C9" w:rsidRDefault="006521D3" w:rsidP="006521D3">
            <w:pPr>
              <w:pStyle w:val="ListParagraph"/>
              <w:keepNext/>
              <w:numPr>
                <w:ilvl w:val="1"/>
                <w:numId w:val="39"/>
              </w:numPr>
              <w:spacing w:before="240" w:after="120" w:line="240" w:lineRule="auto"/>
              <w:contextualSpacing w:val="0"/>
              <w:jc w:val="both"/>
              <w:outlineLvl w:val="1"/>
              <w:rPr>
                <w:b/>
                <w:caps/>
                <w:vanish/>
                <w:sz w:val="24"/>
                <w:szCs w:val="22"/>
                <w:lang w:val="en-US"/>
              </w:rPr>
            </w:pPr>
            <w:bookmarkStart w:id="137" w:name="_Toc18395361"/>
            <w:bookmarkStart w:id="138" w:name="_Toc18662488"/>
            <w:bookmarkEnd w:id="137"/>
            <w:bookmarkEnd w:id="138"/>
          </w:p>
          <w:p w14:paraId="70265E35" w14:textId="77777777" w:rsidR="006521D3" w:rsidRPr="007039C9" w:rsidRDefault="006521D3" w:rsidP="006521D3">
            <w:pPr>
              <w:pStyle w:val="ListParagraph"/>
              <w:keepNext/>
              <w:numPr>
                <w:ilvl w:val="1"/>
                <w:numId w:val="39"/>
              </w:numPr>
              <w:spacing w:before="240" w:after="120" w:line="240" w:lineRule="auto"/>
              <w:contextualSpacing w:val="0"/>
              <w:jc w:val="both"/>
              <w:outlineLvl w:val="1"/>
              <w:rPr>
                <w:b/>
                <w:caps/>
                <w:vanish/>
                <w:sz w:val="24"/>
                <w:szCs w:val="22"/>
                <w:lang w:val="en-US"/>
              </w:rPr>
            </w:pPr>
            <w:bookmarkStart w:id="139" w:name="_Toc18395362"/>
            <w:bookmarkStart w:id="140" w:name="_Toc18662489"/>
            <w:bookmarkEnd w:id="139"/>
            <w:bookmarkEnd w:id="140"/>
          </w:p>
          <w:p w14:paraId="0AF91A15" w14:textId="77777777" w:rsidR="006521D3" w:rsidRPr="007039C9" w:rsidRDefault="006521D3" w:rsidP="006521D3">
            <w:pPr>
              <w:pStyle w:val="ListParagraph"/>
              <w:keepNext/>
              <w:numPr>
                <w:ilvl w:val="1"/>
                <w:numId w:val="39"/>
              </w:numPr>
              <w:spacing w:before="240" w:after="120" w:line="240" w:lineRule="auto"/>
              <w:contextualSpacing w:val="0"/>
              <w:jc w:val="both"/>
              <w:outlineLvl w:val="1"/>
              <w:rPr>
                <w:b/>
                <w:caps/>
                <w:vanish/>
                <w:sz w:val="24"/>
                <w:szCs w:val="22"/>
                <w:lang w:val="en-US"/>
              </w:rPr>
            </w:pPr>
            <w:bookmarkStart w:id="141" w:name="_Toc18395363"/>
            <w:bookmarkStart w:id="142" w:name="_Toc18662490"/>
            <w:bookmarkEnd w:id="141"/>
            <w:bookmarkEnd w:id="142"/>
          </w:p>
          <w:p w14:paraId="116A50CD" w14:textId="77777777" w:rsidR="006521D3" w:rsidRPr="007039C9" w:rsidRDefault="006521D3" w:rsidP="006521D3">
            <w:pPr>
              <w:pStyle w:val="ListParagraph"/>
              <w:keepNext/>
              <w:numPr>
                <w:ilvl w:val="1"/>
                <w:numId w:val="39"/>
              </w:numPr>
              <w:spacing w:before="240" w:after="120" w:line="240" w:lineRule="auto"/>
              <w:contextualSpacing w:val="0"/>
              <w:jc w:val="both"/>
              <w:outlineLvl w:val="1"/>
              <w:rPr>
                <w:b/>
                <w:caps/>
                <w:vanish/>
                <w:sz w:val="24"/>
                <w:szCs w:val="22"/>
                <w:lang w:val="en-US"/>
              </w:rPr>
            </w:pPr>
            <w:bookmarkStart w:id="143" w:name="_Toc18395364"/>
            <w:bookmarkStart w:id="144" w:name="_Toc18662491"/>
            <w:bookmarkEnd w:id="143"/>
            <w:bookmarkEnd w:id="144"/>
          </w:p>
          <w:p w14:paraId="36AA92A7" w14:textId="77777777" w:rsidR="006521D3" w:rsidRPr="007039C9" w:rsidRDefault="006521D3" w:rsidP="006521D3">
            <w:pPr>
              <w:pStyle w:val="ListParagraph"/>
              <w:keepNext/>
              <w:numPr>
                <w:ilvl w:val="1"/>
                <w:numId w:val="39"/>
              </w:numPr>
              <w:spacing w:before="240" w:after="120" w:line="240" w:lineRule="auto"/>
              <w:contextualSpacing w:val="0"/>
              <w:jc w:val="both"/>
              <w:outlineLvl w:val="1"/>
              <w:rPr>
                <w:b/>
                <w:caps/>
                <w:vanish/>
                <w:sz w:val="24"/>
                <w:szCs w:val="22"/>
                <w:lang w:val="en-US"/>
              </w:rPr>
            </w:pPr>
            <w:bookmarkStart w:id="145" w:name="_Toc18395365"/>
            <w:bookmarkStart w:id="146" w:name="_Toc18662492"/>
            <w:bookmarkEnd w:id="145"/>
            <w:bookmarkEnd w:id="146"/>
          </w:p>
          <w:p w14:paraId="48C8E3C3" w14:textId="77777777" w:rsidR="006521D3" w:rsidRPr="007039C9" w:rsidRDefault="006521D3" w:rsidP="006521D3">
            <w:pPr>
              <w:pStyle w:val="ListParagraph"/>
              <w:keepNext/>
              <w:numPr>
                <w:ilvl w:val="1"/>
                <w:numId w:val="39"/>
              </w:numPr>
              <w:spacing w:before="240" w:after="120" w:line="240" w:lineRule="auto"/>
              <w:contextualSpacing w:val="0"/>
              <w:jc w:val="both"/>
              <w:outlineLvl w:val="1"/>
              <w:rPr>
                <w:b/>
                <w:caps/>
                <w:vanish/>
                <w:sz w:val="24"/>
                <w:szCs w:val="22"/>
                <w:lang w:val="en-US"/>
              </w:rPr>
            </w:pPr>
            <w:bookmarkStart w:id="147" w:name="_Toc18395366"/>
            <w:bookmarkStart w:id="148" w:name="_Toc18662493"/>
            <w:bookmarkEnd w:id="147"/>
            <w:bookmarkEnd w:id="148"/>
          </w:p>
          <w:p w14:paraId="5DD69A89" w14:textId="77777777" w:rsidR="006521D3" w:rsidRPr="007039C9" w:rsidRDefault="006521D3" w:rsidP="006521D3">
            <w:pPr>
              <w:pStyle w:val="ListParagraph"/>
              <w:keepNext/>
              <w:numPr>
                <w:ilvl w:val="1"/>
                <w:numId w:val="39"/>
              </w:numPr>
              <w:spacing w:before="240" w:after="120" w:line="240" w:lineRule="auto"/>
              <w:contextualSpacing w:val="0"/>
              <w:jc w:val="both"/>
              <w:outlineLvl w:val="1"/>
              <w:rPr>
                <w:b/>
                <w:caps/>
                <w:vanish/>
                <w:sz w:val="24"/>
                <w:szCs w:val="22"/>
                <w:lang w:val="en-US"/>
              </w:rPr>
            </w:pPr>
            <w:bookmarkStart w:id="149" w:name="_Toc18395367"/>
            <w:bookmarkStart w:id="150" w:name="_Toc18662494"/>
            <w:bookmarkEnd w:id="149"/>
            <w:bookmarkEnd w:id="150"/>
          </w:p>
          <w:p w14:paraId="0CF36CCA" w14:textId="77777777" w:rsidR="006521D3" w:rsidRPr="007039C9" w:rsidRDefault="006521D3" w:rsidP="006521D3">
            <w:pPr>
              <w:pStyle w:val="ListParagraph"/>
              <w:keepNext/>
              <w:numPr>
                <w:ilvl w:val="1"/>
                <w:numId w:val="39"/>
              </w:numPr>
              <w:spacing w:before="240" w:after="120" w:line="240" w:lineRule="auto"/>
              <w:contextualSpacing w:val="0"/>
              <w:jc w:val="both"/>
              <w:outlineLvl w:val="1"/>
              <w:rPr>
                <w:b/>
                <w:caps/>
                <w:vanish/>
                <w:sz w:val="24"/>
                <w:szCs w:val="22"/>
                <w:lang w:val="en-US"/>
              </w:rPr>
            </w:pPr>
            <w:bookmarkStart w:id="151" w:name="_Toc18395368"/>
            <w:bookmarkStart w:id="152" w:name="_Toc18662495"/>
            <w:bookmarkEnd w:id="151"/>
            <w:bookmarkEnd w:id="152"/>
          </w:p>
          <w:p w14:paraId="71A12DE3" w14:textId="77777777" w:rsidR="006521D3" w:rsidRPr="007039C9" w:rsidRDefault="006521D3" w:rsidP="006521D3">
            <w:pPr>
              <w:pStyle w:val="ListParagraph"/>
              <w:keepNext/>
              <w:numPr>
                <w:ilvl w:val="1"/>
                <w:numId w:val="39"/>
              </w:numPr>
              <w:spacing w:before="240" w:after="120" w:line="240" w:lineRule="auto"/>
              <w:contextualSpacing w:val="0"/>
              <w:jc w:val="both"/>
              <w:outlineLvl w:val="1"/>
              <w:rPr>
                <w:b/>
                <w:caps/>
                <w:vanish/>
                <w:sz w:val="24"/>
                <w:szCs w:val="22"/>
                <w:lang w:val="en-US"/>
              </w:rPr>
            </w:pPr>
            <w:bookmarkStart w:id="153" w:name="_Toc18395369"/>
            <w:bookmarkStart w:id="154" w:name="_Toc18662496"/>
            <w:bookmarkEnd w:id="153"/>
            <w:bookmarkEnd w:id="154"/>
          </w:p>
          <w:p w14:paraId="4F6A599F" w14:textId="77777777" w:rsidR="006521D3" w:rsidRPr="007039C9" w:rsidRDefault="006521D3" w:rsidP="006521D3">
            <w:pPr>
              <w:pStyle w:val="ListParagraph"/>
              <w:keepNext/>
              <w:numPr>
                <w:ilvl w:val="1"/>
                <w:numId w:val="39"/>
              </w:numPr>
              <w:spacing w:before="240" w:after="120" w:line="240" w:lineRule="auto"/>
              <w:contextualSpacing w:val="0"/>
              <w:jc w:val="both"/>
              <w:outlineLvl w:val="1"/>
              <w:rPr>
                <w:b/>
                <w:caps/>
                <w:vanish/>
                <w:sz w:val="24"/>
                <w:szCs w:val="22"/>
                <w:lang w:val="en-US"/>
              </w:rPr>
            </w:pPr>
            <w:bookmarkStart w:id="155" w:name="_Toc18395370"/>
            <w:bookmarkStart w:id="156" w:name="_Toc18662497"/>
            <w:bookmarkEnd w:id="155"/>
            <w:bookmarkEnd w:id="156"/>
          </w:p>
          <w:p w14:paraId="3DFD01DA" w14:textId="77777777" w:rsidR="006521D3" w:rsidRPr="007039C9" w:rsidRDefault="006521D3" w:rsidP="006521D3">
            <w:pPr>
              <w:pStyle w:val="ListParagraph"/>
              <w:keepNext/>
              <w:numPr>
                <w:ilvl w:val="1"/>
                <w:numId w:val="39"/>
              </w:numPr>
              <w:spacing w:before="240" w:after="120" w:line="240" w:lineRule="auto"/>
              <w:contextualSpacing w:val="0"/>
              <w:jc w:val="both"/>
              <w:outlineLvl w:val="1"/>
              <w:rPr>
                <w:b/>
                <w:caps/>
                <w:vanish/>
                <w:sz w:val="24"/>
                <w:szCs w:val="22"/>
                <w:lang w:val="en-US"/>
              </w:rPr>
            </w:pPr>
            <w:bookmarkStart w:id="157" w:name="_Toc18395371"/>
            <w:bookmarkStart w:id="158" w:name="_Toc18662498"/>
            <w:bookmarkEnd w:id="157"/>
            <w:bookmarkEnd w:id="158"/>
          </w:p>
          <w:p w14:paraId="2E3CE0E9" w14:textId="77777777" w:rsidR="006521D3" w:rsidRPr="007039C9" w:rsidRDefault="006521D3" w:rsidP="006521D3">
            <w:pPr>
              <w:pStyle w:val="ListParagraph"/>
              <w:keepNext/>
              <w:numPr>
                <w:ilvl w:val="1"/>
                <w:numId w:val="39"/>
              </w:numPr>
              <w:spacing w:before="240" w:after="120" w:line="240" w:lineRule="auto"/>
              <w:contextualSpacing w:val="0"/>
              <w:jc w:val="both"/>
              <w:outlineLvl w:val="1"/>
              <w:rPr>
                <w:b/>
                <w:caps/>
                <w:vanish/>
                <w:sz w:val="24"/>
                <w:szCs w:val="22"/>
                <w:lang w:val="en-US"/>
              </w:rPr>
            </w:pPr>
            <w:bookmarkStart w:id="159" w:name="_Toc18395372"/>
            <w:bookmarkStart w:id="160" w:name="_Toc18662499"/>
            <w:bookmarkEnd w:id="159"/>
            <w:bookmarkEnd w:id="160"/>
          </w:p>
          <w:p w14:paraId="708D26E1" w14:textId="77777777" w:rsidR="006521D3" w:rsidRPr="007039C9" w:rsidRDefault="006521D3" w:rsidP="006521D3">
            <w:pPr>
              <w:pStyle w:val="ListParagraph"/>
              <w:keepNext/>
              <w:numPr>
                <w:ilvl w:val="1"/>
                <w:numId w:val="39"/>
              </w:numPr>
              <w:spacing w:before="240" w:after="120" w:line="240" w:lineRule="auto"/>
              <w:contextualSpacing w:val="0"/>
              <w:jc w:val="both"/>
              <w:outlineLvl w:val="1"/>
              <w:rPr>
                <w:b/>
                <w:caps/>
                <w:vanish/>
                <w:sz w:val="24"/>
                <w:szCs w:val="22"/>
                <w:lang w:val="en-US"/>
              </w:rPr>
            </w:pPr>
            <w:bookmarkStart w:id="161" w:name="_Toc18395373"/>
            <w:bookmarkStart w:id="162" w:name="_Toc18662500"/>
            <w:bookmarkEnd w:id="161"/>
            <w:bookmarkEnd w:id="162"/>
          </w:p>
          <w:p w14:paraId="72197694" w14:textId="77777777" w:rsidR="006521D3" w:rsidRPr="007039C9" w:rsidRDefault="006521D3" w:rsidP="006521D3">
            <w:pPr>
              <w:pStyle w:val="ListParagraph"/>
              <w:keepNext/>
              <w:numPr>
                <w:ilvl w:val="1"/>
                <w:numId w:val="39"/>
              </w:numPr>
              <w:spacing w:before="240" w:after="120" w:line="240" w:lineRule="auto"/>
              <w:contextualSpacing w:val="0"/>
              <w:jc w:val="both"/>
              <w:outlineLvl w:val="1"/>
              <w:rPr>
                <w:b/>
                <w:caps/>
                <w:vanish/>
                <w:sz w:val="24"/>
                <w:szCs w:val="22"/>
                <w:lang w:val="en-US"/>
              </w:rPr>
            </w:pPr>
            <w:bookmarkStart w:id="163" w:name="_Toc18395374"/>
            <w:bookmarkStart w:id="164" w:name="_Toc18662501"/>
            <w:bookmarkEnd w:id="163"/>
            <w:bookmarkEnd w:id="164"/>
          </w:p>
          <w:p w14:paraId="55E6FAE2" w14:textId="77777777" w:rsidR="006521D3" w:rsidRPr="007039C9" w:rsidRDefault="006521D3" w:rsidP="006521D3">
            <w:pPr>
              <w:pStyle w:val="ListParagraph"/>
              <w:keepNext/>
              <w:numPr>
                <w:ilvl w:val="1"/>
                <w:numId w:val="39"/>
              </w:numPr>
              <w:spacing w:before="240" w:after="120" w:line="240" w:lineRule="auto"/>
              <w:contextualSpacing w:val="0"/>
              <w:jc w:val="both"/>
              <w:outlineLvl w:val="1"/>
              <w:rPr>
                <w:b/>
                <w:caps/>
                <w:vanish/>
                <w:sz w:val="24"/>
                <w:szCs w:val="22"/>
                <w:lang w:val="en-US"/>
              </w:rPr>
            </w:pPr>
            <w:bookmarkStart w:id="165" w:name="_Toc18395375"/>
            <w:bookmarkStart w:id="166" w:name="_Toc18662502"/>
            <w:bookmarkEnd w:id="165"/>
            <w:bookmarkEnd w:id="166"/>
          </w:p>
          <w:p w14:paraId="19339854" w14:textId="77777777" w:rsidR="006521D3" w:rsidRPr="007039C9" w:rsidRDefault="006521D3" w:rsidP="006521D3">
            <w:pPr>
              <w:pStyle w:val="ListParagraph"/>
              <w:keepNext/>
              <w:numPr>
                <w:ilvl w:val="1"/>
                <w:numId w:val="39"/>
              </w:numPr>
              <w:spacing w:before="240" w:after="120" w:line="240" w:lineRule="auto"/>
              <w:contextualSpacing w:val="0"/>
              <w:jc w:val="both"/>
              <w:outlineLvl w:val="1"/>
              <w:rPr>
                <w:b/>
                <w:caps/>
                <w:vanish/>
                <w:sz w:val="24"/>
                <w:szCs w:val="22"/>
                <w:lang w:val="en-US"/>
              </w:rPr>
            </w:pPr>
            <w:bookmarkStart w:id="167" w:name="_Toc18395376"/>
            <w:bookmarkStart w:id="168" w:name="_Toc18662503"/>
            <w:bookmarkEnd w:id="167"/>
            <w:bookmarkEnd w:id="168"/>
          </w:p>
          <w:p w14:paraId="6B679B64" w14:textId="77777777" w:rsidR="006521D3" w:rsidRPr="007039C9" w:rsidRDefault="006521D3" w:rsidP="006521D3">
            <w:pPr>
              <w:pStyle w:val="ListParagraph"/>
              <w:keepNext/>
              <w:numPr>
                <w:ilvl w:val="1"/>
                <w:numId w:val="39"/>
              </w:numPr>
              <w:spacing w:before="240" w:after="120" w:line="240" w:lineRule="auto"/>
              <w:contextualSpacing w:val="0"/>
              <w:jc w:val="both"/>
              <w:outlineLvl w:val="1"/>
              <w:rPr>
                <w:b/>
                <w:caps/>
                <w:vanish/>
                <w:sz w:val="24"/>
                <w:szCs w:val="22"/>
                <w:lang w:val="en-US"/>
              </w:rPr>
            </w:pPr>
            <w:bookmarkStart w:id="169" w:name="_Toc18395377"/>
            <w:bookmarkStart w:id="170" w:name="_Toc18662504"/>
            <w:bookmarkEnd w:id="169"/>
            <w:bookmarkEnd w:id="170"/>
          </w:p>
          <w:p w14:paraId="00C1331C" w14:textId="77777777" w:rsidR="006521D3" w:rsidRPr="007039C9" w:rsidRDefault="006521D3" w:rsidP="006521D3">
            <w:pPr>
              <w:pStyle w:val="ListParagraph"/>
              <w:keepNext/>
              <w:numPr>
                <w:ilvl w:val="2"/>
                <w:numId w:val="39"/>
              </w:numPr>
              <w:spacing w:before="240" w:after="120" w:line="240" w:lineRule="auto"/>
              <w:contextualSpacing w:val="0"/>
              <w:jc w:val="both"/>
              <w:outlineLvl w:val="2"/>
              <w:rPr>
                <w:b/>
                <w:vanish/>
                <w:sz w:val="22"/>
                <w:szCs w:val="22"/>
                <w:lang w:val="en-US"/>
              </w:rPr>
            </w:pPr>
            <w:bookmarkStart w:id="171" w:name="_Toc18395378"/>
            <w:bookmarkStart w:id="172" w:name="_Toc18662505"/>
            <w:bookmarkEnd w:id="171"/>
            <w:bookmarkEnd w:id="172"/>
          </w:p>
          <w:p w14:paraId="0ED25C51" w14:textId="77777777" w:rsidR="006521D3" w:rsidRPr="007039C9" w:rsidRDefault="006521D3" w:rsidP="006521D3">
            <w:pPr>
              <w:pStyle w:val="ListParagraph"/>
              <w:keepNext/>
              <w:numPr>
                <w:ilvl w:val="2"/>
                <w:numId w:val="39"/>
              </w:numPr>
              <w:spacing w:before="240" w:after="120" w:line="240" w:lineRule="auto"/>
              <w:contextualSpacing w:val="0"/>
              <w:jc w:val="both"/>
              <w:outlineLvl w:val="2"/>
              <w:rPr>
                <w:b/>
                <w:vanish/>
                <w:sz w:val="22"/>
                <w:szCs w:val="22"/>
                <w:lang w:val="en-US"/>
              </w:rPr>
            </w:pPr>
            <w:bookmarkStart w:id="173" w:name="_Toc18395379"/>
            <w:bookmarkStart w:id="174" w:name="_Toc18662506"/>
            <w:bookmarkEnd w:id="173"/>
            <w:bookmarkEnd w:id="174"/>
          </w:p>
          <w:p w14:paraId="372C4A2C" w14:textId="77777777" w:rsidR="006521D3" w:rsidRPr="007039C9" w:rsidRDefault="006521D3" w:rsidP="006521D3">
            <w:pPr>
              <w:pStyle w:val="ListParagraph"/>
              <w:keepNext/>
              <w:numPr>
                <w:ilvl w:val="2"/>
                <w:numId w:val="39"/>
              </w:numPr>
              <w:spacing w:before="240" w:after="120" w:line="240" w:lineRule="auto"/>
              <w:contextualSpacing w:val="0"/>
              <w:jc w:val="both"/>
              <w:outlineLvl w:val="2"/>
              <w:rPr>
                <w:b/>
                <w:vanish/>
                <w:sz w:val="22"/>
                <w:szCs w:val="22"/>
                <w:lang w:val="en-US"/>
              </w:rPr>
            </w:pPr>
            <w:bookmarkStart w:id="175" w:name="_Toc18395380"/>
            <w:bookmarkStart w:id="176" w:name="_Toc18662507"/>
            <w:bookmarkEnd w:id="175"/>
            <w:bookmarkEnd w:id="176"/>
          </w:p>
          <w:p w14:paraId="3926488C" w14:textId="77777777" w:rsidR="006521D3" w:rsidRPr="007039C9" w:rsidRDefault="006521D3" w:rsidP="006521D3">
            <w:pPr>
              <w:pStyle w:val="ListParagraph"/>
              <w:keepNext/>
              <w:numPr>
                <w:ilvl w:val="2"/>
                <w:numId w:val="39"/>
              </w:numPr>
              <w:spacing w:before="240" w:after="120" w:line="240" w:lineRule="auto"/>
              <w:contextualSpacing w:val="0"/>
              <w:jc w:val="both"/>
              <w:outlineLvl w:val="2"/>
              <w:rPr>
                <w:b/>
                <w:vanish/>
                <w:sz w:val="22"/>
                <w:szCs w:val="22"/>
                <w:lang w:val="en-US"/>
              </w:rPr>
            </w:pPr>
            <w:bookmarkStart w:id="177" w:name="_Toc18395381"/>
            <w:bookmarkStart w:id="178" w:name="_Toc18662508"/>
            <w:bookmarkEnd w:id="177"/>
            <w:bookmarkEnd w:id="178"/>
          </w:p>
          <w:p w14:paraId="0CB9FAD4" w14:textId="77777777" w:rsidR="006521D3" w:rsidRPr="007039C9" w:rsidRDefault="006521D3" w:rsidP="006521D3">
            <w:pPr>
              <w:pStyle w:val="ListParagraph"/>
              <w:keepNext/>
              <w:numPr>
                <w:ilvl w:val="2"/>
                <w:numId w:val="39"/>
              </w:numPr>
              <w:spacing w:before="240" w:after="120" w:line="240" w:lineRule="auto"/>
              <w:contextualSpacing w:val="0"/>
              <w:jc w:val="both"/>
              <w:outlineLvl w:val="2"/>
              <w:rPr>
                <w:b/>
                <w:vanish/>
                <w:sz w:val="22"/>
                <w:szCs w:val="22"/>
                <w:lang w:val="en-US"/>
              </w:rPr>
            </w:pPr>
            <w:bookmarkStart w:id="179" w:name="_Toc18395382"/>
            <w:bookmarkStart w:id="180" w:name="_Toc18662509"/>
            <w:bookmarkEnd w:id="179"/>
            <w:bookmarkEnd w:id="180"/>
          </w:p>
          <w:p w14:paraId="55D853EE" w14:textId="77777777" w:rsidR="006521D3" w:rsidRPr="007039C9" w:rsidRDefault="006521D3" w:rsidP="006521D3">
            <w:pPr>
              <w:pStyle w:val="ListParagraph"/>
              <w:keepNext/>
              <w:numPr>
                <w:ilvl w:val="2"/>
                <w:numId w:val="39"/>
              </w:numPr>
              <w:spacing w:before="240" w:after="120" w:line="240" w:lineRule="auto"/>
              <w:contextualSpacing w:val="0"/>
              <w:jc w:val="both"/>
              <w:outlineLvl w:val="2"/>
              <w:rPr>
                <w:b/>
                <w:vanish/>
                <w:sz w:val="22"/>
                <w:szCs w:val="22"/>
                <w:lang w:val="en-US"/>
              </w:rPr>
            </w:pPr>
            <w:bookmarkStart w:id="181" w:name="_Toc18395383"/>
            <w:bookmarkStart w:id="182" w:name="_Toc18662510"/>
            <w:bookmarkEnd w:id="181"/>
            <w:bookmarkEnd w:id="182"/>
          </w:p>
          <w:p w14:paraId="6718C526" w14:textId="77777777" w:rsidR="006521D3" w:rsidRPr="007039C9" w:rsidRDefault="006521D3" w:rsidP="006521D3">
            <w:pPr>
              <w:numPr>
                <w:ilvl w:val="3"/>
                <w:numId w:val="39"/>
              </w:numPr>
              <w:spacing w:before="120" w:after="120" w:line="240" w:lineRule="auto"/>
              <w:jc w:val="both"/>
              <w:outlineLvl w:val="4"/>
              <w:rPr>
                <w:sz w:val="22"/>
                <w:szCs w:val="22"/>
                <w:lang w:val="en-IE"/>
              </w:rPr>
            </w:pPr>
            <w:del w:id="183" w:author="Author">
              <w:r w:rsidRPr="007039C9" w:rsidDel="007039C9">
                <w:rPr>
                  <w:sz w:val="22"/>
                  <w:szCs w:val="22"/>
                  <w:lang w:val="en-IE"/>
                </w:rPr>
                <w:delText xml:space="preserve">The following provisions of section </w:delText>
              </w:r>
              <w:r w:rsidRPr="007039C9" w:rsidDel="007039C9">
                <w:rPr>
                  <w:sz w:val="22"/>
                  <w:szCs w:val="22"/>
                  <w:lang w:val="en-IE"/>
                </w:rPr>
                <w:fldChar w:fldCharType="begin"/>
              </w:r>
              <w:r w:rsidRPr="007039C9" w:rsidDel="007039C9">
                <w:rPr>
                  <w:sz w:val="22"/>
                  <w:szCs w:val="22"/>
                  <w:lang w:val="en-IE"/>
                </w:rPr>
                <w:delInstrText xml:space="preserve"> REF _Ref476680003 \r \h </w:delInstrText>
              </w:r>
              <w:r w:rsidRPr="007039C9" w:rsidDel="007039C9">
                <w:rPr>
                  <w:sz w:val="22"/>
                  <w:szCs w:val="22"/>
                  <w:lang w:val="en-IE"/>
                </w:rPr>
              </w:r>
              <w:r w:rsidRPr="007039C9" w:rsidDel="007039C9">
                <w:rPr>
                  <w:sz w:val="22"/>
                  <w:szCs w:val="22"/>
                  <w:lang w:val="en-IE"/>
                </w:rPr>
                <w:fldChar w:fldCharType="separate"/>
              </w:r>
              <w:r w:rsidRPr="007039C9" w:rsidDel="007039C9">
                <w:rPr>
                  <w:sz w:val="22"/>
                  <w:szCs w:val="22"/>
                  <w:lang w:val="en-IE"/>
                </w:rPr>
                <w:delText>F.18.6</w:delText>
              </w:r>
              <w:r w:rsidRPr="007039C9" w:rsidDel="007039C9">
                <w:rPr>
                  <w:sz w:val="22"/>
                  <w:szCs w:val="22"/>
                  <w:lang w:val="en-IE"/>
                </w:rPr>
                <w:fldChar w:fldCharType="end"/>
              </w:r>
              <w:r w:rsidRPr="007039C9" w:rsidDel="007039C9">
                <w:rPr>
                  <w:sz w:val="22"/>
                  <w:szCs w:val="22"/>
                  <w:lang w:val="en-IE"/>
                </w:rPr>
                <w:delText xml:space="preserve"> do not apply to</w:delText>
              </w:r>
            </w:del>
            <w:ins w:id="184" w:author="Author">
              <w:r>
                <w:rPr>
                  <w:sz w:val="22"/>
                  <w:szCs w:val="22"/>
                  <w:lang w:val="en-IE"/>
                </w:rPr>
                <w:t>For</w:t>
              </w:r>
            </w:ins>
            <w:r w:rsidRPr="007039C9">
              <w:rPr>
                <w:sz w:val="22"/>
                <w:szCs w:val="22"/>
                <w:lang w:val="en-IE"/>
              </w:rPr>
              <w:t xml:space="preserve"> any Capacity Market Unit</w:t>
            </w:r>
            <w:del w:id="185" w:author="Author">
              <w:r w:rsidRPr="007039C9" w:rsidDel="007039C9">
                <w:rPr>
                  <w:sz w:val="22"/>
                  <w:szCs w:val="22"/>
                  <w:lang w:val="en-IE"/>
                </w:rPr>
                <w:delText xml:space="preserve"> which represents</w:delText>
              </w:r>
            </w:del>
            <w:r w:rsidRPr="007039C9">
              <w:rPr>
                <w:sz w:val="22"/>
                <w:szCs w:val="22"/>
                <w:lang w:val="en-IE"/>
              </w:rPr>
              <w:t>:</w:t>
            </w:r>
          </w:p>
          <w:p w14:paraId="3C502E07" w14:textId="77777777" w:rsidR="006521D3" w:rsidRPr="007039C9" w:rsidRDefault="006521D3" w:rsidP="006521D3">
            <w:pPr>
              <w:numPr>
                <w:ilvl w:val="4"/>
                <w:numId w:val="39"/>
              </w:numPr>
              <w:spacing w:before="120" w:after="120" w:line="240" w:lineRule="auto"/>
              <w:jc w:val="both"/>
              <w:rPr>
                <w:sz w:val="22"/>
                <w:szCs w:val="22"/>
                <w:lang w:val="en-IE"/>
              </w:rPr>
            </w:pPr>
            <w:ins w:id="186" w:author="Author">
              <w:r>
                <w:rPr>
                  <w:sz w:val="22"/>
                  <w:szCs w:val="22"/>
                  <w:lang w:val="en-IE"/>
                </w:rPr>
                <w:t>Which represents a</w:t>
              </w:r>
            </w:ins>
            <w:del w:id="187" w:author="Author">
              <w:r w:rsidRPr="007039C9" w:rsidDel="007039C9">
                <w:rPr>
                  <w:sz w:val="22"/>
                  <w:szCs w:val="22"/>
                  <w:lang w:val="en-IE"/>
                </w:rPr>
                <w:delText>A</w:delText>
              </w:r>
            </w:del>
            <w:r w:rsidRPr="007039C9">
              <w:rPr>
                <w:sz w:val="22"/>
                <w:szCs w:val="22"/>
                <w:lang w:val="en-IE"/>
              </w:rPr>
              <w:t xml:space="preserve"> Demand Side Unit</w:t>
            </w:r>
            <w:ins w:id="188" w:author="Author">
              <w:r>
                <w:rPr>
                  <w:sz w:val="22"/>
                  <w:szCs w:val="22"/>
                  <w:lang w:val="en-IE"/>
                </w:rPr>
                <w:t>, the provisions of paragraphs F.18.6.5 to F.18.6.7 do not apply</w:t>
              </w:r>
            </w:ins>
            <w:r w:rsidRPr="007039C9">
              <w:rPr>
                <w:sz w:val="22"/>
                <w:szCs w:val="22"/>
                <w:lang w:val="en-IE"/>
              </w:rPr>
              <w:t xml:space="preserve">; </w:t>
            </w:r>
            <w:ins w:id="189" w:author="Author">
              <w:r>
                <w:rPr>
                  <w:sz w:val="22"/>
                  <w:szCs w:val="22"/>
                  <w:lang w:val="en-IE"/>
                </w:rPr>
                <w:t>and</w:t>
              </w:r>
            </w:ins>
            <w:del w:id="190" w:author="Author">
              <w:r w:rsidRPr="007039C9" w:rsidDel="007039C9">
                <w:rPr>
                  <w:sz w:val="22"/>
                  <w:szCs w:val="22"/>
                  <w:lang w:val="en-IE"/>
                </w:rPr>
                <w:delText>or</w:delText>
              </w:r>
            </w:del>
          </w:p>
          <w:p w14:paraId="6B02999B" w14:textId="77777777" w:rsidR="006521D3" w:rsidRPr="007039C9" w:rsidRDefault="006521D3" w:rsidP="006521D3">
            <w:pPr>
              <w:numPr>
                <w:ilvl w:val="4"/>
                <w:numId w:val="39"/>
              </w:numPr>
              <w:spacing w:before="120" w:after="120" w:line="240" w:lineRule="auto"/>
              <w:jc w:val="both"/>
              <w:rPr>
                <w:sz w:val="22"/>
                <w:szCs w:val="22"/>
                <w:lang w:val="en-IE"/>
              </w:rPr>
            </w:pPr>
            <w:ins w:id="191" w:author="Author">
              <w:r>
                <w:rPr>
                  <w:sz w:val="22"/>
                  <w:szCs w:val="22"/>
                  <w:lang w:val="en-IE"/>
                </w:rPr>
                <w:t xml:space="preserve">Which represents </w:t>
              </w:r>
              <w:proofErr w:type="gramStart"/>
              <w:r>
                <w:rPr>
                  <w:sz w:val="22"/>
                  <w:szCs w:val="22"/>
                  <w:lang w:val="en-IE"/>
                </w:rPr>
                <w:t>a</w:t>
              </w:r>
            </w:ins>
            <w:proofErr w:type="gramEnd"/>
            <w:del w:id="192" w:author="Author">
              <w:r w:rsidRPr="007039C9" w:rsidDel="007039C9">
                <w:rPr>
                  <w:sz w:val="22"/>
                  <w:szCs w:val="22"/>
                  <w:lang w:val="en-IE"/>
                </w:rPr>
                <w:delText>A</w:delText>
              </w:r>
            </w:del>
            <w:r w:rsidRPr="007039C9">
              <w:rPr>
                <w:sz w:val="22"/>
                <w:szCs w:val="22"/>
                <w:lang w:val="en-IE"/>
              </w:rPr>
              <w:t>n Interconnector</w:t>
            </w:r>
            <w:ins w:id="193" w:author="Author">
              <w:r>
                <w:rPr>
                  <w:sz w:val="22"/>
                  <w:szCs w:val="22"/>
                  <w:lang w:val="en-IE"/>
                </w:rPr>
                <w:t>, the following provisions of section F.18.6 do not apply</w:t>
              </w:r>
            </w:ins>
            <w:r w:rsidRPr="007039C9">
              <w:rPr>
                <w:sz w:val="22"/>
                <w:szCs w:val="22"/>
                <w:lang w:val="en-IE"/>
              </w:rPr>
              <w:t>.</w:t>
            </w:r>
          </w:p>
          <w:p w14:paraId="5DCBD20F" w14:textId="77777777" w:rsidR="006521D3" w:rsidRPr="009D2D9E" w:rsidDel="007E63BF" w:rsidRDefault="006521D3" w:rsidP="006521D3">
            <w:pPr>
              <w:pStyle w:val="CERLEVEL4"/>
              <w:numPr>
                <w:ilvl w:val="3"/>
                <w:numId w:val="39"/>
              </w:numPr>
            </w:pPr>
            <w:r w:rsidRPr="009D2D9E">
              <w:t>For each Imbalance Pricing Period, φ, the System Operators shall determine a System Service Flag (FSS</w:t>
            </w:r>
            <w:r w:rsidRPr="009D2D9E">
              <w:rPr>
                <w:vertAlign w:val="subscript"/>
              </w:rPr>
              <w:t>uφ</w:t>
            </w:r>
            <w:r w:rsidRPr="009D2D9E">
              <w:t>) for each Generator Unit, u, in respect of that Imbalance Pricing Period, φ,</w:t>
            </w:r>
            <w:r w:rsidRPr="009D2D9E" w:rsidDel="00CD0D94">
              <w:t xml:space="preserve"> </w:t>
            </w:r>
            <w:r w:rsidRPr="009D2D9E">
              <w:t>as</w:t>
            </w:r>
            <w:r w:rsidRPr="009D2D9E" w:rsidDel="007E63BF">
              <w:t xml:space="preserve"> set out in </w:t>
            </w:r>
            <w:r w:rsidRPr="009D2D9E">
              <w:t>paragraph</w:t>
            </w:r>
            <w:r>
              <w:t xml:space="preserve"> 2</w:t>
            </w:r>
            <w:r w:rsidRPr="009D2D9E" w:rsidDel="007E63BF">
              <w:t xml:space="preserve"> of Appendix N</w:t>
            </w:r>
            <w:r w:rsidRPr="009D2D9E">
              <w:t>: “Flagging and Tagging”</w:t>
            </w:r>
            <w:r w:rsidRPr="009D2D9E" w:rsidDel="007E63BF">
              <w:t>.</w:t>
            </w:r>
          </w:p>
          <w:p w14:paraId="6F4661F0" w14:textId="77777777" w:rsidR="006521D3" w:rsidRPr="009D2D9E" w:rsidRDefault="006521D3" w:rsidP="006521D3">
            <w:pPr>
              <w:pStyle w:val="CERLEVEL4"/>
              <w:numPr>
                <w:ilvl w:val="3"/>
                <w:numId w:val="39"/>
              </w:numPr>
            </w:pPr>
            <w:r w:rsidRPr="009D2D9E">
              <w:t>For each Imbalance Pricing Period, φ, the System Operators shall submit the System Service Flag (FSS</w:t>
            </w:r>
            <w:r w:rsidRPr="009D2D9E">
              <w:rPr>
                <w:vertAlign w:val="subscript"/>
              </w:rPr>
              <w:t>uφ</w:t>
            </w:r>
            <w:r w:rsidRPr="009D2D9E">
              <w:t>) for all Generator Units, u, for that Imbalance Pricing Period, φ, to the Market Operator in accordance with Appendix K: “Other Market Data Transactions”.</w:t>
            </w:r>
          </w:p>
          <w:p w14:paraId="7A2821E1" w14:textId="77777777" w:rsidR="006521D3" w:rsidRPr="009D2D9E" w:rsidRDefault="006521D3" w:rsidP="006521D3">
            <w:pPr>
              <w:pStyle w:val="CERLEVEL4"/>
              <w:numPr>
                <w:ilvl w:val="3"/>
                <w:numId w:val="39"/>
              </w:numPr>
            </w:pPr>
            <w:r w:rsidRPr="009D2D9E">
              <w:t>If the System Service Flag (FSS</w:t>
            </w:r>
            <w:r w:rsidRPr="0016431D">
              <w:rPr>
                <w:vertAlign w:val="subscript"/>
              </w:rPr>
              <w:t>u</w:t>
            </w:r>
            <w:r w:rsidRPr="009D2D9E">
              <w:rPr>
                <w:vertAlign w:val="subscript"/>
              </w:rPr>
              <w:t>φ</w:t>
            </w:r>
            <w:r w:rsidRPr="009D2D9E">
              <w:t xml:space="preserve">) for a Generator Unit has a value equal to zero for any Imbalance Pricing Period, φ, within the Imbalance Settlement Period, </w:t>
            </w:r>
            <w:r w:rsidRPr="009D2D9E">
              <w:rPr>
                <w:rFonts w:cs="Arial"/>
              </w:rPr>
              <w:t>γ</w:t>
            </w:r>
            <w:r w:rsidRPr="009D2D9E">
              <w:t>, the Market Operator shall set the System Service Flag (FSS</w:t>
            </w:r>
            <w:r w:rsidRPr="009D2D9E">
              <w:rPr>
                <w:vertAlign w:val="subscript"/>
              </w:rPr>
              <w:t>u</w:t>
            </w:r>
            <w:r w:rsidRPr="009D2D9E">
              <w:rPr>
                <w:rFonts w:cs="Arial"/>
                <w:vertAlign w:val="subscript"/>
              </w:rPr>
              <w:t>γ</w:t>
            </w:r>
            <w:r w:rsidRPr="009D2D9E">
              <w:t xml:space="preserve">) for that Generator Unit, u, in that Imbalance Settlement Period, </w:t>
            </w:r>
            <w:r w:rsidRPr="009D2D9E">
              <w:rPr>
                <w:rFonts w:cs="Arial"/>
              </w:rPr>
              <w:t>γ</w:t>
            </w:r>
            <w:r w:rsidRPr="009D2D9E">
              <w:t>, to a value equal to zero. Otherwise, the Market Operator shall set the System Service Flag (FSS</w:t>
            </w:r>
            <w:r w:rsidRPr="009D2D9E">
              <w:rPr>
                <w:vertAlign w:val="subscript"/>
              </w:rPr>
              <w:t>u</w:t>
            </w:r>
            <w:r w:rsidRPr="009D2D9E">
              <w:rPr>
                <w:rFonts w:cs="Arial"/>
                <w:vertAlign w:val="subscript"/>
              </w:rPr>
              <w:t>γ</w:t>
            </w:r>
            <w:r w:rsidRPr="009D2D9E">
              <w:t>) to a value equal to one for that Imbalance Settlement Period.</w:t>
            </w:r>
          </w:p>
          <w:p w14:paraId="70A8B1F1" w14:textId="77777777" w:rsidR="006521D3" w:rsidRPr="009D2D9E" w:rsidRDefault="006521D3" w:rsidP="006521D3">
            <w:pPr>
              <w:pStyle w:val="CERLEVEL4"/>
              <w:numPr>
                <w:ilvl w:val="3"/>
                <w:numId w:val="39"/>
              </w:numPr>
            </w:pPr>
            <w:r w:rsidRPr="009D2D9E">
              <w:t>The Market Operator shall calculate the System Service Difference Quantity (Q</w:t>
            </w:r>
            <w:r>
              <w:t>DIFF</w:t>
            </w:r>
            <w:r w:rsidRPr="009D2D9E">
              <w:t>CSS</w:t>
            </w:r>
            <w:r w:rsidRPr="009D2D9E">
              <w:rPr>
                <w:vertAlign w:val="subscript"/>
              </w:rPr>
              <w:t>u</w:t>
            </w:r>
            <w:r w:rsidRPr="009D2D9E">
              <w:rPr>
                <w:rFonts w:cs="Arial"/>
                <w:vertAlign w:val="subscript"/>
              </w:rPr>
              <w:t>γ</w:t>
            </w:r>
            <w:r w:rsidRPr="009D2D9E">
              <w:t xml:space="preserve">) for each Generator Unit, u, in each Imbalance Settlement Period, </w:t>
            </w:r>
            <w:r w:rsidRPr="009D2D9E">
              <w:rPr>
                <w:rFonts w:cs="Arial"/>
              </w:rPr>
              <w:t>γ</w:t>
            </w:r>
            <w:r w:rsidRPr="009D2D9E">
              <w:t>, as follows:</w:t>
            </w:r>
          </w:p>
          <w:p w14:paraId="12BF5879" w14:textId="77777777" w:rsidR="006521D3" w:rsidRPr="009D2D9E" w:rsidRDefault="006521D3" w:rsidP="00FD349F">
            <w:pPr>
              <w:pStyle w:val="CERBODY"/>
              <w:rPr>
                <w:lang w:val="en-IE"/>
              </w:rPr>
            </w:pPr>
          </w:p>
          <w:p w14:paraId="51B1DF6A" w14:textId="77777777" w:rsidR="006521D3" w:rsidRPr="009D2D9E" w:rsidRDefault="004E54B3" w:rsidP="00FD349F">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QDIFFCSS</m:t>
                    </m:r>
                  </m:e>
                  <m:sub>
                    <m:r>
                      <w:rPr>
                        <w:rFonts w:ascii="Cambria Math" w:hAnsi="Cambria Math"/>
                        <w:lang w:val="en-IE"/>
                      </w:rPr>
                      <m:t>uγ</m:t>
                    </m:r>
                  </m:sub>
                </m:sSub>
                <m:r>
                  <w:rPr>
                    <w:rFonts w:ascii="Cambria Math" w:hAnsi="Cambria Math"/>
                    <w:lang w:val="en-IE"/>
                  </w:rPr>
                  <m:t>=Max</m:t>
                </m:r>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qAA</m:t>
                            </m:r>
                          </m:e>
                          <m:sub>
                            <m:r>
                              <w:rPr>
                                <w:rFonts w:ascii="Cambria Math" w:hAnsi="Cambria Math"/>
                                <w:lang w:val="en-IE"/>
                              </w:rPr>
                              <m:t>uγ</m:t>
                            </m:r>
                          </m:sub>
                        </m:sSub>
                        <m:r>
                          <w:rPr>
                            <w:rFonts w:ascii="Cambria Math" w:hAnsi="Cambria Math"/>
                            <w:lang w:val="en-IE"/>
                          </w:rPr>
                          <m:t>×DIS</m:t>
                        </m:r>
                        <m:r>
                          <w:rPr>
                            <w:rFonts w:ascii="Cambria Math" w:hAnsi="Cambria Math"/>
                            <w:lang w:val="en-IE"/>
                          </w:rPr>
                          <m:t>P</m:t>
                        </m:r>
                      </m:e>
                    </m:d>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uγ</m:t>
                            </m:r>
                          </m:sub>
                        </m:sSub>
                      </m:e>
                    </m:d>
                    <m:r>
                      <w:rPr>
                        <w:rFonts w:ascii="Cambria Math" w:hAnsi="Cambria Math"/>
                        <w:lang w:val="en-IE"/>
                      </w:rPr>
                      <m:t>, 0</m:t>
                    </m:r>
                  </m:e>
                </m:d>
                <m:r>
                  <w:rPr>
                    <w:rFonts w:ascii="Cambria Math" w:hAnsi="Cambria Math"/>
                    <w:lang w:val="en-IE"/>
                  </w:rPr>
                  <m:t>×</m:t>
                </m:r>
                <m:d>
                  <m:dPr>
                    <m:ctrlPr>
                      <w:rPr>
                        <w:rFonts w:ascii="Cambria Math" w:hAnsi="Cambria Math"/>
                        <w:i/>
                        <w:lang w:val="en-IE"/>
                      </w:rPr>
                    </m:ctrlPr>
                  </m:dPr>
                  <m:e>
                    <m:r>
                      <w:rPr>
                        <w:rFonts w:ascii="Cambria Math" w:hAnsi="Cambria Math"/>
                        <w:lang w:val="en-IE"/>
                      </w:rPr>
                      <m:t>1-</m:t>
                    </m:r>
                    <m:sSub>
                      <m:sSubPr>
                        <m:ctrlPr>
                          <w:rPr>
                            <w:rFonts w:ascii="Cambria Math" w:hAnsi="Cambria Math"/>
                            <w:i/>
                            <w:lang w:val="en-IE"/>
                          </w:rPr>
                        </m:ctrlPr>
                      </m:sSubPr>
                      <m:e>
                        <m:r>
                          <w:rPr>
                            <w:rFonts w:ascii="Cambria Math" w:hAnsi="Cambria Math"/>
                            <w:lang w:val="en-IE"/>
                          </w:rPr>
                          <m:t>FSS</m:t>
                        </m:r>
                      </m:e>
                      <m:sub>
                        <m:r>
                          <w:rPr>
                            <w:rFonts w:ascii="Cambria Math" w:hAnsi="Cambria Math"/>
                            <w:lang w:val="en-IE"/>
                          </w:rPr>
                          <m:t>uγ</m:t>
                        </m:r>
                      </m:sub>
                    </m:sSub>
                  </m:e>
                </m:d>
              </m:oMath>
            </m:oMathPara>
          </w:p>
          <w:p w14:paraId="2FD4CDF6" w14:textId="77777777" w:rsidR="006521D3" w:rsidRPr="009D2D9E" w:rsidRDefault="006521D3" w:rsidP="00FD349F">
            <w:pPr>
              <w:pStyle w:val="CERBODY"/>
              <w:rPr>
                <w:lang w:val="en-IE"/>
              </w:rPr>
            </w:pPr>
          </w:p>
          <w:p w14:paraId="11EE11CA" w14:textId="77777777" w:rsidR="006521D3" w:rsidRPr="009D2D9E" w:rsidRDefault="006521D3" w:rsidP="00FD349F">
            <w:pPr>
              <w:pStyle w:val="CERLEVEL4"/>
              <w:ind w:left="992"/>
            </w:pPr>
            <w:r w:rsidRPr="009D2D9E">
              <w:t>where:</w:t>
            </w:r>
          </w:p>
          <w:p w14:paraId="752D276E" w14:textId="77777777" w:rsidR="006521D3" w:rsidRPr="009D2D9E" w:rsidRDefault="006521D3" w:rsidP="006521D3">
            <w:pPr>
              <w:pStyle w:val="CERLEVEL5"/>
              <w:numPr>
                <w:ilvl w:val="4"/>
                <w:numId w:val="39"/>
              </w:numPr>
              <w:rPr>
                <w:lang w:val="en-IE"/>
              </w:rPr>
            </w:pPr>
            <w:r w:rsidRPr="009D2D9E">
              <w:rPr>
                <w:lang w:val="en-IE"/>
              </w:rPr>
              <w:t>qAA</w:t>
            </w:r>
            <w:r w:rsidRPr="009D2D9E">
              <w:rPr>
                <w:vertAlign w:val="subscript"/>
                <w:lang w:val="en-IE"/>
              </w:rPr>
              <w:t>u</w:t>
            </w:r>
            <w:r w:rsidRPr="009D2D9E">
              <w:rPr>
                <w:rFonts w:cs="Arial"/>
                <w:vertAlign w:val="subscript"/>
                <w:lang w:val="en-IE"/>
              </w:rPr>
              <w:t>γ</w:t>
            </w:r>
            <w:r w:rsidRPr="009D2D9E">
              <w:rPr>
                <w:rFonts w:cs="Arial"/>
                <w:lang w:val="en-IE"/>
              </w:rPr>
              <w:t xml:space="preserve"> is the Actual Availability</w:t>
            </w:r>
            <w:r>
              <w:rPr>
                <w:rFonts w:cs="Arial"/>
                <w:lang w:val="en-IE"/>
              </w:rPr>
              <w:t xml:space="preserve"> Quantity</w:t>
            </w:r>
            <w:r w:rsidRPr="009D2D9E">
              <w:rPr>
                <w:rFonts w:cs="Arial"/>
                <w:lang w:val="en-IE"/>
              </w:rPr>
              <w:t xml:space="preserve"> for Generator Unit, u, in Imbalance Settlement Period, γ;</w:t>
            </w:r>
          </w:p>
          <w:p w14:paraId="604E97E0" w14:textId="77777777" w:rsidR="006521D3" w:rsidRPr="009D2D9E" w:rsidRDefault="006521D3" w:rsidP="006521D3">
            <w:pPr>
              <w:pStyle w:val="CERLEVEL5"/>
              <w:numPr>
                <w:ilvl w:val="4"/>
                <w:numId w:val="39"/>
              </w:numPr>
              <w:rPr>
                <w:lang w:val="en-IE"/>
              </w:rPr>
            </w:pPr>
            <w:r w:rsidRPr="009D2D9E">
              <w:rPr>
                <w:lang w:val="en-IE"/>
              </w:rPr>
              <w:t>QEX</w:t>
            </w:r>
            <w:r w:rsidRPr="009D2D9E">
              <w:rPr>
                <w:vertAlign w:val="subscript"/>
                <w:lang w:val="en-IE"/>
              </w:rPr>
              <w:t>u</w:t>
            </w:r>
            <w:r w:rsidRPr="009D2D9E">
              <w:rPr>
                <w:rFonts w:cs="Arial"/>
                <w:vertAlign w:val="subscript"/>
                <w:lang w:val="en-IE"/>
              </w:rPr>
              <w:t>γ</w:t>
            </w:r>
            <w:r w:rsidRPr="009D2D9E">
              <w:rPr>
                <w:rFonts w:cs="Arial"/>
                <w:lang w:val="en-IE"/>
              </w:rPr>
              <w:t xml:space="preserve"> is the Ex-Ante Quantity for Generator Unit, u, in Imbalance Settlement Period, γ;</w:t>
            </w:r>
          </w:p>
          <w:p w14:paraId="42256263" w14:textId="77777777" w:rsidR="006521D3" w:rsidRPr="009D2D9E" w:rsidRDefault="006521D3" w:rsidP="006521D3">
            <w:pPr>
              <w:pStyle w:val="CERLEVEL5"/>
              <w:numPr>
                <w:ilvl w:val="4"/>
                <w:numId w:val="39"/>
              </w:numPr>
              <w:rPr>
                <w:lang w:val="en-IE"/>
              </w:rPr>
            </w:pPr>
            <w:r w:rsidRPr="009D2D9E">
              <w:rPr>
                <w:lang w:val="en-IE"/>
              </w:rPr>
              <w:t>QD</w:t>
            </w:r>
            <w:r w:rsidRPr="009D2D9E">
              <w:rPr>
                <w:vertAlign w:val="subscript"/>
                <w:lang w:val="en-IE"/>
              </w:rPr>
              <w:t>u</w:t>
            </w:r>
            <w:r w:rsidRPr="009D2D9E">
              <w:rPr>
                <w:rFonts w:cs="Arial"/>
                <w:vertAlign w:val="subscript"/>
                <w:lang w:val="en-IE"/>
              </w:rPr>
              <w:t>γ</w:t>
            </w:r>
            <w:r w:rsidRPr="009D2D9E">
              <w:rPr>
                <w:rFonts w:cs="Arial"/>
                <w:lang w:val="en-IE"/>
              </w:rPr>
              <w:t xml:space="preserve"> is the Dispatch Quantity for Generator Unit, u, in Imbalance Settlement Period, γ;</w:t>
            </w:r>
          </w:p>
          <w:p w14:paraId="2F3C4D07" w14:textId="77777777" w:rsidR="006521D3" w:rsidRPr="009D2D9E" w:rsidRDefault="006521D3" w:rsidP="006521D3">
            <w:pPr>
              <w:pStyle w:val="CERLEVEL5"/>
              <w:numPr>
                <w:ilvl w:val="4"/>
                <w:numId w:val="39"/>
              </w:numPr>
              <w:rPr>
                <w:lang w:val="en-IE"/>
              </w:rPr>
            </w:pPr>
            <w:r w:rsidRPr="009D2D9E">
              <w:rPr>
                <w:lang w:val="en-IE"/>
              </w:rPr>
              <w:t>DISP is the Imbalance Settlement Period Duration; and</w:t>
            </w:r>
          </w:p>
          <w:p w14:paraId="3763CFF3" w14:textId="77777777" w:rsidR="006521D3" w:rsidRPr="009D2D9E" w:rsidRDefault="006521D3" w:rsidP="006521D3">
            <w:pPr>
              <w:pStyle w:val="CERLEVEL5"/>
              <w:numPr>
                <w:ilvl w:val="4"/>
                <w:numId w:val="39"/>
              </w:numPr>
              <w:rPr>
                <w:lang w:val="en-IE"/>
              </w:rPr>
            </w:pPr>
            <w:r w:rsidRPr="009D2D9E">
              <w:rPr>
                <w:lang w:val="en-IE"/>
              </w:rPr>
              <w:t>FSS</w:t>
            </w:r>
            <w:r w:rsidRPr="009D2D9E">
              <w:rPr>
                <w:vertAlign w:val="subscript"/>
                <w:lang w:val="en-IE"/>
              </w:rPr>
              <w:t>u</w:t>
            </w:r>
            <w:r w:rsidRPr="009D2D9E">
              <w:rPr>
                <w:rFonts w:cs="Arial"/>
                <w:vertAlign w:val="subscript"/>
                <w:lang w:val="en-IE"/>
              </w:rPr>
              <w:t>γ</w:t>
            </w:r>
            <w:r w:rsidRPr="009D2D9E">
              <w:rPr>
                <w:rFonts w:cs="Arial"/>
                <w:lang w:val="en-IE"/>
              </w:rPr>
              <w:t xml:space="preserve"> is the System Service Flag for Generator Unit, u, in Imbalance Settlement Period, γ.</w:t>
            </w:r>
          </w:p>
          <w:p w14:paraId="0B2D5EEB" w14:textId="77777777" w:rsidR="006521D3" w:rsidRPr="009D2D9E" w:rsidRDefault="006521D3" w:rsidP="006521D3">
            <w:pPr>
              <w:pStyle w:val="CERLEVEL4"/>
              <w:numPr>
                <w:ilvl w:val="3"/>
                <w:numId w:val="39"/>
              </w:numPr>
            </w:pPr>
            <w:r w:rsidRPr="009D2D9E">
              <w:t>The Market Operator shall recalculate the Tracked Difference Quantity (QDIFFTRACK</w:t>
            </w:r>
            <w:r w:rsidRPr="0016431D">
              <w:rPr>
                <w:vertAlign w:val="subscript"/>
              </w:rPr>
              <w:t>Ω</w:t>
            </w:r>
            <w:r w:rsidRPr="009D2D9E">
              <w:rPr>
                <w:rFonts w:cs="Arial"/>
                <w:vertAlign w:val="subscript"/>
              </w:rPr>
              <w:t>γ</w:t>
            </w:r>
            <w:r w:rsidRPr="009D2D9E">
              <w:t xml:space="preserve">) for each Capacity Market Unit, </w:t>
            </w:r>
            <w:r w:rsidRPr="0016431D">
              <w:t>Ω</w:t>
            </w:r>
            <w:r w:rsidRPr="009D2D9E">
              <w:t xml:space="preserve">, which does not represent an Autoproducer Unit, in each Imbalance Settlement Period, </w:t>
            </w:r>
            <w:r w:rsidRPr="009D2D9E">
              <w:rPr>
                <w:rFonts w:cs="Arial"/>
              </w:rPr>
              <w:t>γ</w:t>
            </w:r>
            <w:r w:rsidRPr="009D2D9E">
              <w:t>, as follows:</w:t>
            </w:r>
          </w:p>
          <w:p w14:paraId="669F1557" w14:textId="77777777" w:rsidR="006521D3" w:rsidRPr="009D2D9E" w:rsidRDefault="006521D3" w:rsidP="00FD349F">
            <w:pPr>
              <w:pStyle w:val="CERBODY"/>
              <w:rPr>
                <w:lang w:val="en-IE"/>
              </w:rPr>
            </w:pPr>
          </w:p>
          <w:p w14:paraId="00029EC0" w14:textId="77777777" w:rsidR="006521D3" w:rsidRPr="009D2D9E" w:rsidRDefault="004E54B3" w:rsidP="00FD349F">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Ωγ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Ωγ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 Ω</m:t>
                        </m:r>
                      </m:sub>
                      <m:sup/>
                      <m:e>
                        <m:sSub>
                          <m:sSubPr>
                            <m:ctrlPr>
                              <w:rPr>
                                <w:rFonts w:ascii="Cambria Math" w:hAnsi="Cambria Math"/>
                                <w:i/>
                                <w:lang w:val="en-IE"/>
                              </w:rPr>
                            </m:ctrlPr>
                          </m:sSubPr>
                          <m:e>
                            <m:r>
                              <w:rPr>
                                <w:rFonts w:ascii="Cambria Math" w:hAnsi="Cambria Math"/>
                                <w:lang w:val="en-IE"/>
                              </w:rPr>
                              <m:t>QDIFFCSS</m:t>
                            </m:r>
                          </m:e>
                          <m:sub>
                            <m:r>
                              <w:rPr>
                                <w:rFonts w:ascii="Cambria Math" w:hAnsi="Cambria Math"/>
                                <w:lang w:val="en-IE"/>
                              </w:rPr>
                              <m:t>uγ</m:t>
                            </m:r>
                          </m:sub>
                        </m:sSub>
                      </m:e>
                    </m:nary>
                  </m:e>
                </m:d>
              </m:oMath>
            </m:oMathPara>
          </w:p>
          <w:p w14:paraId="7F90CDB0" w14:textId="77777777" w:rsidR="006521D3" w:rsidRPr="009D2D9E" w:rsidRDefault="006521D3" w:rsidP="00FD349F">
            <w:pPr>
              <w:pStyle w:val="CERBODY"/>
              <w:rPr>
                <w:lang w:val="en-IE"/>
              </w:rPr>
            </w:pPr>
          </w:p>
          <w:p w14:paraId="712FE401" w14:textId="77777777" w:rsidR="006521D3" w:rsidRPr="009D2D9E" w:rsidRDefault="006521D3" w:rsidP="00FD349F">
            <w:pPr>
              <w:pStyle w:val="CERLEVEL4"/>
              <w:ind w:left="992"/>
            </w:pPr>
            <w:r w:rsidRPr="009D2D9E">
              <w:t>where:</w:t>
            </w:r>
          </w:p>
          <w:p w14:paraId="554AE6EF" w14:textId="77777777" w:rsidR="006521D3" w:rsidRPr="009D2D9E" w:rsidRDefault="006521D3" w:rsidP="006521D3">
            <w:pPr>
              <w:pStyle w:val="CERLEVEL5"/>
              <w:numPr>
                <w:ilvl w:val="4"/>
                <w:numId w:val="39"/>
              </w:numPr>
              <w:rPr>
                <w:lang w:val="en-IE"/>
              </w:rPr>
            </w:pPr>
            <w:r w:rsidRPr="009D2D9E">
              <w:rPr>
                <w:lang w:val="en-IE"/>
              </w:rPr>
              <w:t>QCOB</w:t>
            </w:r>
            <w:r w:rsidRPr="0016431D">
              <w:rPr>
                <w:vertAlign w:val="subscript"/>
                <w:lang w:val="en-IE"/>
              </w:rPr>
              <w:t>Ω</w:t>
            </w:r>
            <w:r w:rsidRPr="009D2D9E">
              <w:rPr>
                <w:rFonts w:cs="Arial"/>
                <w:vertAlign w:val="subscript"/>
                <w:lang w:val="en-IE"/>
              </w:rPr>
              <w:t>γ</w:t>
            </w:r>
            <w:r w:rsidRPr="009D2D9E">
              <w:rPr>
                <w:rFonts w:cs="Arial"/>
                <w:lang w:val="en-IE"/>
              </w:rPr>
              <w:t xml:space="preserve"> is the Obligated Capacity Quantity for Capacity Market Unit, Ω, in Imbalance Settlement Period, γ;</w:t>
            </w:r>
          </w:p>
          <w:p w14:paraId="358A404F" w14:textId="77777777" w:rsidR="006521D3" w:rsidRPr="009D2D9E" w:rsidRDefault="006521D3" w:rsidP="006521D3">
            <w:pPr>
              <w:pStyle w:val="CERLEVEL5"/>
              <w:numPr>
                <w:ilvl w:val="4"/>
                <w:numId w:val="39"/>
              </w:numPr>
              <w:rPr>
                <w:lang w:val="en-IE"/>
              </w:rPr>
            </w:pPr>
            <w:r w:rsidRPr="009D2D9E">
              <w:rPr>
                <w:lang w:val="en-IE"/>
              </w:rPr>
              <w:t>QDIFFTRACK’</w:t>
            </w:r>
            <w:r w:rsidRPr="009D2D9E">
              <w:rPr>
                <w:rFonts w:cs="Arial"/>
                <w:vertAlign w:val="subscript"/>
                <w:lang w:val="en-IE"/>
              </w:rPr>
              <w:t>Ωγ</w:t>
            </w:r>
            <w:r w:rsidRPr="009D2D9E">
              <w:rPr>
                <w:rFonts w:cs="Arial"/>
                <w:lang w:val="en-IE"/>
              </w:rPr>
              <w:t xml:space="preserve"> is the Tracked Difference Quantity for Capacity Market Unit, Ω, in Imbalance Settlement Period, γ, calculated in accordance with section </w:t>
            </w:r>
            <w:r w:rsidRPr="009D2D9E">
              <w:rPr>
                <w:rFonts w:cs="Arial"/>
                <w:lang w:val="en-IE"/>
              </w:rPr>
              <w:fldChar w:fldCharType="begin"/>
            </w:r>
            <w:r w:rsidRPr="009D2D9E">
              <w:rPr>
                <w:rFonts w:cs="Arial"/>
                <w:lang w:val="en-IE"/>
              </w:rPr>
              <w:instrText xml:space="preserve"> REF _Ref456198973 \r \h </w:instrText>
            </w:r>
            <w:r w:rsidRPr="009D2D9E">
              <w:rPr>
                <w:rFonts w:cs="Arial"/>
                <w:lang w:val="en-IE"/>
              </w:rPr>
            </w:r>
            <w:r w:rsidRPr="009D2D9E">
              <w:rPr>
                <w:rFonts w:cs="Arial"/>
                <w:lang w:val="en-IE"/>
              </w:rPr>
              <w:fldChar w:fldCharType="separate"/>
            </w:r>
            <w:r>
              <w:rPr>
                <w:rFonts w:cs="Arial"/>
                <w:lang w:val="en-IE"/>
              </w:rPr>
              <w:t>F.18.5</w:t>
            </w:r>
            <w:r w:rsidRPr="009D2D9E">
              <w:rPr>
                <w:rFonts w:cs="Arial"/>
                <w:lang w:val="en-IE"/>
              </w:rPr>
              <w:fldChar w:fldCharType="end"/>
            </w:r>
            <w:r w:rsidRPr="009D2D9E">
              <w:rPr>
                <w:rFonts w:cs="Arial"/>
                <w:lang w:val="en-IE"/>
              </w:rPr>
              <w:t>;</w:t>
            </w:r>
          </w:p>
          <w:p w14:paraId="13D1D63E" w14:textId="77777777" w:rsidR="006521D3" w:rsidRPr="009D2D9E" w:rsidRDefault="006521D3" w:rsidP="006521D3">
            <w:pPr>
              <w:pStyle w:val="CERLEVEL5"/>
              <w:numPr>
                <w:ilvl w:val="4"/>
                <w:numId w:val="39"/>
              </w:numPr>
              <w:rPr>
                <w:lang w:val="en-IE"/>
              </w:rPr>
            </w:pPr>
            <w:r w:rsidRPr="009D2D9E">
              <w:rPr>
                <w:lang w:val="en-IE"/>
              </w:rPr>
              <w:t>QDIFFCSS</w:t>
            </w:r>
            <w:r w:rsidRPr="009D2D9E">
              <w:rPr>
                <w:vertAlign w:val="subscript"/>
                <w:lang w:val="en-IE"/>
              </w:rPr>
              <w:t>u</w:t>
            </w:r>
            <w:r w:rsidRPr="009D2D9E">
              <w:rPr>
                <w:rFonts w:cs="Arial"/>
                <w:vertAlign w:val="subscript"/>
                <w:lang w:val="en-IE"/>
              </w:rPr>
              <w:t>γ</w:t>
            </w:r>
            <w:r w:rsidRPr="009D2D9E">
              <w:rPr>
                <w:rFonts w:cs="Arial"/>
                <w:lang w:val="en-IE"/>
              </w:rPr>
              <w:t xml:space="preserve"> is the System Service Difference Quantity for Generator Unit, u, in Imbalance Settlement Period, γ; and</w:t>
            </w:r>
          </w:p>
          <w:p w14:paraId="7414BD32" w14:textId="77777777" w:rsidR="006521D3" w:rsidRPr="009D2D9E" w:rsidRDefault="004E54B3" w:rsidP="006521D3">
            <w:pPr>
              <w:pStyle w:val="CERLEVEL5"/>
              <w:numPr>
                <w:ilvl w:val="4"/>
                <w:numId w:val="39"/>
              </w:numPr>
              <w:rPr>
                <w:lang w:val="en-IE"/>
              </w:rPr>
            </w:pPr>
            <m:oMath>
              <m:nary>
                <m:naryPr>
                  <m:chr m:val="∑"/>
                  <m:limLoc m:val="undOvr"/>
                  <m:supHide m:val="1"/>
                  <m:ctrlPr>
                    <w:rPr>
                      <w:rFonts w:ascii="Cambria Math" w:hAnsi="Cambria Math"/>
                      <w:i/>
                      <w:lang w:val="en-IE"/>
                    </w:rPr>
                  </m:ctrlPr>
                </m:naryPr>
                <m:sub>
                  <m:r>
                    <w:rPr>
                      <w:rFonts w:ascii="Cambria Math" w:hAnsi="Cambria Math"/>
                      <w:lang w:val="en-IE"/>
                    </w:rPr>
                    <m:t>u ∈ Ω</m:t>
                  </m:r>
                </m:sub>
                <m:sup/>
                <m:e>
                  <m:r>
                    <w:rPr>
                      <w:rFonts w:ascii="Cambria Math" w:hAnsi="Cambria Math"/>
                      <w:lang w:val="en-IE"/>
                    </w:rPr>
                    <m:t xml:space="preserve"> </m:t>
                  </m:r>
                </m:e>
              </m:nary>
            </m:oMath>
            <w:proofErr w:type="gramStart"/>
            <w:r w:rsidR="006521D3" w:rsidRPr="009D2D9E">
              <w:rPr>
                <w:lang w:val="en-IE"/>
              </w:rPr>
              <w:t>is</w:t>
            </w:r>
            <w:proofErr w:type="gramEnd"/>
            <w:r w:rsidR="006521D3" w:rsidRPr="009D2D9E">
              <w:rPr>
                <w:lang w:val="en-IE"/>
              </w:rPr>
              <w:t xml:space="preserve"> a summation over all Generator Units, u, which comprise the Capacity Market Unit, </w:t>
            </w:r>
            <w:r w:rsidR="006521D3" w:rsidRPr="009D2D9E">
              <w:rPr>
                <w:rFonts w:cs="Calibri"/>
                <w:lang w:val="en-IE"/>
              </w:rPr>
              <w:t>Ω</w:t>
            </w:r>
            <w:r w:rsidR="006521D3" w:rsidRPr="009D2D9E">
              <w:rPr>
                <w:lang w:val="en-IE"/>
              </w:rPr>
              <w:t>.</w:t>
            </w:r>
          </w:p>
          <w:p w14:paraId="5AAB1B9A" w14:textId="77777777" w:rsidR="006521D3" w:rsidRPr="009D2D9E" w:rsidRDefault="006521D3" w:rsidP="006521D3">
            <w:pPr>
              <w:pStyle w:val="CERLEVEL4"/>
              <w:numPr>
                <w:ilvl w:val="3"/>
                <w:numId w:val="39"/>
              </w:numPr>
            </w:pPr>
            <w:r w:rsidRPr="009D2D9E">
              <w:t>The Market Operator shall recalculate the Tracked Difference Quantity (QDIFFTRACK</w:t>
            </w:r>
            <w:r w:rsidRPr="009D2D9E">
              <w:rPr>
                <w:rFonts w:cs="Arial"/>
                <w:vertAlign w:val="subscript"/>
              </w:rPr>
              <w:t>sγ</w:t>
            </w:r>
            <w:r w:rsidRPr="009D2D9E">
              <w:t xml:space="preserve">) for each Trading Site, s, which is associated with a Capacity Market Unit, </w:t>
            </w:r>
            <w:r w:rsidRPr="009D2D9E">
              <w:rPr>
                <w:rFonts w:cs="Calibri"/>
              </w:rPr>
              <w:t>Ω</w:t>
            </w:r>
            <w:r w:rsidRPr="009D2D9E">
              <w:t xml:space="preserve">, which represents an Autoproducer Unit, in each Imbalance Settlement Period, </w:t>
            </w:r>
            <w:r w:rsidRPr="009D2D9E">
              <w:rPr>
                <w:rFonts w:cs="Arial"/>
              </w:rPr>
              <w:t>γ</w:t>
            </w:r>
            <w:r w:rsidRPr="009D2D9E">
              <w:t>, as follows:</w:t>
            </w:r>
          </w:p>
          <w:p w14:paraId="714EC746" w14:textId="77777777" w:rsidR="006521D3" w:rsidRPr="009D2D9E" w:rsidRDefault="006521D3" w:rsidP="00FD349F">
            <w:pPr>
              <w:pStyle w:val="CERBODY"/>
              <w:rPr>
                <w:lang w:val="en-IE"/>
              </w:rPr>
            </w:pPr>
          </w:p>
          <w:p w14:paraId="763FAA95" w14:textId="77777777" w:rsidR="006521D3" w:rsidRPr="009D2D9E" w:rsidRDefault="004E54B3" w:rsidP="00FD349F">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sγ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sγ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 s</m:t>
                        </m:r>
                      </m:sub>
                      <m:sup/>
                      <m:e>
                        <m:sSub>
                          <m:sSubPr>
                            <m:ctrlPr>
                              <w:rPr>
                                <w:rFonts w:ascii="Cambria Math" w:hAnsi="Cambria Math"/>
                                <w:i/>
                                <w:lang w:val="en-IE"/>
                              </w:rPr>
                            </m:ctrlPr>
                          </m:sSubPr>
                          <m:e>
                            <m:r>
                              <w:rPr>
                                <w:rFonts w:ascii="Cambria Math" w:hAnsi="Cambria Math"/>
                                <w:lang w:val="en-IE"/>
                              </w:rPr>
                              <m:t>QDIFFCSS</m:t>
                            </m:r>
                          </m:e>
                          <m:sub>
                            <m:r>
                              <w:rPr>
                                <w:rFonts w:ascii="Cambria Math" w:hAnsi="Cambria Math"/>
                                <w:lang w:val="en-IE"/>
                              </w:rPr>
                              <m:t>uγ</m:t>
                            </m:r>
                          </m:sub>
                        </m:sSub>
                      </m:e>
                    </m:nary>
                  </m:e>
                </m:d>
              </m:oMath>
            </m:oMathPara>
          </w:p>
          <w:p w14:paraId="03801489" w14:textId="77777777" w:rsidR="006521D3" w:rsidRPr="009D2D9E" w:rsidRDefault="006521D3" w:rsidP="00FD349F">
            <w:pPr>
              <w:pStyle w:val="CERBODY"/>
              <w:rPr>
                <w:lang w:val="en-IE"/>
              </w:rPr>
            </w:pPr>
          </w:p>
          <w:p w14:paraId="63A08FBA" w14:textId="77777777" w:rsidR="006521D3" w:rsidRPr="009D2D9E" w:rsidRDefault="006521D3" w:rsidP="00FD349F">
            <w:pPr>
              <w:pStyle w:val="CERLEVEL4"/>
              <w:ind w:left="992"/>
            </w:pPr>
            <w:r w:rsidRPr="009D2D9E">
              <w:t>where:</w:t>
            </w:r>
          </w:p>
          <w:p w14:paraId="21B6C91C" w14:textId="77777777" w:rsidR="006521D3" w:rsidRPr="009D2D9E" w:rsidRDefault="006521D3" w:rsidP="006521D3">
            <w:pPr>
              <w:pStyle w:val="CERLEVEL5"/>
              <w:numPr>
                <w:ilvl w:val="4"/>
                <w:numId w:val="39"/>
              </w:numPr>
              <w:rPr>
                <w:lang w:val="en-IE"/>
              </w:rPr>
            </w:pPr>
            <w:r w:rsidRPr="009D2D9E">
              <w:rPr>
                <w:lang w:val="en-IE"/>
              </w:rPr>
              <w:t>QCOB</w:t>
            </w:r>
            <w:r w:rsidRPr="009D2D9E">
              <w:rPr>
                <w:rFonts w:cs="Arial"/>
                <w:vertAlign w:val="subscript"/>
                <w:lang w:val="en-IE"/>
              </w:rPr>
              <w:t>sγ</w:t>
            </w:r>
            <w:r w:rsidRPr="009D2D9E">
              <w:rPr>
                <w:rFonts w:cs="Arial"/>
                <w:lang w:val="en-IE"/>
              </w:rPr>
              <w:t xml:space="preserve"> is the Obligated Capacity Quantity for Trading Site, s, in Imbalance Settlement Period, γ;</w:t>
            </w:r>
          </w:p>
          <w:p w14:paraId="7C4DF848" w14:textId="77777777" w:rsidR="006521D3" w:rsidRPr="009D2D9E" w:rsidRDefault="006521D3" w:rsidP="006521D3">
            <w:pPr>
              <w:pStyle w:val="CERLEVEL5"/>
              <w:numPr>
                <w:ilvl w:val="4"/>
                <w:numId w:val="39"/>
              </w:numPr>
              <w:rPr>
                <w:lang w:val="en-IE"/>
              </w:rPr>
            </w:pPr>
            <w:r w:rsidRPr="009D2D9E">
              <w:rPr>
                <w:lang w:val="en-IE"/>
              </w:rPr>
              <w:t>QDIFFTRACK’</w:t>
            </w:r>
            <w:r w:rsidRPr="009D2D9E">
              <w:rPr>
                <w:rFonts w:cs="Arial"/>
                <w:vertAlign w:val="subscript"/>
                <w:lang w:val="en-IE"/>
              </w:rPr>
              <w:t>sγ</w:t>
            </w:r>
            <w:r w:rsidRPr="009D2D9E">
              <w:rPr>
                <w:rFonts w:cs="Arial"/>
                <w:lang w:val="en-IE"/>
              </w:rPr>
              <w:t xml:space="preserve"> is the Tracked Difference Quantity for Trading Site, s, in Imbalance Settlement Period, γ, calculated in accordance with section </w:t>
            </w:r>
            <w:r w:rsidRPr="009D2D9E">
              <w:rPr>
                <w:rFonts w:cs="Arial"/>
                <w:lang w:val="en-IE"/>
              </w:rPr>
              <w:fldChar w:fldCharType="begin"/>
            </w:r>
            <w:r w:rsidRPr="009D2D9E">
              <w:rPr>
                <w:rFonts w:cs="Arial"/>
                <w:lang w:val="en-IE"/>
              </w:rPr>
              <w:instrText xml:space="preserve"> REF _Ref456198973 \r \h </w:instrText>
            </w:r>
            <w:r w:rsidRPr="009D2D9E">
              <w:rPr>
                <w:rFonts w:cs="Arial"/>
                <w:lang w:val="en-IE"/>
              </w:rPr>
            </w:r>
            <w:r w:rsidRPr="009D2D9E">
              <w:rPr>
                <w:rFonts w:cs="Arial"/>
                <w:lang w:val="en-IE"/>
              </w:rPr>
              <w:fldChar w:fldCharType="separate"/>
            </w:r>
            <w:r>
              <w:rPr>
                <w:rFonts w:cs="Arial"/>
                <w:lang w:val="en-IE"/>
              </w:rPr>
              <w:t>F.18.5</w:t>
            </w:r>
            <w:r w:rsidRPr="009D2D9E">
              <w:rPr>
                <w:rFonts w:cs="Arial"/>
                <w:lang w:val="en-IE"/>
              </w:rPr>
              <w:fldChar w:fldCharType="end"/>
            </w:r>
            <w:r w:rsidRPr="009D2D9E">
              <w:rPr>
                <w:rFonts w:cs="Arial"/>
                <w:lang w:val="en-IE"/>
              </w:rPr>
              <w:t>;</w:t>
            </w:r>
          </w:p>
          <w:p w14:paraId="563ADC70" w14:textId="77777777" w:rsidR="006521D3" w:rsidRPr="009D2D9E" w:rsidRDefault="006521D3" w:rsidP="006521D3">
            <w:pPr>
              <w:pStyle w:val="CERLEVEL5"/>
              <w:numPr>
                <w:ilvl w:val="4"/>
                <w:numId w:val="39"/>
              </w:numPr>
              <w:rPr>
                <w:lang w:val="en-IE"/>
              </w:rPr>
            </w:pPr>
            <w:r w:rsidRPr="009D2D9E">
              <w:rPr>
                <w:lang w:val="en-IE"/>
              </w:rPr>
              <w:t>QDIFFCSS</w:t>
            </w:r>
            <w:r w:rsidRPr="009D2D9E">
              <w:rPr>
                <w:vertAlign w:val="subscript"/>
                <w:lang w:val="en-IE"/>
              </w:rPr>
              <w:t>u</w:t>
            </w:r>
            <w:r w:rsidRPr="009D2D9E">
              <w:rPr>
                <w:rFonts w:cs="Arial"/>
                <w:vertAlign w:val="subscript"/>
                <w:lang w:val="en-IE"/>
              </w:rPr>
              <w:t>γ</w:t>
            </w:r>
            <w:r w:rsidRPr="009D2D9E">
              <w:rPr>
                <w:rFonts w:cs="Arial"/>
                <w:lang w:val="en-IE"/>
              </w:rPr>
              <w:t xml:space="preserve"> is the System Service Difference Quantity for Generator Unit, u, in Imbalance Settlement Period, γ; and</w:t>
            </w:r>
          </w:p>
          <w:p w14:paraId="2B279F50" w14:textId="77777777" w:rsidR="006521D3" w:rsidRPr="009D2D9E" w:rsidRDefault="004E54B3" w:rsidP="006521D3">
            <w:pPr>
              <w:pStyle w:val="CERLEVEL5"/>
              <w:numPr>
                <w:ilvl w:val="4"/>
                <w:numId w:val="39"/>
              </w:numPr>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proofErr w:type="gramStart"/>
            <w:r w:rsidR="006521D3" w:rsidRPr="009D2D9E">
              <w:rPr>
                <w:lang w:val="en-IE"/>
              </w:rPr>
              <w:t>is</w:t>
            </w:r>
            <w:proofErr w:type="gramEnd"/>
            <w:r w:rsidR="006521D3" w:rsidRPr="009D2D9E">
              <w:rPr>
                <w:lang w:val="en-IE"/>
              </w:rPr>
              <w:t xml:space="preserve"> a summation over all Generator Units, u, in the Trading Site, </w:t>
            </w:r>
            <w:r w:rsidR="006521D3" w:rsidRPr="009D2D9E">
              <w:rPr>
                <w:rFonts w:cs="Calibri"/>
                <w:lang w:val="en-IE"/>
              </w:rPr>
              <w:t>s</w:t>
            </w:r>
            <w:r w:rsidR="006521D3" w:rsidRPr="009D2D9E">
              <w:rPr>
                <w:lang w:val="en-IE"/>
              </w:rPr>
              <w:t>.</w:t>
            </w:r>
          </w:p>
          <w:p w14:paraId="2A1785BF" w14:textId="77777777" w:rsidR="006521D3" w:rsidRPr="004C53E7" w:rsidDel="00404964" w:rsidRDefault="006521D3" w:rsidP="00FD349F">
            <w:pPr>
              <w:spacing w:line="480" w:lineRule="auto"/>
              <w:rPr>
                <w:rFonts w:ascii="Calibri" w:hAnsi="Calibri" w:cs="Arial"/>
                <w:lang w:val="en-IE"/>
              </w:rPr>
            </w:pPr>
          </w:p>
        </w:tc>
      </w:tr>
      <w:tr w:rsidR="006521D3" w:rsidRPr="004C53E7" w14:paraId="5DE29707" w14:textId="77777777" w:rsidTr="00FD349F">
        <w:tc>
          <w:tcPr>
            <w:tcW w:w="9243" w:type="dxa"/>
            <w:gridSpan w:val="6"/>
            <w:shd w:val="clear" w:color="auto" w:fill="C6D9F1"/>
            <w:vAlign w:val="center"/>
          </w:tcPr>
          <w:p w14:paraId="4557A9A8" w14:textId="77777777" w:rsidR="006521D3" w:rsidRPr="004C53E7" w:rsidRDefault="006521D3" w:rsidP="00FD349F">
            <w:pPr>
              <w:jc w:val="center"/>
              <w:rPr>
                <w:rFonts w:ascii="Calibri" w:hAnsi="Calibri" w:cs="Arial"/>
                <w:b/>
                <w:bCs/>
                <w:lang w:val="en-IE"/>
              </w:rPr>
            </w:pPr>
            <w:r w:rsidRPr="004C53E7">
              <w:rPr>
                <w:rFonts w:ascii="Calibri" w:hAnsi="Calibri" w:cs="Arial"/>
                <w:b/>
                <w:bCs/>
                <w:lang w:val="en-IE"/>
              </w:rPr>
              <w:t>Modification Proposal Justification</w:t>
            </w:r>
          </w:p>
          <w:p w14:paraId="4F146E91" w14:textId="77777777" w:rsidR="006521D3" w:rsidRPr="004C53E7" w:rsidRDefault="006521D3" w:rsidP="00FD349F">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6521D3" w:rsidRPr="004C53E7" w14:paraId="589B28EE" w14:textId="77777777" w:rsidTr="00FD349F">
        <w:tc>
          <w:tcPr>
            <w:tcW w:w="9243" w:type="dxa"/>
            <w:gridSpan w:val="6"/>
            <w:vAlign w:val="center"/>
          </w:tcPr>
          <w:p w14:paraId="58C8C607" w14:textId="77777777" w:rsidR="006521D3" w:rsidRDefault="006521D3" w:rsidP="00FD349F">
            <w:pPr>
              <w:rPr>
                <w:rFonts w:ascii="Calibri" w:hAnsi="Calibri" w:cs="Arial"/>
                <w:lang w:val="en-IE"/>
              </w:rPr>
            </w:pPr>
          </w:p>
          <w:p w14:paraId="2961D642" w14:textId="77777777" w:rsidR="006521D3" w:rsidRDefault="006521D3" w:rsidP="00FD349F">
            <w:pPr>
              <w:rPr>
                <w:rFonts w:ascii="Calibri" w:hAnsi="Calibri" w:cs="Arial"/>
                <w:lang w:val="en-IE"/>
              </w:rPr>
            </w:pPr>
            <w:r>
              <w:rPr>
                <w:rFonts w:ascii="Calibri" w:hAnsi="Calibri" w:cs="Arial"/>
                <w:lang w:val="en-IE"/>
              </w:rPr>
              <w:t xml:space="preserve">This proposal seeks to provide clarity and to facilitate appropriate treatment of DSUs in relation to the application of System Service Flags so that these are available to the FNDDS methodology as applied to the calculation of charges for non delivery on capacity obligations for the purpose of calculating difference charges for DSUs where they are bound by the presence of an Operational Constraint should this be deemed appropriate. </w:t>
            </w:r>
          </w:p>
          <w:p w14:paraId="2965620B" w14:textId="77777777" w:rsidR="006521D3" w:rsidRDefault="006521D3" w:rsidP="00FD349F">
            <w:pPr>
              <w:rPr>
                <w:rFonts w:ascii="Calibri" w:hAnsi="Calibri" w:cs="Arial"/>
                <w:lang w:val="en-IE"/>
              </w:rPr>
            </w:pPr>
          </w:p>
          <w:p w14:paraId="316EFF16" w14:textId="77777777" w:rsidR="006521D3" w:rsidRDefault="006521D3" w:rsidP="00FD349F">
            <w:pPr>
              <w:rPr>
                <w:rFonts w:ascii="Calibri" w:hAnsi="Calibri" w:cs="Arial"/>
                <w:lang w:val="en-IE"/>
              </w:rPr>
            </w:pPr>
            <w:r>
              <w:rPr>
                <w:rFonts w:ascii="Calibri" w:hAnsi="Calibri" w:cs="Arial"/>
                <w:lang w:val="en-IE"/>
              </w:rPr>
              <w:t xml:space="preserve">This is to allow for fair treatment of DSUs and to ensure that the appropriate governance applies in relation to System Service Flagging. </w:t>
            </w:r>
          </w:p>
          <w:p w14:paraId="0A3CC696" w14:textId="77777777" w:rsidR="006521D3" w:rsidRPr="004C53E7" w:rsidRDefault="006521D3" w:rsidP="00FD349F">
            <w:pPr>
              <w:rPr>
                <w:rFonts w:ascii="Calibri" w:hAnsi="Calibri" w:cs="Arial"/>
                <w:lang w:val="en-IE"/>
              </w:rPr>
            </w:pPr>
          </w:p>
        </w:tc>
      </w:tr>
      <w:tr w:rsidR="006521D3" w:rsidRPr="004C53E7" w14:paraId="2708BA86" w14:textId="77777777" w:rsidTr="00FD349F">
        <w:tc>
          <w:tcPr>
            <w:tcW w:w="9243" w:type="dxa"/>
            <w:gridSpan w:val="6"/>
            <w:shd w:val="clear" w:color="auto" w:fill="C6D9F1"/>
            <w:vAlign w:val="center"/>
          </w:tcPr>
          <w:p w14:paraId="537E1464" w14:textId="77777777" w:rsidR="006521D3" w:rsidRPr="004C53E7" w:rsidRDefault="006521D3" w:rsidP="00FD349F">
            <w:pPr>
              <w:jc w:val="center"/>
              <w:rPr>
                <w:rFonts w:ascii="Calibri" w:hAnsi="Calibri" w:cs="Arial"/>
                <w:b/>
                <w:bCs/>
                <w:iCs/>
                <w:lang w:val="en-IE"/>
              </w:rPr>
            </w:pPr>
            <w:r w:rsidRPr="004C53E7">
              <w:rPr>
                <w:rFonts w:ascii="Calibri" w:hAnsi="Calibri" w:cs="Arial"/>
                <w:b/>
                <w:bCs/>
                <w:iCs/>
                <w:lang w:val="en-IE"/>
              </w:rPr>
              <w:t>Code Objectives Furthered</w:t>
            </w:r>
          </w:p>
          <w:p w14:paraId="26E129AE" w14:textId="77777777" w:rsidR="006521D3" w:rsidRPr="004C53E7" w:rsidRDefault="006521D3" w:rsidP="00FD349F">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w:t>
            </w:r>
            <w:r>
              <w:rPr>
                <w:rFonts w:ascii="Calibri" w:hAnsi="Calibri" w:cs="Arial"/>
                <w:i/>
                <w:iCs/>
                <w:lang w:val="en-IE"/>
              </w:rPr>
              <w:t xml:space="preserve"> Part A</w:t>
            </w:r>
            <w:r w:rsidRPr="004C53E7">
              <w:rPr>
                <w:rFonts w:ascii="Calibri" w:hAnsi="Calibri" w:cs="Arial"/>
                <w:i/>
                <w:iCs/>
                <w:lang w:val="en-IE"/>
              </w:rPr>
              <w:t xml:space="preserve"> </w:t>
            </w:r>
            <w:r>
              <w:rPr>
                <w:rFonts w:ascii="Calibri" w:hAnsi="Calibri" w:cs="Arial"/>
                <w:i/>
                <w:iCs/>
                <w:lang w:val="en-IE"/>
              </w:rPr>
              <w:t xml:space="preserve">and/or Section A.2.1.4 of Part B of the T&amp;SC </w:t>
            </w:r>
            <w:r w:rsidRPr="004C53E7">
              <w:rPr>
                <w:rFonts w:ascii="Calibri" w:hAnsi="Calibri" w:cs="Arial"/>
                <w:i/>
                <w:iCs/>
                <w:lang w:val="en-IE"/>
              </w:rPr>
              <w:t>for Code Objectives)</w:t>
            </w:r>
          </w:p>
        </w:tc>
      </w:tr>
      <w:tr w:rsidR="006521D3" w:rsidRPr="004C53E7" w14:paraId="2BA76B04" w14:textId="77777777" w:rsidTr="00FD349F">
        <w:tc>
          <w:tcPr>
            <w:tcW w:w="9243" w:type="dxa"/>
            <w:gridSpan w:val="6"/>
            <w:vAlign w:val="center"/>
          </w:tcPr>
          <w:p w14:paraId="14E87701" w14:textId="77777777" w:rsidR="006521D3" w:rsidRDefault="006521D3" w:rsidP="00FD349F">
            <w:pPr>
              <w:spacing w:line="480" w:lineRule="auto"/>
              <w:rPr>
                <w:rFonts w:ascii="Calibri" w:hAnsi="Calibri" w:cs="Arial"/>
                <w:lang w:val="en-IE"/>
              </w:rPr>
            </w:pPr>
          </w:p>
          <w:p w14:paraId="352A306A" w14:textId="77777777" w:rsidR="006521D3" w:rsidRPr="00685CC3" w:rsidRDefault="006521D3" w:rsidP="006521D3">
            <w:pPr>
              <w:pStyle w:val="CERLEVEL5"/>
              <w:numPr>
                <w:ilvl w:val="4"/>
                <w:numId w:val="47"/>
              </w:numPr>
              <w:rPr>
                <w:rFonts w:eastAsiaTheme="minorEastAsia"/>
                <w:lang w:val="en-IE"/>
              </w:rPr>
            </w:pPr>
            <w:r w:rsidRPr="00685CC3">
              <w:rPr>
                <w:rFonts w:eastAsiaTheme="minorEastAsia"/>
                <w:lang w:val="en-IE"/>
              </w:rPr>
              <w:t xml:space="preserve">to provide transparency in the operation of the Single Electricity Market; </w:t>
            </w:r>
          </w:p>
          <w:p w14:paraId="2E901E30" w14:textId="77777777" w:rsidR="006521D3" w:rsidRPr="00DA7065" w:rsidRDefault="006521D3" w:rsidP="00FD349F">
            <w:pPr>
              <w:spacing w:before="120" w:after="120"/>
              <w:jc w:val="both"/>
              <w:rPr>
                <w:rFonts w:ascii="Calibri" w:hAnsi="Calibri" w:cs="Arial"/>
                <w:lang w:val="en-IE"/>
              </w:rPr>
            </w:pPr>
            <w:r>
              <w:rPr>
                <w:rFonts w:ascii="Calibri" w:hAnsi="Calibri" w:cs="Arial"/>
                <w:lang w:val="en-IE"/>
              </w:rPr>
              <w:t>Provides</w:t>
            </w:r>
            <w:r w:rsidRPr="00DA7065">
              <w:rPr>
                <w:rFonts w:ascii="Calibri" w:hAnsi="Calibri" w:cs="Arial"/>
                <w:lang w:val="en-IE"/>
              </w:rPr>
              <w:t xml:space="preserve"> transparency by placing the determination of System Service Flag for DSU under Trading and Settlement Code governance </w:t>
            </w:r>
            <w:r>
              <w:rPr>
                <w:rFonts w:ascii="Calibri" w:hAnsi="Calibri" w:cs="Arial"/>
                <w:lang w:val="en-IE"/>
              </w:rPr>
              <w:t>(</w:t>
            </w:r>
            <w:r w:rsidRPr="00DA7065">
              <w:rPr>
                <w:rFonts w:ascii="Calibri" w:hAnsi="Calibri" w:cs="Arial"/>
                <w:lang w:val="en-IE"/>
              </w:rPr>
              <w:t>as opposed to the potential alternative of capturing this within the FNDDS methodology</w:t>
            </w:r>
            <w:r>
              <w:rPr>
                <w:rFonts w:ascii="Calibri" w:hAnsi="Calibri" w:cs="Arial"/>
                <w:lang w:val="en-IE"/>
              </w:rPr>
              <w:t>)</w:t>
            </w:r>
            <w:r w:rsidRPr="00DA7065">
              <w:rPr>
                <w:rFonts w:ascii="Calibri" w:hAnsi="Calibri" w:cs="Arial"/>
                <w:lang w:val="en-IE"/>
              </w:rPr>
              <w:t>.</w:t>
            </w:r>
          </w:p>
          <w:p w14:paraId="69E2DC72" w14:textId="77777777" w:rsidR="006521D3" w:rsidRDefault="006521D3" w:rsidP="006521D3">
            <w:pPr>
              <w:numPr>
                <w:ilvl w:val="4"/>
                <w:numId w:val="39"/>
              </w:numPr>
              <w:spacing w:before="120" w:after="120" w:line="240" w:lineRule="auto"/>
              <w:jc w:val="both"/>
              <w:rPr>
                <w:rFonts w:eastAsiaTheme="minorEastAsia"/>
                <w:sz w:val="22"/>
                <w:szCs w:val="22"/>
                <w:lang w:val="en-IE"/>
              </w:rPr>
            </w:pPr>
            <w:r w:rsidRPr="00685CC3">
              <w:rPr>
                <w:rFonts w:eastAsiaTheme="minorEastAsia"/>
                <w:sz w:val="22"/>
                <w:szCs w:val="22"/>
                <w:lang w:val="en-IE"/>
              </w:rPr>
              <w:t xml:space="preserve">to ensure no undue discrimination between persons </w:t>
            </w:r>
            <w:r>
              <w:rPr>
                <w:rFonts w:eastAsiaTheme="minorEastAsia"/>
                <w:sz w:val="22"/>
                <w:szCs w:val="22"/>
                <w:lang w:val="en-IE"/>
              </w:rPr>
              <w:t xml:space="preserve">who are parties to the Code; </w:t>
            </w:r>
          </w:p>
          <w:p w14:paraId="3F2FE66B" w14:textId="77777777" w:rsidR="006521D3" w:rsidRPr="00685CC3" w:rsidRDefault="006521D3" w:rsidP="00FD349F">
            <w:pPr>
              <w:spacing w:before="120" w:after="120"/>
              <w:jc w:val="both"/>
              <w:rPr>
                <w:rFonts w:eastAsiaTheme="minorEastAsia"/>
                <w:sz w:val="22"/>
                <w:szCs w:val="22"/>
                <w:lang w:val="en-IE"/>
              </w:rPr>
            </w:pPr>
            <w:r w:rsidRPr="00DA7065">
              <w:rPr>
                <w:rFonts w:ascii="Calibri" w:hAnsi="Calibri" w:cs="Arial"/>
                <w:lang w:val="en-IE"/>
              </w:rPr>
              <w:t xml:space="preserve">Ensures no undue discrimination between parties to the Code by facilitating </w:t>
            </w:r>
            <w:proofErr w:type="gramStart"/>
            <w:r w:rsidRPr="00DA7065">
              <w:rPr>
                <w:rFonts w:ascii="Calibri" w:hAnsi="Calibri" w:cs="Arial"/>
                <w:lang w:val="en-IE"/>
              </w:rPr>
              <w:t>equitable,</w:t>
            </w:r>
            <w:proofErr w:type="gramEnd"/>
            <w:r w:rsidRPr="00DA7065">
              <w:rPr>
                <w:rFonts w:ascii="Calibri" w:hAnsi="Calibri" w:cs="Arial"/>
                <w:lang w:val="en-IE"/>
              </w:rPr>
              <w:t xml:space="preserve"> or otherwise fair treatment of Demand Side Units in relation to the treatment of exposure to charges for non delivery of capacity obligations where the unit is bound by certain defined Operational Constraints.</w:t>
            </w:r>
          </w:p>
        </w:tc>
      </w:tr>
      <w:tr w:rsidR="006521D3" w:rsidRPr="004C53E7" w14:paraId="73DACFBE" w14:textId="77777777" w:rsidTr="00FD349F">
        <w:tc>
          <w:tcPr>
            <w:tcW w:w="9243" w:type="dxa"/>
            <w:gridSpan w:val="6"/>
            <w:shd w:val="clear" w:color="auto" w:fill="C6D9F1"/>
            <w:vAlign w:val="center"/>
          </w:tcPr>
          <w:p w14:paraId="50C1519E" w14:textId="77777777" w:rsidR="006521D3" w:rsidRPr="004C53E7" w:rsidRDefault="006521D3" w:rsidP="00FD349F">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2364FA15" w14:textId="77777777" w:rsidR="006521D3" w:rsidRPr="004C53E7" w:rsidRDefault="006521D3" w:rsidP="00FD349F">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6521D3" w:rsidRPr="004C53E7" w14:paraId="2A704E74" w14:textId="77777777" w:rsidTr="00FD349F">
        <w:tc>
          <w:tcPr>
            <w:tcW w:w="9243" w:type="dxa"/>
            <w:gridSpan w:val="6"/>
            <w:vAlign w:val="center"/>
          </w:tcPr>
          <w:p w14:paraId="2C609D3E" w14:textId="77777777" w:rsidR="006521D3" w:rsidRDefault="006521D3" w:rsidP="00FD349F">
            <w:pPr>
              <w:rPr>
                <w:rFonts w:ascii="Calibri" w:hAnsi="Calibri" w:cs="Arial"/>
                <w:lang w:val="en-IE"/>
              </w:rPr>
            </w:pPr>
            <w:r>
              <w:rPr>
                <w:rFonts w:ascii="Calibri" w:hAnsi="Calibri" w:cs="Arial"/>
                <w:lang w:val="en-IE"/>
              </w:rPr>
              <w:br/>
              <w:t>If this proposal is not implemented it will continue to be the case that no System Service Flag is calculated for DSUs under the Trading and Settlement Code so that the aforementioned facilitation of equitable treatment, in relation to non delivery of capacity obligations, under Trading and Settlement Code governance will remain absent.</w:t>
            </w:r>
          </w:p>
          <w:p w14:paraId="117D18AF" w14:textId="77777777" w:rsidR="006521D3" w:rsidRDefault="006521D3" w:rsidP="00FD349F">
            <w:pPr>
              <w:rPr>
                <w:rFonts w:ascii="Calibri" w:hAnsi="Calibri" w:cs="Arial"/>
                <w:lang w:val="en-IE"/>
              </w:rPr>
            </w:pPr>
          </w:p>
          <w:p w14:paraId="0728BE28" w14:textId="77777777" w:rsidR="006521D3" w:rsidRDefault="006521D3" w:rsidP="00FD349F">
            <w:pPr>
              <w:rPr>
                <w:rFonts w:ascii="Calibri" w:hAnsi="Calibri" w:cs="Arial"/>
                <w:lang w:val="en-IE"/>
              </w:rPr>
            </w:pPr>
            <w:r>
              <w:rPr>
                <w:rFonts w:ascii="Calibri" w:hAnsi="Calibri" w:cs="Arial"/>
                <w:lang w:val="en-IE"/>
              </w:rPr>
              <w:t>It could also be necessary to have a System Service Flag determined outside of the Trading and Settlement Code which would not carry Codified obligation on the TSOs to determine such flags for DSUs and it could also be unclear whether or not TSC default rules applied and could lead to unintended conflicts or ambiguities as to how the flags are determined.</w:t>
            </w:r>
          </w:p>
          <w:p w14:paraId="4113AA12" w14:textId="77777777" w:rsidR="006521D3" w:rsidRPr="004C53E7" w:rsidRDefault="006521D3" w:rsidP="00FD349F">
            <w:pPr>
              <w:rPr>
                <w:rFonts w:ascii="Calibri" w:hAnsi="Calibri" w:cs="Arial"/>
                <w:lang w:val="en-IE"/>
              </w:rPr>
            </w:pPr>
          </w:p>
        </w:tc>
      </w:tr>
      <w:tr w:rsidR="006521D3" w:rsidRPr="004C53E7" w14:paraId="0FF33FE0" w14:textId="77777777" w:rsidTr="00FD349F">
        <w:trPr>
          <w:trHeight w:val="507"/>
        </w:trPr>
        <w:tc>
          <w:tcPr>
            <w:tcW w:w="4621" w:type="dxa"/>
            <w:gridSpan w:val="3"/>
            <w:shd w:val="clear" w:color="auto" w:fill="C6D9F1"/>
            <w:vAlign w:val="center"/>
          </w:tcPr>
          <w:p w14:paraId="317E90C8" w14:textId="77777777" w:rsidR="006521D3" w:rsidRPr="004C53E7" w:rsidRDefault="006521D3" w:rsidP="00FD349F">
            <w:pPr>
              <w:jc w:val="center"/>
              <w:rPr>
                <w:rFonts w:ascii="Calibri" w:hAnsi="Calibri" w:cs="Arial"/>
                <w:b/>
                <w:bCs/>
                <w:iCs/>
                <w:lang w:val="en-IE"/>
              </w:rPr>
            </w:pPr>
            <w:r w:rsidRPr="004C53E7">
              <w:rPr>
                <w:rFonts w:ascii="Calibri" w:hAnsi="Calibri" w:cs="Arial"/>
                <w:b/>
                <w:bCs/>
                <w:iCs/>
                <w:lang w:val="en-IE"/>
              </w:rPr>
              <w:t>Working Group</w:t>
            </w:r>
          </w:p>
          <w:p w14:paraId="5F851DEC" w14:textId="77777777" w:rsidR="006521D3" w:rsidRPr="004C53E7" w:rsidRDefault="006521D3" w:rsidP="00FD349F">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14:paraId="10D9DBB3" w14:textId="77777777" w:rsidR="006521D3" w:rsidRPr="004C53E7" w:rsidRDefault="006521D3" w:rsidP="00FD349F">
            <w:pPr>
              <w:jc w:val="center"/>
              <w:rPr>
                <w:rFonts w:ascii="Calibri" w:hAnsi="Calibri" w:cs="Arial"/>
                <w:b/>
                <w:bCs/>
                <w:iCs/>
                <w:lang w:val="en-IE"/>
              </w:rPr>
            </w:pPr>
            <w:r w:rsidRPr="004C53E7">
              <w:rPr>
                <w:rFonts w:ascii="Calibri" w:hAnsi="Calibri" w:cs="Arial"/>
                <w:b/>
                <w:bCs/>
                <w:iCs/>
                <w:lang w:val="en-IE"/>
              </w:rPr>
              <w:t>Impacts</w:t>
            </w:r>
          </w:p>
          <w:p w14:paraId="10CE2A43" w14:textId="77777777" w:rsidR="006521D3" w:rsidRPr="004C53E7" w:rsidRDefault="006521D3" w:rsidP="00FD349F">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xml:space="preserve">; also indicate impacts on any other Market Code such as Capacity Marker Code, Grid Code, </w:t>
            </w:r>
            <w:proofErr w:type="gramStart"/>
            <w:r>
              <w:rPr>
                <w:rFonts w:ascii="Calibri" w:hAnsi="Calibri" w:cs="Arial"/>
                <w:i/>
                <w:lang w:val="en-IE"/>
              </w:rPr>
              <w:t>Exchange</w:t>
            </w:r>
            <w:proofErr w:type="gramEnd"/>
            <w:r>
              <w:rPr>
                <w:rFonts w:ascii="Calibri" w:hAnsi="Calibri" w:cs="Arial"/>
                <w:i/>
                <w:lang w:val="en-IE"/>
              </w:rPr>
              <w:t xml:space="preserve"> Rules etc.</w:t>
            </w:r>
            <w:r w:rsidRPr="004C53E7">
              <w:rPr>
                <w:rFonts w:ascii="Calibri" w:hAnsi="Calibri" w:cs="Arial"/>
                <w:i/>
                <w:lang w:val="en-IE"/>
              </w:rPr>
              <w:t>)</w:t>
            </w:r>
          </w:p>
          <w:p w14:paraId="503803B6" w14:textId="77777777" w:rsidR="006521D3" w:rsidRPr="004C53E7" w:rsidRDefault="006521D3" w:rsidP="00FD349F">
            <w:pPr>
              <w:jc w:val="center"/>
              <w:rPr>
                <w:rFonts w:ascii="Calibri" w:hAnsi="Calibri" w:cs="Arial"/>
                <w:b/>
                <w:bCs/>
                <w:iCs/>
                <w:lang w:val="en-IE"/>
              </w:rPr>
            </w:pPr>
          </w:p>
        </w:tc>
      </w:tr>
      <w:tr w:rsidR="006521D3" w:rsidRPr="004C53E7" w:rsidDel="00404964" w14:paraId="356D447E" w14:textId="77777777" w:rsidTr="00FD349F">
        <w:trPr>
          <w:trHeight w:val="507"/>
        </w:trPr>
        <w:tc>
          <w:tcPr>
            <w:tcW w:w="4621" w:type="dxa"/>
            <w:gridSpan w:val="3"/>
            <w:vAlign w:val="center"/>
          </w:tcPr>
          <w:p w14:paraId="01E6374A" w14:textId="77777777" w:rsidR="006521D3" w:rsidRPr="004C53E7" w:rsidDel="00404964" w:rsidRDefault="006521D3" w:rsidP="00FD349F">
            <w:pPr>
              <w:spacing w:line="480" w:lineRule="auto"/>
              <w:rPr>
                <w:rFonts w:ascii="Calibri" w:hAnsi="Calibri" w:cs="Arial"/>
                <w:lang w:val="en-IE"/>
              </w:rPr>
            </w:pPr>
            <w:r>
              <w:rPr>
                <w:rFonts w:ascii="Calibri" w:hAnsi="Calibri" w:cs="Arial"/>
                <w:lang w:val="en-IE"/>
              </w:rPr>
              <w:t xml:space="preserve"> Not Required</w:t>
            </w:r>
          </w:p>
        </w:tc>
        <w:tc>
          <w:tcPr>
            <w:tcW w:w="4622" w:type="dxa"/>
            <w:gridSpan w:val="3"/>
            <w:vAlign w:val="center"/>
          </w:tcPr>
          <w:p w14:paraId="77E3CD39" w14:textId="77777777" w:rsidR="006521D3" w:rsidRDefault="006521D3" w:rsidP="00FD349F">
            <w:pPr>
              <w:rPr>
                <w:rFonts w:ascii="Calibri" w:hAnsi="Calibri" w:cs="Arial"/>
                <w:lang w:val="en-IE"/>
              </w:rPr>
            </w:pPr>
          </w:p>
          <w:p w14:paraId="7944FE83" w14:textId="77777777" w:rsidR="006521D3" w:rsidRDefault="006521D3" w:rsidP="00FD349F">
            <w:pPr>
              <w:rPr>
                <w:rFonts w:ascii="Calibri" w:hAnsi="Calibri" w:cs="Arial"/>
                <w:lang w:val="en-IE"/>
              </w:rPr>
            </w:pPr>
            <w:r>
              <w:rPr>
                <w:rFonts w:ascii="Calibri" w:hAnsi="Calibri" w:cs="Arial"/>
                <w:lang w:val="en-IE"/>
              </w:rPr>
              <w:t xml:space="preserve">No impact on Market systems anticipated since this functionality already exists but is not currently applied. </w:t>
            </w:r>
          </w:p>
          <w:p w14:paraId="66E4F3A1" w14:textId="77777777" w:rsidR="006521D3" w:rsidRDefault="006521D3" w:rsidP="00FD349F">
            <w:pPr>
              <w:rPr>
                <w:rFonts w:ascii="Calibri" w:hAnsi="Calibri" w:cs="Arial"/>
                <w:lang w:val="en-IE"/>
              </w:rPr>
            </w:pPr>
          </w:p>
          <w:p w14:paraId="7863540E" w14:textId="77777777" w:rsidR="006521D3" w:rsidRDefault="006521D3" w:rsidP="00FD349F">
            <w:pPr>
              <w:rPr>
                <w:rFonts w:ascii="Calibri" w:hAnsi="Calibri" w:cs="Arial"/>
                <w:lang w:val="en-IE"/>
              </w:rPr>
            </w:pPr>
            <w:r>
              <w:rPr>
                <w:rFonts w:ascii="Calibri" w:hAnsi="Calibri" w:cs="Arial"/>
                <w:lang w:val="en-IE"/>
              </w:rPr>
              <w:t>Potential application of the FSS values is to the calculation of FNDDS which is carried out outside the Central Market Systems by the System Operators. As such, there is a potential subsequent impact on FNDDS methodology should it be considered appropriate to apply these flags therein.</w:t>
            </w:r>
          </w:p>
          <w:p w14:paraId="159CA4DC" w14:textId="77777777" w:rsidR="006521D3" w:rsidRPr="004C53E7" w:rsidDel="00404964" w:rsidRDefault="006521D3" w:rsidP="00FD349F">
            <w:pPr>
              <w:rPr>
                <w:rFonts w:ascii="Calibri" w:hAnsi="Calibri" w:cs="Arial"/>
                <w:lang w:val="en-IE"/>
              </w:rPr>
            </w:pPr>
          </w:p>
        </w:tc>
      </w:tr>
      <w:tr w:rsidR="006521D3" w:rsidRPr="004C53E7" w14:paraId="0637C287" w14:textId="77777777" w:rsidTr="00FD349F">
        <w:tc>
          <w:tcPr>
            <w:tcW w:w="9243" w:type="dxa"/>
            <w:gridSpan w:val="6"/>
            <w:vAlign w:val="center"/>
          </w:tcPr>
          <w:p w14:paraId="3BE974EF" w14:textId="77777777" w:rsidR="006521D3" w:rsidRPr="007E7191" w:rsidRDefault="006521D3" w:rsidP="00FD349F">
            <w:pPr>
              <w:rPr>
                <w:rFonts w:eastAsiaTheme="minorHAnsi"/>
                <w:sz w:val="24"/>
                <w:szCs w:val="24"/>
                <w:lang w:val="en-IE"/>
              </w:rPr>
            </w:pPr>
            <w:r w:rsidRPr="004C53E7">
              <w:rPr>
                <w:rFonts w:ascii="Calibri" w:hAnsi="Calibri" w:cs="Arial"/>
                <w:b/>
                <w:bCs/>
                <w:i/>
                <w:iCs/>
                <w:lang w:val="en-IE"/>
              </w:rPr>
              <w:t xml:space="preserve">Please return this form to Secretariat by email to </w:t>
            </w:r>
            <w:hyperlink r:id="rId17" w:history="1">
              <w:r w:rsidRPr="007E7191">
                <w:rPr>
                  <w:rFonts w:eastAsiaTheme="minorHAnsi"/>
                  <w:color w:val="0000FF"/>
                  <w:sz w:val="24"/>
                  <w:szCs w:val="24"/>
                  <w:u w:val="single"/>
                  <w:lang w:val="en-IE"/>
                </w:rPr>
                <w:t>balancingmodifications@sem-o.com</w:t>
              </w:r>
            </w:hyperlink>
          </w:p>
        </w:tc>
      </w:tr>
    </w:tbl>
    <w:p w14:paraId="645B9418" w14:textId="77777777" w:rsidR="006521D3" w:rsidRPr="006521D3" w:rsidRDefault="006521D3" w:rsidP="006521D3">
      <w:pPr>
        <w:rPr>
          <w:lang w:eastAsia="en-GB" w:bidi="ar-SA"/>
        </w:rPr>
      </w:pPr>
    </w:p>
    <w:sectPr w:rsidR="006521D3" w:rsidRPr="006521D3" w:rsidSect="00EB1AF1">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89792" w14:textId="77777777" w:rsidR="004E54B3" w:rsidRDefault="004E54B3">
      <w:r>
        <w:separator/>
      </w:r>
    </w:p>
  </w:endnote>
  <w:endnote w:type="continuationSeparator" w:id="0">
    <w:p w14:paraId="13C8DB0A" w14:textId="77777777" w:rsidR="004E54B3" w:rsidRDefault="004E5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Garamond MT">
    <w:altName w:val="Garamond"/>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818B0" w14:textId="77777777" w:rsidR="00CB515B" w:rsidRDefault="00D45AED">
    <w:pPr>
      <w:pStyle w:val="Footer"/>
      <w:jc w:val="center"/>
    </w:pPr>
    <w:r>
      <w:fldChar w:fldCharType="begin"/>
    </w:r>
    <w:r w:rsidR="00DD797D">
      <w:instrText xml:space="preserve"> PAGE   \* MERGEFORMAT </w:instrText>
    </w:r>
    <w:r>
      <w:fldChar w:fldCharType="separate"/>
    </w:r>
    <w:r w:rsidR="00233B52">
      <w:rPr>
        <w:noProof/>
      </w:rPr>
      <w:t>1</w:t>
    </w:r>
    <w:r>
      <w:rPr>
        <w:noProof/>
      </w:rPr>
      <w:fldChar w:fldCharType="end"/>
    </w:r>
  </w:p>
  <w:p w14:paraId="573818B1" w14:textId="77777777" w:rsidR="00CB515B" w:rsidRPr="00A53010" w:rsidRDefault="00CB515B" w:rsidP="00A677C0">
    <w:pPr>
      <w:pStyle w:val="Footer"/>
      <w:pBdr>
        <w:top w:val="single" w:sz="4" w:space="1" w:color="auto"/>
      </w:pBd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BC194" w14:textId="77777777" w:rsidR="004E54B3" w:rsidRDefault="004E54B3">
      <w:r>
        <w:separator/>
      </w:r>
    </w:p>
  </w:footnote>
  <w:footnote w:type="continuationSeparator" w:id="0">
    <w:p w14:paraId="6630EC23" w14:textId="77777777" w:rsidR="004E54B3" w:rsidRDefault="004E5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818AD" w14:textId="43E3B591" w:rsidR="00CB515B" w:rsidRPr="00DA2DEE" w:rsidRDefault="00CB515B"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Mod_</w:t>
    </w:r>
    <w:r w:rsidR="005C3160">
      <w:rPr>
        <w:rFonts w:cs="Arial"/>
        <w:bCs/>
        <w:sz w:val="16"/>
        <w:szCs w:val="18"/>
      </w:rPr>
      <w:t>12</w:t>
    </w:r>
    <w:r w:rsidR="00D20EB6">
      <w:rPr>
        <w:rFonts w:cs="Arial"/>
        <w:bCs/>
        <w:sz w:val="16"/>
        <w:szCs w:val="18"/>
      </w:rPr>
      <w:t>_19</w:t>
    </w:r>
  </w:p>
  <w:p w14:paraId="573818AE" w14:textId="77777777" w:rsidR="00CB515B" w:rsidRPr="0018497A" w:rsidRDefault="00CB515B"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14:paraId="573818AF" w14:textId="77777777" w:rsidR="00CB515B" w:rsidRDefault="00CB515B" w:rsidP="001B7507">
    <w:pPr>
      <w:tabs>
        <w:tab w:val="left" w:pos="25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008A706"/>
    <w:lvl w:ilvl="0">
      <w:start w:val="1"/>
      <w:numFmt w:val="decimal"/>
      <w:pStyle w:val="ListNumber2"/>
      <w:lvlText w:val="%1."/>
      <w:lvlJc w:val="left"/>
      <w:pPr>
        <w:tabs>
          <w:tab w:val="num" w:pos="643"/>
        </w:tabs>
        <w:ind w:left="643" w:hanging="360"/>
      </w:pPr>
    </w:lvl>
  </w:abstractNum>
  <w:abstractNum w:abstractNumId="1">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0E3E1543"/>
    <w:multiLevelType w:val="hybridMultilevel"/>
    <w:tmpl w:val="CC58D1AC"/>
    <w:lvl w:ilvl="0" w:tplc="735876A0">
      <w:start w:val="1"/>
      <w:numFmt w:val="bullet"/>
      <w:lvlText w:val="-"/>
      <w:lvlJc w:val="left"/>
      <w:pPr>
        <w:ind w:left="720" w:hanging="360"/>
      </w:pPr>
      <w:rPr>
        <w:rFonts w:ascii="Calibri" w:eastAsia="Times New Roman" w:hAnsi="Calibri"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0F723C8E"/>
    <w:multiLevelType w:val="hybridMultilevel"/>
    <w:tmpl w:val="A66270AC"/>
    <w:lvl w:ilvl="0" w:tplc="36AE0F84">
      <w:start w:val="1"/>
      <w:numFmt w:val="bullet"/>
      <w:pStyle w:val="Bullet1"/>
      <w:lvlText w:val=""/>
      <w:lvlJc w:val="left"/>
      <w:pPr>
        <w:tabs>
          <w:tab w:val="num" w:pos="360"/>
        </w:tabs>
        <w:ind w:left="360" w:hanging="360"/>
      </w:pPr>
      <w:rPr>
        <w:rFonts w:ascii="Symbol" w:hAnsi="Symbol" w:hint="default"/>
      </w:rPr>
    </w:lvl>
    <w:lvl w:ilvl="1" w:tplc="9006A18A">
      <w:start w:val="1"/>
      <w:numFmt w:val="bullet"/>
      <w:lvlText w:val="o"/>
      <w:lvlJc w:val="left"/>
      <w:pPr>
        <w:tabs>
          <w:tab w:val="num" w:pos="1080"/>
        </w:tabs>
        <w:ind w:left="1080" w:hanging="360"/>
      </w:pPr>
      <w:rPr>
        <w:rFonts w:ascii="Courier New" w:hAnsi="Courier New" w:cs="Courier New" w:hint="default"/>
      </w:rPr>
    </w:lvl>
    <w:lvl w:ilvl="2" w:tplc="A9ACCAEE">
      <w:start w:val="1"/>
      <w:numFmt w:val="bullet"/>
      <w:lvlText w:val=""/>
      <w:lvlJc w:val="left"/>
      <w:pPr>
        <w:tabs>
          <w:tab w:val="num" w:pos="1800"/>
        </w:tabs>
        <w:ind w:left="1800" w:hanging="360"/>
      </w:pPr>
      <w:rPr>
        <w:rFonts w:ascii="Wingdings" w:hAnsi="Wingdings" w:hint="default"/>
      </w:rPr>
    </w:lvl>
    <w:lvl w:ilvl="3" w:tplc="8AA2E594" w:tentative="1">
      <w:start w:val="1"/>
      <w:numFmt w:val="bullet"/>
      <w:lvlText w:val=""/>
      <w:lvlJc w:val="left"/>
      <w:pPr>
        <w:tabs>
          <w:tab w:val="num" w:pos="2520"/>
        </w:tabs>
        <w:ind w:left="2520" w:hanging="360"/>
      </w:pPr>
      <w:rPr>
        <w:rFonts w:ascii="Symbol" w:hAnsi="Symbol" w:hint="default"/>
      </w:rPr>
    </w:lvl>
    <w:lvl w:ilvl="4" w:tplc="0F048518" w:tentative="1">
      <w:start w:val="1"/>
      <w:numFmt w:val="bullet"/>
      <w:lvlText w:val="o"/>
      <w:lvlJc w:val="left"/>
      <w:pPr>
        <w:tabs>
          <w:tab w:val="num" w:pos="3240"/>
        </w:tabs>
        <w:ind w:left="3240" w:hanging="360"/>
      </w:pPr>
      <w:rPr>
        <w:rFonts w:ascii="Courier New" w:hAnsi="Courier New" w:cs="Courier New" w:hint="default"/>
      </w:rPr>
    </w:lvl>
    <w:lvl w:ilvl="5" w:tplc="5D90B3C4" w:tentative="1">
      <w:start w:val="1"/>
      <w:numFmt w:val="bullet"/>
      <w:lvlText w:val=""/>
      <w:lvlJc w:val="left"/>
      <w:pPr>
        <w:tabs>
          <w:tab w:val="num" w:pos="3960"/>
        </w:tabs>
        <w:ind w:left="3960" w:hanging="360"/>
      </w:pPr>
      <w:rPr>
        <w:rFonts w:ascii="Wingdings" w:hAnsi="Wingdings" w:hint="default"/>
      </w:rPr>
    </w:lvl>
    <w:lvl w:ilvl="6" w:tplc="0D003A5E" w:tentative="1">
      <w:start w:val="1"/>
      <w:numFmt w:val="bullet"/>
      <w:lvlText w:val=""/>
      <w:lvlJc w:val="left"/>
      <w:pPr>
        <w:tabs>
          <w:tab w:val="num" w:pos="4680"/>
        </w:tabs>
        <w:ind w:left="4680" w:hanging="360"/>
      </w:pPr>
      <w:rPr>
        <w:rFonts w:ascii="Symbol" w:hAnsi="Symbol" w:hint="default"/>
      </w:rPr>
    </w:lvl>
    <w:lvl w:ilvl="7" w:tplc="76341F0E" w:tentative="1">
      <w:start w:val="1"/>
      <w:numFmt w:val="bullet"/>
      <w:lvlText w:val="o"/>
      <w:lvlJc w:val="left"/>
      <w:pPr>
        <w:tabs>
          <w:tab w:val="num" w:pos="5400"/>
        </w:tabs>
        <w:ind w:left="5400" w:hanging="360"/>
      </w:pPr>
      <w:rPr>
        <w:rFonts w:ascii="Courier New" w:hAnsi="Courier New" w:cs="Courier New" w:hint="default"/>
      </w:rPr>
    </w:lvl>
    <w:lvl w:ilvl="8" w:tplc="D6D8D1AA" w:tentative="1">
      <w:start w:val="1"/>
      <w:numFmt w:val="bullet"/>
      <w:lvlText w:val=""/>
      <w:lvlJc w:val="left"/>
      <w:pPr>
        <w:tabs>
          <w:tab w:val="num" w:pos="6120"/>
        </w:tabs>
        <w:ind w:left="6120" w:hanging="360"/>
      </w:pPr>
      <w:rPr>
        <w:rFonts w:ascii="Wingdings" w:hAnsi="Wingdings" w:hint="default"/>
      </w:rPr>
    </w:lvl>
  </w:abstractNum>
  <w:abstractNum w:abstractNumId="7">
    <w:nsid w:val="12271B93"/>
    <w:multiLevelType w:val="hybridMultilevel"/>
    <w:tmpl w:val="F5FEA13A"/>
    <w:lvl w:ilvl="0" w:tplc="38DA7370">
      <w:start w:val="1"/>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8">
    <w:nsid w:val="12C53D89"/>
    <w:multiLevelType w:val="hybridMultilevel"/>
    <w:tmpl w:val="524E11E4"/>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9">
    <w:nsid w:val="145B26B4"/>
    <w:multiLevelType w:val="hybridMultilevel"/>
    <w:tmpl w:val="BCFCA090"/>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hint="default"/>
        <w:color w:val="auto"/>
      </w:rPr>
    </w:lvl>
    <w:lvl w:ilvl="1" w:tplc="A6348DAA">
      <w:start w:val="1"/>
      <w:numFmt w:val="bullet"/>
      <w:lvlText w:val="o"/>
      <w:lvlJc w:val="left"/>
      <w:pPr>
        <w:tabs>
          <w:tab w:val="num" w:pos="1440"/>
        </w:tabs>
        <w:ind w:left="1440" w:hanging="360"/>
      </w:pPr>
      <w:rPr>
        <w:rFonts w:ascii="Courier New" w:hAnsi="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11">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12">
    <w:nsid w:val="1CAE7B25"/>
    <w:multiLevelType w:val="hybridMultilevel"/>
    <w:tmpl w:val="1B780C80"/>
    <w:lvl w:ilvl="0" w:tplc="18090001">
      <w:start w:val="1"/>
      <w:numFmt w:val="bullet"/>
      <w:lvlText w:val=""/>
      <w:lvlJc w:val="left"/>
      <w:pPr>
        <w:ind w:left="666" w:hanging="360"/>
      </w:pPr>
      <w:rPr>
        <w:rFonts w:ascii="Symbol" w:hAnsi="Symbol" w:hint="default"/>
      </w:rPr>
    </w:lvl>
    <w:lvl w:ilvl="1" w:tplc="18090003" w:tentative="1">
      <w:start w:val="1"/>
      <w:numFmt w:val="bullet"/>
      <w:lvlText w:val="o"/>
      <w:lvlJc w:val="left"/>
      <w:pPr>
        <w:ind w:left="1386" w:hanging="360"/>
      </w:pPr>
      <w:rPr>
        <w:rFonts w:ascii="Courier New" w:hAnsi="Courier New" w:hint="default"/>
      </w:rPr>
    </w:lvl>
    <w:lvl w:ilvl="2" w:tplc="18090005" w:tentative="1">
      <w:start w:val="1"/>
      <w:numFmt w:val="bullet"/>
      <w:lvlText w:val=""/>
      <w:lvlJc w:val="left"/>
      <w:pPr>
        <w:ind w:left="2106" w:hanging="360"/>
      </w:pPr>
      <w:rPr>
        <w:rFonts w:ascii="Wingdings" w:hAnsi="Wingdings" w:hint="default"/>
      </w:rPr>
    </w:lvl>
    <w:lvl w:ilvl="3" w:tplc="18090001" w:tentative="1">
      <w:start w:val="1"/>
      <w:numFmt w:val="bullet"/>
      <w:lvlText w:val=""/>
      <w:lvlJc w:val="left"/>
      <w:pPr>
        <w:ind w:left="2826" w:hanging="360"/>
      </w:pPr>
      <w:rPr>
        <w:rFonts w:ascii="Symbol" w:hAnsi="Symbol" w:hint="default"/>
      </w:rPr>
    </w:lvl>
    <w:lvl w:ilvl="4" w:tplc="18090003" w:tentative="1">
      <w:start w:val="1"/>
      <w:numFmt w:val="bullet"/>
      <w:lvlText w:val="o"/>
      <w:lvlJc w:val="left"/>
      <w:pPr>
        <w:ind w:left="3546" w:hanging="360"/>
      </w:pPr>
      <w:rPr>
        <w:rFonts w:ascii="Courier New" w:hAnsi="Courier New" w:hint="default"/>
      </w:rPr>
    </w:lvl>
    <w:lvl w:ilvl="5" w:tplc="18090005" w:tentative="1">
      <w:start w:val="1"/>
      <w:numFmt w:val="bullet"/>
      <w:lvlText w:val=""/>
      <w:lvlJc w:val="left"/>
      <w:pPr>
        <w:ind w:left="4266" w:hanging="360"/>
      </w:pPr>
      <w:rPr>
        <w:rFonts w:ascii="Wingdings" w:hAnsi="Wingdings" w:hint="default"/>
      </w:rPr>
    </w:lvl>
    <w:lvl w:ilvl="6" w:tplc="18090001" w:tentative="1">
      <w:start w:val="1"/>
      <w:numFmt w:val="bullet"/>
      <w:lvlText w:val=""/>
      <w:lvlJc w:val="left"/>
      <w:pPr>
        <w:ind w:left="4986" w:hanging="360"/>
      </w:pPr>
      <w:rPr>
        <w:rFonts w:ascii="Symbol" w:hAnsi="Symbol" w:hint="default"/>
      </w:rPr>
    </w:lvl>
    <w:lvl w:ilvl="7" w:tplc="18090003" w:tentative="1">
      <w:start w:val="1"/>
      <w:numFmt w:val="bullet"/>
      <w:lvlText w:val="o"/>
      <w:lvlJc w:val="left"/>
      <w:pPr>
        <w:ind w:left="5706" w:hanging="360"/>
      </w:pPr>
      <w:rPr>
        <w:rFonts w:ascii="Courier New" w:hAnsi="Courier New" w:hint="default"/>
      </w:rPr>
    </w:lvl>
    <w:lvl w:ilvl="8" w:tplc="18090005" w:tentative="1">
      <w:start w:val="1"/>
      <w:numFmt w:val="bullet"/>
      <w:lvlText w:val=""/>
      <w:lvlJc w:val="left"/>
      <w:pPr>
        <w:ind w:left="6426" w:hanging="360"/>
      </w:pPr>
      <w:rPr>
        <w:rFonts w:ascii="Wingdings" w:hAnsi="Wingdings" w:hint="default"/>
      </w:rPr>
    </w:lvl>
  </w:abstractNum>
  <w:abstractNum w:abstractNumId="13">
    <w:nsid w:val="1EB708F1"/>
    <w:multiLevelType w:val="hybridMultilevel"/>
    <w:tmpl w:val="5FA25F50"/>
    <w:lvl w:ilvl="0" w:tplc="C02045C6">
      <w:start w:val="1"/>
      <w:numFmt w:val="decimal"/>
      <w:lvlText w:val="%1."/>
      <w:lvlJc w:val="left"/>
      <w:pPr>
        <w:ind w:left="360" w:hanging="360"/>
      </w:pPr>
    </w:lvl>
    <w:lvl w:ilvl="1" w:tplc="41BAFB24">
      <w:start w:val="1"/>
      <w:numFmt w:val="lowerLetter"/>
      <w:lvlText w:val="%2."/>
      <w:lvlJc w:val="left"/>
      <w:pPr>
        <w:ind w:left="1440" w:hanging="360"/>
      </w:pPr>
    </w:lvl>
    <w:lvl w:ilvl="2" w:tplc="195637E8" w:tentative="1">
      <w:start w:val="1"/>
      <w:numFmt w:val="lowerRoman"/>
      <w:lvlText w:val="%3."/>
      <w:lvlJc w:val="right"/>
      <w:pPr>
        <w:ind w:left="2160" w:hanging="180"/>
      </w:pPr>
    </w:lvl>
    <w:lvl w:ilvl="3" w:tplc="1144C328" w:tentative="1">
      <w:start w:val="1"/>
      <w:numFmt w:val="decimal"/>
      <w:lvlText w:val="%4."/>
      <w:lvlJc w:val="left"/>
      <w:pPr>
        <w:ind w:left="2880" w:hanging="360"/>
      </w:pPr>
    </w:lvl>
    <w:lvl w:ilvl="4" w:tplc="72D60124" w:tentative="1">
      <w:start w:val="1"/>
      <w:numFmt w:val="lowerLetter"/>
      <w:lvlText w:val="%5."/>
      <w:lvlJc w:val="left"/>
      <w:pPr>
        <w:ind w:left="3600" w:hanging="360"/>
      </w:pPr>
    </w:lvl>
    <w:lvl w:ilvl="5" w:tplc="FC76DD70" w:tentative="1">
      <w:start w:val="1"/>
      <w:numFmt w:val="lowerRoman"/>
      <w:lvlText w:val="%6."/>
      <w:lvlJc w:val="right"/>
      <w:pPr>
        <w:ind w:left="4320" w:hanging="180"/>
      </w:pPr>
    </w:lvl>
    <w:lvl w:ilvl="6" w:tplc="CA606E2C" w:tentative="1">
      <w:start w:val="1"/>
      <w:numFmt w:val="decimal"/>
      <w:lvlText w:val="%7."/>
      <w:lvlJc w:val="left"/>
      <w:pPr>
        <w:ind w:left="5040" w:hanging="360"/>
      </w:pPr>
    </w:lvl>
    <w:lvl w:ilvl="7" w:tplc="FE62B1FC" w:tentative="1">
      <w:start w:val="1"/>
      <w:numFmt w:val="lowerLetter"/>
      <w:lvlText w:val="%8."/>
      <w:lvlJc w:val="left"/>
      <w:pPr>
        <w:ind w:left="5760" w:hanging="360"/>
      </w:pPr>
    </w:lvl>
    <w:lvl w:ilvl="8" w:tplc="9A44BE6A" w:tentative="1">
      <w:start w:val="1"/>
      <w:numFmt w:val="lowerRoman"/>
      <w:lvlText w:val="%9."/>
      <w:lvlJc w:val="right"/>
      <w:pPr>
        <w:ind w:left="6480" w:hanging="180"/>
      </w:pPr>
    </w:lvl>
  </w:abstractNum>
  <w:abstractNum w:abstractNumId="14">
    <w:nsid w:val="209B2080"/>
    <w:multiLevelType w:val="hybridMultilevel"/>
    <w:tmpl w:val="EBC69174"/>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7">
    <w:nsid w:val="2C143DB0"/>
    <w:multiLevelType w:val="hybridMultilevel"/>
    <w:tmpl w:val="5CA46A7A"/>
    <w:lvl w:ilvl="0" w:tplc="1809000F">
      <w:start w:val="5"/>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18">
    <w:nsid w:val="316C2B44"/>
    <w:multiLevelType w:val="hybridMultilevel"/>
    <w:tmpl w:val="8D043A98"/>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4E75113"/>
    <w:multiLevelType w:val="hybridMultilevel"/>
    <w:tmpl w:val="B692A90A"/>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0">
    <w:nsid w:val="34E87096"/>
    <w:multiLevelType w:val="hybridMultilevel"/>
    <w:tmpl w:val="D5665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6A8030D"/>
    <w:multiLevelType w:val="hybridMultilevel"/>
    <w:tmpl w:val="5E72C5D4"/>
    <w:lvl w:ilvl="0" w:tplc="735876A0">
      <w:start w:val="1"/>
      <w:numFmt w:val="bullet"/>
      <w:lvlText w:val="-"/>
      <w:lvlJc w:val="left"/>
      <w:pPr>
        <w:ind w:left="720" w:hanging="360"/>
      </w:pPr>
      <w:rPr>
        <w:rFonts w:ascii="Calibri" w:eastAsia="Times New Roman" w:hAnsi="Calibri"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3">
    <w:nsid w:val="38570EFA"/>
    <w:multiLevelType w:val="hybridMultilevel"/>
    <w:tmpl w:val="524E11E4"/>
    <w:lvl w:ilvl="0" w:tplc="255A67C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3D4E0B76"/>
    <w:multiLevelType w:val="hybridMultilevel"/>
    <w:tmpl w:val="D7D6AC64"/>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5">
    <w:nsid w:val="421C79EB"/>
    <w:multiLevelType w:val="multilevel"/>
    <w:tmpl w:val="141AA7E6"/>
    <w:lvl w:ilvl="0">
      <w:start w:val="8"/>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F.%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nsid w:val="42A61F5A"/>
    <w:multiLevelType w:val="hybridMultilevel"/>
    <w:tmpl w:val="524E11E4"/>
    <w:lvl w:ilvl="0" w:tplc="255A67C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4AB83A1C"/>
    <w:multiLevelType w:val="hybridMultilevel"/>
    <w:tmpl w:val="88CC7C86"/>
    <w:lvl w:ilvl="0" w:tplc="D30E5EA0">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395B31"/>
    <w:multiLevelType w:val="hybridMultilevel"/>
    <w:tmpl w:val="649E6F48"/>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9">
    <w:nsid w:val="4D9814E2"/>
    <w:multiLevelType w:val="hybridMultilevel"/>
    <w:tmpl w:val="0D2EFC12"/>
    <w:lvl w:ilvl="0" w:tplc="C37610F4">
      <w:start w:val="1"/>
      <w:numFmt w:val="bullet"/>
      <w:lvlText w:val=""/>
      <w:lvlJc w:val="left"/>
      <w:pPr>
        <w:ind w:left="1080" w:hanging="360"/>
      </w:pPr>
      <w:rPr>
        <w:rFonts w:ascii="Symbol" w:hAnsi="Symbol" w:hint="default"/>
      </w:rPr>
    </w:lvl>
    <w:lvl w:ilvl="1" w:tplc="E4D6A07A">
      <w:start w:val="1"/>
      <w:numFmt w:val="bullet"/>
      <w:lvlText w:val="o"/>
      <w:lvlJc w:val="left"/>
      <w:pPr>
        <w:ind w:left="1800" w:hanging="360"/>
      </w:pPr>
      <w:rPr>
        <w:rFonts w:ascii="Courier New" w:hAnsi="Courier New" w:hint="default"/>
      </w:rPr>
    </w:lvl>
    <w:lvl w:ilvl="2" w:tplc="0E0A0F3A" w:tentative="1">
      <w:start w:val="1"/>
      <w:numFmt w:val="bullet"/>
      <w:lvlText w:val=""/>
      <w:lvlJc w:val="left"/>
      <w:pPr>
        <w:ind w:left="2520" w:hanging="360"/>
      </w:pPr>
      <w:rPr>
        <w:rFonts w:ascii="Wingdings" w:hAnsi="Wingdings" w:hint="default"/>
      </w:rPr>
    </w:lvl>
    <w:lvl w:ilvl="3" w:tplc="71240F90" w:tentative="1">
      <w:start w:val="1"/>
      <w:numFmt w:val="bullet"/>
      <w:lvlText w:val=""/>
      <w:lvlJc w:val="left"/>
      <w:pPr>
        <w:ind w:left="3240" w:hanging="360"/>
      </w:pPr>
      <w:rPr>
        <w:rFonts w:ascii="Symbol" w:hAnsi="Symbol" w:hint="default"/>
      </w:rPr>
    </w:lvl>
    <w:lvl w:ilvl="4" w:tplc="45EC00EC" w:tentative="1">
      <w:start w:val="1"/>
      <w:numFmt w:val="bullet"/>
      <w:lvlText w:val="o"/>
      <w:lvlJc w:val="left"/>
      <w:pPr>
        <w:ind w:left="3960" w:hanging="360"/>
      </w:pPr>
      <w:rPr>
        <w:rFonts w:ascii="Courier New" w:hAnsi="Courier New" w:hint="default"/>
      </w:rPr>
    </w:lvl>
    <w:lvl w:ilvl="5" w:tplc="DB5CF3F0" w:tentative="1">
      <w:start w:val="1"/>
      <w:numFmt w:val="bullet"/>
      <w:lvlText w:val=""/>
      <w:lvlJc w:val="left"/>
      <w:pPr>
        <w:ind w:left="4680" w:hanging="360"/>
      </w:pPr>
      <w:rPr>
        <w:rFonts w:ascii="Wingdings" w:hAnsi="Wingdings" w:hint="default"/>
      </w:rPr>
    </w:lvl>
    <w:lvl w:ilvl="6" w:tplc="EE98CA7E" w:tentative="1">
      <w:start w:val="1"/>
      <w:numFmt w:val="bullet"/>
      <w:lvlText w:val=""/>
      <w:lvlJc w:val="left"/>
      <w:pPr>
        <w:ind w:left="5400" w:hanging="360"/>
      </w:pPr>
      <w:rPr>
        <w:rFonts w:ascii="Symbol" w:hAnsi="Symbol" w:hint="default"/>
      </w:rPr>
    </w:lvl>
    <w:lvl w:ilvl="7" w:tplc="E8C2EDA0" w:tentative="1">
      <w:start w:val="1"/>
      <w:numFmt w:val="bullet"/>
      <w:lvlText w:val="o"/>
      <w:lvlJc w:val="left"/>
      <w:pPr>
        <w:ind w:left="6120" w:hanging="360"/>
      </w:pPr>
      <w:rPr>
        <w:rFonts w:ascii="Courier New" w:hAnsi="Courier New" w:hint="default"/>
      </w:rPr>
    </w:lvl>
    <w:lvl w:ilvl="8" w:tplc="CD08287A" w:tentative="1">
      <w:start w:val="1"/>
      <w:numFmt w:val="bullet"/>
      <w:lvlText w:val=""/>
      <w:lvlJc w:val="left"/>
      <w:pPr>
        <w:ind w:left="6840" w:hanging="360"/>
      </w:pPr>
      <w:rPr>
        <w:rFonts w:ascii="Wingdings" w:hAnsi="Wingdings" w:hint="default"/>
      </w:rPr>
    </w:lvl>
  </w:abstractNum>
  <w:abstractNum w:abstractNumId="30">
    <w:nsid w:val="53A069DE"/>
    <w:multiLevelType w:val="hybridMultilevel"/>
    <w:tmpl w:val="CB2CEEE8"/>
    <w:lvl w:ilvl="0" w:tplc="255A67C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6F704BC"/>
    <w:multiLevelType w:val="hybridMultilevel"/>
    <w:tmpl w:val="C45E0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83250C2"/>
    <w:multiLevelType w:val="hybridMultilevel"/>
    <w:tmpl w:val="694AD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C19696E"/>
    <w:multiLevelType w:val="hybridMultilevel"/>
    <w:tmpl w:val="BDDAF966"/>
    <w:lvl w:ilvl="0" w:tplc="E2D2172A">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nsid w:val="5CC64F76"/>
    <w:multiLevelType w:val="hybridMultilevel"/>
    <w:tmpl w:val="35F0A074"/>
    <w:lvl w:ilvl="0" w:tplc="18090001">
      <w:start w:val="1"/>
      <w:numFmt w:val="decimal"/>
      <w:lvlText w:val="%1."/>
      <w:lvlJc w:val="left"/>
      <w:pPr>
        <w:tabs>
          <w:tab w:val="num" w:pos="720"/>
        </w:tabs>
        <w:ind w:left="720" w:hanging="360"/>
      </w:pPr>
    </w:lvl>
    <w:lvl w:ilvl="1" w:tplc="18090003" w:tentative="1">
      <w:start w:val="1"/>
      <w:numFmt w:val="lowerLetter"/>
      <w:lvlText w:val="%2."/>
      <w:lvlJc w:val="left"/>
      <w:pPr>
        <w:tabs>
          <w:tab w:val="num" w:pos="1440"/>
        </w:tabs>
        <w:ind w:left="1440" w:hanging="360"/>
      </w:pPr>
    </w:lvl>
    <w:lvl w:ilvl="2" w:tplc="18090005" w:tentative="1">
      <w:start w:val="1"/>
      <w:numFmt w:val="lowerRoman"/>
      <w:lvlText w:val="%3."/>
      <w:lvlJc w:val="right"/>
      <w:pPr>
        <w:tabs>
          <w:tab w:val="num" w:pos="2160"/>
        </w:tabs>
        <w:ind w:left="2160" w:hanging="180"/>
      </w:pPr>
    </w:lvl>
    <w:lvl w:ilvl="3" w:tplc="18090001" w:tentative="1">
      <w:start w:val="1"/>
      <w:numFmt w:val="decimal"/>
      <w:lvlText w:val="%4."/>
      <w:lvlJc w:val="left"/>
      <w:pPr>
        <w:tabs>
          <w:tab w:val="num" w:pos="2880"/>
        </w:tabs>
        <w:ind w:left="2880" w:hanging="360"/>
      </w:pPr>
    </w:lvl>
    <w:lvl w:ilvl="4" w:tplc="18090003" w:tentative="1">
      <w:start w:val="1"/>
      <w:numFmt w:val="lowerLetter"/>
      <w:lvlText w:val="%5."/>
      <w:lvlJc w:val="left"/>
      <w:pPr>
        <w:tabs>
          <w:tab w:val="num" w:pos="3600"/>
        </w:tabs>
        <w:ind w:left="3600" w:hanging="360"/>
      </w:pPr>
    </w:lvl>
    <w:lvl w:ilvl="5" w:tplc="18090005" w:tentative="1">
      <w:start w:val="1"/>
      <w:numFmt w:val="lowerRoman"/>
      <w:lvlText w:val="%6."/>
      <w:lvlJc w:val="right"/>
      <w:pPr>
        <w:tabs>
          <w:tab w:val="num" w:pos="4320"/>
        </w:tabs>
        <w:ind w:left="4320" w:hanging="180"/>
      </w:pPr>
    </w:lvl>
    <w:lvl w:ilvl="6" w:tplc="18090001" w:tentative="1">
      <w:start w:val="1"/>
      <w:numFmt w:val="decimal"/>
      <w:lvlText w:val="%7."/>
      <w:lvlJc w:val="left"/>
      <w:pPr>
        <w:tabs>
          <w:tab w:val="num" w:pos="5040"/>
        </w:tabs>
        <w:ind w:left="5040" w:hanging="360"/>
      </w:pPr>
    </w:lvl>
    <w:lvl w:ilvl="7" w:tplc="18090003" w:tentative="1">
      <w:start w:val="1"/>
      <w:numFmt w:val="lowerLetter"/>
      <w:lvlText w:val="%8."/>
      <w:lvlJc w:val="left"/>
      <w:pPr>
        <w:tabs>
          <w:tab w:val="num" w:pos="5760"/>
        </w:tabs>
        <w:ind w:left="5760" w:hanging="360"/>
      </w:pPr>
    </w:lvl>
    <w:lvl w:ilvl="8" w:tplc="18090005" w:tentative="1">
      <w:start w:val="1"/>
      <w:numFmt w:val="lowerRoman"/>
      <w:lvlText w:val="%9."/>
      <w:lvlJc w:val="right"/>
      <w:pPr>
        <w:tabs>
          <w:tab w:val="num" w:pos="6480"/>
        </w:tabs>
        <w:ind w:left="6480" w:hanging="180"/>
      </w:pPr>
    </w:lvl>
  </w:abstractNum>
  <w:abstractNum w:abstractNumId="35">
    <w:nsid w:val="62C31675"/>
    <w:multiLevelType w:val="hybridMultilevel"/>
    <w:tmpl w:val="B692A90A"/>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6">
    <w:nsid w:val="62E0658A"/>
    <w:multiLevelType w:val="hybridMultilevel"/>
    <w:tmpl w:val="3AA435BE"/>
    <w:lvl w:ilvl="0" w:tplc="E2D2172A">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08090019">
      <w:start w:val="1"/>
      <w:numFmt w:val="bullet"/>
      <w:lvlText w:val="o"/>
      <w:lvlJc w:val="left"/>
      <w:pPr>
        <w:tabs>
          <w:tab w:val="num" w:pos="1725"/>
        </w:tabs>
        <w:ind w:left="1725" w:hanging="360"/>
      </w:pPr>
      <w:rPr>
        <w:rFonts w:ascii="Courier New" w:hAnsi="Courier New" w:hint="default"/>
      </w:rPr>
    </w:lvl>
    <w:lvl w:ilvl="2" w:tplc="0809001B">
      <w:start w:val="1"/>
      <w:numFmt w:val="bullet"/>
      <w:lvlText w:val=""/>
      <w:lvlJc w:val="left"/>
      <w:pPr>
        <w:tabs>
          <w:tab w:val="num" w:pos="2445"/>
        </w:tabs>
        <w:ind w:left="2445" w:hanging="360"/>
      </w:pPr>
      <w:rPr>
        <w:rFonts w:ascii="Wingdings" w:hAnsi="Wingdings" w:hint="default"/>
      </w:rPr>
    </w:lvl>
    <w:lvl w:ilvl="3" w:tplc="0809000F">
      <w:start w:val="1"/>
      <w:numFmt w:val="decimal"/>
      <w:lvlText w:val="%4."/>
      <w:lvlJc w:val="left"/>
      <w:pPr>
        <w:tabs>
          <w:tab w:val="num" w:pos="3645"/>
        </w:tabs>
        <w:ind w:left="3645" w:hanging="840"/>
      </w:pPr>
      <w:rPr>
        <w:rFonts w:cs="Times New Roman" w:hint="default"/>
      </w:rPr>
    </w:lvl>
    <w:lvl w:ilvl="4" w:tplc="08090019" w:tentative="1">
      <w:start w:val="1"/>
      <w:numFmt w:val="bullet"/>
      <w:lvlText w:val="o"/>
      <w:lvlJc w:val="left"/>
      <w:pPr>
        <w:tabs>
          <w:tab w:val="num" w:pos="3885"/>
        </w:tabs>
        <w:ind w:left="3885" w:hanging="360"/>
      </w:pPr>
      <w:rPr>
        <w:rFonts w:ascii="Courier New" w:hAnsi="Courier New" w:hint="default"/>
      </w:rPr>
    </w:lvl>
    <w:lvl w:ilvl="5" w:tplc="0809001B" w:tentative="1">
      <w:start w:val="1"/>
      <w:numFmt w:val="bullet"/>
      <w:lvlText w:val=""/>
      <w:lvlJc w:val="left"/>
      <w:pPr>
        <w:tabs>
          <w:tab w:val="num" w:pos="4605"/>
        </w:tabs>
        <w:ind w:left="4605" w:hanging="360"/>
      </w:pPr>
      <w:rPr>
        <w:rFonts w:ascii="Wingdings" w:hAnsi="Wingdings" w:hint="default"/>
      </w:rPr>
    </w:lvl>
    <w:lvl w:ilvl="6" w:tplc="0809000F" w:tentative="1">
      <w:start w:val="1"/>
      <w:numFmt w:val="bullet"/>
      <w:lvlText w:val=""/>
      <w:lvlJc w:val="left"/>
      <w:pPr>
        <w:tabs>
          <w:tab w:val="num" w:pos="5325"/>
        </w:tabs>
        <w:ind w:left="5325" w:hanging="360"/>
      </w:pPr>
      <w:rPr>
        <w:rFonts w:ascii="Symbol" w:hAnsi="Symbol" w:hint="default"/>
      </w:rPr>
    </w:lvl>
    <w:lvl w:ilvl="7" w:tplc="08090019" w:tentative="1">
      <w:start w:val="1"/>
      <w:numFmt w:val="bullet"/>
      <w:lvlText w:val="o"/>
      <w:lvlJc w:val="left"/>
      <w:pPr>
        <w:tabs>
          <w:tab w:val="num" w:pos="6045"/>
        </w:tabs>
        <w:ind w:left="6045" w:hanging="360"/>
      </w:pPr>
      <w:rPr>
        <w:rFonts w:ascii="Courier New" w:hAnsi="Courier New" w:hint="default"/>
      </w:rPr>
    </w:lvl>
    <w:lvl w:ilvl="8" w:tplc="0809001B" w:tentative="1">
      <w:start w:val="1"/>
      <w:numFmt w:val="bullet"/>
      <w:lvlText w:val=""/>
      <w:lvlJc w:val="left"/>
      <w:pPr>
        <w:tabs>
          <w:tab w:val="num" w:pos="6765"/>
        </w:tabs>
        <w:ind w:left="6765" w:hanging="360"/>
      </w:pPr>
      <w:rPr>
        <w:rFonts w:ascii="Wingdings" w:hAnsi="Wingdings" w:hint="default"/>
      </w:rPr>
    </w:lvl>
  </w:abstractNum>
  <w:abstractNum w:abstractNumId="37">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38">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39">
    <w:nsid w:val="73D61803"/>
    <w:multiLevelType w:val="hybridMultilevel"/>
    <w:tmpl w:val="E72E839A"/>
    <w:lvl w:ilvl="0" w:tplc="D67C0850">
      <w:start w:val="1"/>
      <w:numFmt w:val="bullet"/>
      <w:lvlText w:val=""/>
      <w:lvlJc w:val="left"/>
      <w:pPr>
        <w:ind w:left="720" w:hanging="360"/>
      </w:pPr>
      <w:rPr>
        <w:rFonts w:ascii="Symbol" w:hAnsi="Symbol" w:hint="default"/>
      </w:rPr>
    </w:lvl>
    <w:lvl w:ilvl="1" w:tplc="2E444F42" w:tentative="1">
      <w:start w:val="1"/>
      <w:numFmt w:val="bullet"/>
      <w:lvlText w:val="o"/>
      <w:lvlJc w:val="left"/>
      <w:pPr>
        <w:ind w:left="1440" w:hanging="360"/>
      </w:pPr>
      <w:rPr>
        <w:rFonts w:ascii="Courier New" w:hAnsi="Courier New" w:hint="default"/>
      </w:rPr>
    </w:lvl>
    <w:lvl w:ilvl="2" w:tplc="ED3EE922" w:tentative="1">
      <w:start w:val="1"/>
      <w:numFmt w:val="bullet"/>
      <w:lvlText w:val=""/>
      <w:lvlJc w:val="left"/>
      <w:pPr>
        <w:ind w:left="2160" w:hanging="360"/>
      </w:pPr>
      <w:rPr>
        <w:rFonts w:ascii="Wingdings" w:hAnsi="Wingdings" w:hint="default"/>
      </w:rPr>
    </w:lvl>
    <w:lvl w:ilvl="3" w:tplc="72268654" w:tentative="1">
      <w:start w:val="1"/>
      <w:numFmt w:val="bullet"/>
      <w:lvlText w:val=""/>
      <w:lvlJc w:val="left"/>
      <w:pPr>
        <w:ind w:left="2880" w:hanging="360"/>
      </w:pPr>
      <w:rPr>
        <w:rFonts w:ascii="Symbol" w:hAnsi="Symbol" w:hint="default"/>
      </w:rPr>
    </w:lvl>
    <w:lvl w:ilvl="4" w:tplc="EB362B68" w:tentative="1">
      <w:start w:val="1"/>
      <w:numFmt w:val="bullet"/>
      <w:lvlText w:val="o"/>
      <w:lvlJc w:val="left"/>
      <w:pPr>
        <w:ind w:left="3600" w:hanging="360"/>
      </w:pPr>
      <w:rPr>
        <w:rFonts w:ascii="Courier New" w:hAnsi="Courier New" w:hint="default"/>
      </w:rPr>
    </w:lvl>
    <w:lvl w:ilvl="5" w:tplc="853A8738" w:tentative="1">
      <w:start w:val="1"/>
      <w:numFmt w:val="bullet"/>
      <w:lvlText w:val=""/>
      <w:lvlJc w:val="left"/>
      <w:pPr>
        <w:ind w:left="4320" w:hanging="360"/>
      </w:pPr>
      <w:rPr>
        <w:rFonts w:ascii="Wingdings" w:hAnsi="Wingdings" w:hint="default"/>
      </w:rPr>
    </w:lvl>
    <w:lvl w:ilvl="6" w:tplc="F4561128" w:tentative="1">
      <w:start w:val="1"/>
      <w:numFmt w:val="bullet"/>
      <w:lvlText w:val=""/>
      <w:lvlJc w:val="left"/>
      <w:pPr>
        <w:ind w:left="5040" w:hanging="360"/>
      </w:pPr>
      <w:rPr>
        <w:rFonts w:ascii="Symbol" w:hAnsi="Symbol" w:hint="default"/>
      </w:rPr>
    </w:lvl>
    <w:lvl w:ilvl="7" w:tplc="91B65D50" w:tentative="1">
      <w:start w:val="1"/>
      <w:numFmt w:val="bullet"/>
      <w:lvlText w:val="o"/>
      <w:lvlJc w:val="left"/>
      <w:pPr>
        <w:ind w:left="5760" w:hanging="360"/>
      </w:pPr>
      <w:rPr>
        <w:rFonts w:ascii="Courier New" w:hAnsi="Courier New" w:hint="default"/>
      </w:rPr>
    </w:lvl>
    <w:lvl w:ilvl="8" w:tplc="55981ADE" w:tentative="1">
      <w:start w:val="1"/>
      <w:numFmt w:val="bullet"/>
      <w:lvlText w:val=""/>
      <w:lvlJc w:val="left"/>
      <w:pPr>
        <w:ind w:left="6480" w:hanging="360"/>
      </w:pPr>
      <w:rPr>
        <w:rFonts w:ascii="Wingdings" w:hAnsi="Wingdings" w:hint="default"/>
      </w:rPr>
    </w:lvl>
  </w:abstractNum>
  <w:abstractNum w:abstractNumId="40">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7771721D"/>
    <w:multiLevelType w:val="hybridMultilevel"/>
    <w:tmpl w:val="5B4C0298"/>
    <w:lvl w:ilvl="0" w:tplc="BC28C792">
      <w:start w:val="1"/>
      <w:numFmt w:val="lowerLetter"/>
      <w:lvlText w:val="(%1)"/>
      <w:lvlJc w:val="left"/>
      <w:pPr>
        <w:ind w:left="720" w:hanging="360"/>
      </w:pPr>
      <w:rPr>
        <w:rFonts w:cs="Times New Roman" w:hint="default"/>
      </w:rPr>
    </w:lvl>
    <w:lvl w:ilvl="1" w:tplc="CAFE18E4" w:tentative="1">
      <w:start w:val="1"/>
      <w:numFmt w:val="lowerLetter"/>
      <w:lvlText w:val="%2."/>
      <w:lvlJc w:val="left"/>
      <w:pPr>
        <w:ind w:left="1440" w:hanging="360"/>
      </w:pPr>
      <w:rPr>
        <w:rFonts w:cs="Times New Roman"/>
      </w:rPr>
    </w:lvl>
    <w:lvl w:ilvl="2" w:tplc="35964C64" w:tentative="1">
      <w:start w:val="1"/>
      <w:numFmt w:val="lowerRoman"/>
      <w:lvlText w:val="%3."/>
      <w:lvlJc w:val="right"/>
      <w:pPr>
        <w:ind w:left="2160" w:hanging="180"/>
      </w:pPr>
      <w:rPr>
        <w:rFonts w:cs="Times New Roman"/>
      </w:rPr>
    </w:lvl>
    <w:lvl w:ilvl="3" w:tplc="2DE63C2C" w:tentative="1">
      <w:start w:val="1"/>
      <w:numFmt w:val="decimal"/>
      <w:lvlText w:val="%4."/>
      <w:lvlJc w:val="left"/>
      <w:pPr>
        <w:ind w:left="2880" w:hanging="360"/>
      </w:pPr>
      <w:rPr>
        <w:rFonts w:cs="Times New Roman"/>
      </w:rPr>
    </w:lvl>
    <w:lvl w:ilvl="4" w:tplc="F01853FC" w:tentative="1">
      <w:start w:val="1"/>
      <w:numFmt w:val="lowerLetter"/>
      <w:lvlText w:val="%5."/>
      <w:lvlJc w:val="left"/>
      <w:pPr>
        <w:ind w:left="3600" w:hanging="360"/>
      </w:pPr>
      <w:rPr>
        <w:rFonts w:cs="Times New Roman"/>
      </w:rPr>
    </w:lvl>
    <w:lvl w:ilvl="5" w:tplc="3AB250FE" w:tentative="1">
      <w:start w:val="1"/>
      <w:numFmt w:val="lowerRoman"/>
      <w:lvlText w:val="%6."/>
      <w:lvlJc w:val="right"/>
      <w:pPr>
        <w:ind w:left="4320" w:hanging="180"/>
      </w:pPr>
      <w:rPr>
        <w:rFonts w:cs="Times New Roman"/>
      </w:rPr>
    </w:lvl>
    <w:lvl w:ilvl="6" w:tplc="95429704" w:tentative="1">
      <w:start w:val="1"/>
      <w:numFmt w:val="decimal"/>
      <w:lvlText w:val="%7."/>
      <w:lvlJc w:val="left"/>
      <w:pPr>
        <w:ind w:left="5040" w:hanging="360"/>
      </w:pPr>
      <w:rPr>
        <w:rFonts w:cs="Times New Roman"/>
      </w:rPr>
    </w:lvl>
    <w:lvl w:ilvl="7" w:tplc="1E447C84" w:tentative="1">
      <w:start w:val="1"/>
      <w:numFmt w:val="lowerLetter"/>
      <w:lvlText w:val="%8."/>
      <w:lvlJc w:val="left"/>
      <w:pPr>
        <w:ind w:left="5760" w:hanging="360"/>
      </w:pPr>
      <w:rPr>
        <w:rFonts w:cs="Times New Roman"/>
      </w:rPr>
    </w:lvl>
    <w:lvl w:ilvl="8" w:tplc="5C5CB6EC" w:tentative="1">
      <w:start w:val="1"/>
      <w:numFmt w:val="lowerRoman"/>
      <w:lvlText w:val="%9."/>
      <w:lvlJc w:val="right"/>
      <w:pPr>
        <w:ind w:left="6480" w:hanging="180"/>
      </w:pPr>
      <w:rPr>
        <w:rFonts w:cs="Times New Roman"/>
      </w:rPr>
    </w:lvl>
  </w:abstractNum>
  <w:abstractNum w:abstractNumId="42">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2"/>
  </w:num>
  <w:num w:numId="2">
    <w:abstractNumId w:val="38"/>
  </w:num>
  <w:num w:numId="3">
    <w:abstractNumId w:val="6"/>
  </w:num>
  <w:num w:numId="4">
    <w:abstractNumId w:val="22"/>
  </w:num>
  <w:num w:numId="5">
    <w:abstractNumId w:val="16"/>
  </w:num>
  <w:num w:numId="6">
    <w:abstractNumId w:val="11"/>
  </w:num>
  <w:num w:numId="7">
    <w:abstractNumId w:val="37"/>
  </w:num>
  <w:num w:numId="8">
    <w:abstractNumId w:val="40"/>
  </w:num>
  <w:num w:numId="9">
    <w:abstractNumId w:val="33"/>
  </w:num>
  <w:num w:numId="10">
    <w:abstractNumId w:val="36"/>
  </w:num>
  <w:num w:numId="11">
    <w:abstractNumId w:val="13"/>
  </w:num>
  <w:num w:numId="12">
    <w:abstractNumId w:val="30"/>
  </w:num>
  <w:num w:numId="13">
    <w:abstractNumId w:val="15"/>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1"/>
  </w:num>
  <w:num w:numId="19">
    <w:abstractNumId w:val="10"/>
  </w:num>
  <w:num w:numId="20">
    <w:abstractNumId w:val="4"/>
  </w:num>
  <w:num w:numId="21">
    <w:abstractNumId w:val="24"/>
  </w:num>
  <w:num w:numId="22">
    <w:abstractNumId w:val="26"/>
  </w:num>
  <w:num w:numId="23">
    <w:abstractNumId w:val="8"/>
  </w:num>
  <w:num w:numId="24">
    <w:abstractNumId w:val="35"/>
  </w:num>
  <w:num w:numId="25">
    <w:abstractNumId w:val="39"/>
  </w:num>
  <w:num w:numId="26">
    <w:abstractNumId w:val="41"/>
  </w:num>
  <w:num w:numId="27">
    <w:abstractNumId w:val="29"/>
  </w:num>
  <w:num w:numId="28">
    <w:abstractNumId w:val="28"/>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4"/>
  </w:num>
  <w:num w:numId="32">
    <w:abstractNumId w:val="18"/>
  </w:num>
  <w:num w:numId="33">
    <w:abstractNumId w:val="7"/>
  </w:num>
  <w:num w:numId="34">
    <w:abstractNumId w:val="17"/>
  </w:num>
  <w:num w:numId="35">
    <w:abstractNumId w:val="23"/>
  </w:num>
  <w:num w:numId="36">
    <w:abstractNumId w:val="19"/>
  </w:num>
  <w:num w:numId="37">
    <w:abstractNumId w:val="12"/>
  </w:num>
  <w:num w:numId="38">
    <w:abstractNumId w:val="25"/>
    <w:lvlOverride w:ilvl="0">
      <w:lvl w:ilvl="0">
        <w:start w:val="8"/>
        <w:numFmt w:val="upperLetter"/>
        <w:suff w:val="space"/>
        <w:lvlText w:val="%1."/>
        <w:lvlJc w:val="left"/>
        <w:pPr>
          <w:ind w:left="851" w:hanging="851"/>
        </w:pPr>
        <w:rPr>
          <w:rFonts w:cs="Times New Roman" w:hint="default"/>
          <w:b/>
          <w:i w:val="0"/>
          <w:sz w:val="28"/>
        </w:rPr>
      </w:lvl>
    </w:lvlOverride>
    <w:lvlOverride w:ilvl="1">
      <w:lvl w:ilvl="1">
        <w:start w:val="1"/>
        <w:numFmt w:val="decimal"/>
        <w:lvlText w:val="%1.%2"/>
        <w:lvlJc w:val="left"/>
        <w:pPr>
          <w:ind w:left="992" w:hanging="992"/>
        </w:pPr>
        <w:rPr>
          <w:rFonts w:cs="Times New Roman" w:hint="default"/>
          <w:b/>
          <w:i w:val="0"/>
          <w:sz w:val="24"/>
        </w:rPr>
      </w:lvl>
    </w:lvlOverride>
    <w:lvlOverride w:ilvl="2">
      <w:lvl w:ilvl="2">
        <w:start w:val="1"/>
        <w:numFmt w:val="decimal"/>
        <w:lvlText w:val="%1.%2.%3"/>
        <w:lvlJc w:val="left"/>
        <w:pPr>
          <w:ind w:left="992" w:hanging="992"/>
        </w:pPr>
        <w:rPr>
          <w:rFonts w:cs="Times New Roman" w:hint="default"/>
          <w:b w:val="0"/>
          <w:i w:val="0"/>
          <w:sz w:val="22"/>
        </w:rPr>
      </w:lvl>
    </w:lvlOverride>
    <w:lvlOverride w:ilvl="3">
      <w:lvl w:ilvl="3">
        <w:start w:val="1"/>
        <w:numFmt w:val="decimal"/>
        <w:lvlText w:val="%1.%2.%3.%4"/>
        <w:lvlJc w:val="left"/>
        <w:pPr>
          <w:ind w:left="992" w:hanging="992"/>
        </w:pPr>
        <w:rPr>
          <w:rFonts w:cs="Times New Roman" w:hint="default"/>
        </w:rPr>
      </w:lvl>
    </w:lvlOverride>
    <w:lvlOverride w:ilvl="4">
      <w:lvl w:ilvl="4">
        <w:start w:val="1"/>
        <w:numFmt w:val="lowerLetter"/>
        <w:lvlText w:val="(%5)"/>
        <w:lvlJc w:val="left"/>
        <w:pPr>
          <w:ind w:left="1701" w:hanging="709"/>
        </w:pPr>
        <w:rPr>
          <w:rFonts w:ascii="Arial" w:hAnsi="Arial" w:cs="Arial" w:hint="default"/>
          <w:i w:val="0"/>
        </w:rPr>
      </w:lvl>
    </w:lvlOverride>
    <w:lvlOverride w:ilvl="5">
      <w:lvl w:ilvl="5">
        <w:start w:val="1"/>
        <w:numFmt w:val="lowerRoman"/>
        <w:lvlText w:val="(%6)"/>
        <w:lvlJc w:val="left"/>
        <w:pPr>
          <w:ind w:left="2410" w:hanging="709"/>
        </w:pPr>
        <w:rPr>
          <w:rFonts w:cs="Times New Roman" w:hint="default"/>
        </w:rPr>
      </w:lvl>
    </w:lvlOverride>
    <w:lvlOverride w:ilvl="6">
      <w:lvl w:ilvl="6">
        <w:start w:val="1"/>
        <w:numFmt w:val="upperLetter"/>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9">
    <w:abstractNumId w:val="25"/>
  </w:num>
  <w:num w:numId="40">
    <w:abstractNumId w:val="5"/>
  </w:num>
  <w:num w:numId="41">
    <w:abstractNumId w:val="27"/>
  </w:num>
  <w:num w:numId="42">
    <w:abstractNumId w:val="21"/>
  </w:num>
  <w:num w:numId="43">
    <w:abstractNumId w:val="25"/>
    <w:lvlOverride w:ilvl="0">
      <w:startOverride w:val="8"/>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20"/>
  </w:num>
  <w:num w:numId="46">
    <w:abstractNumId w:val="31"/>
  </w:num>
  <w:num w:numId="47">
    <w:abstractNumId w:val="25"/>
    <w:lvlOverride w:ilvl="0">
      <w:startOverride w:val="6"/>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1"/>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3840"/>
    <w:rsid w:val="000167CC"/>
    <w:rsid w:val="0001752F"/>
    <w:rsid w:val="000201F8"/>
    <w:rsid w:val="00020354"/>
    <w:rsid w:val="00020432"/>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205"/>
    <w:rsid w:val="000379A8"/>
    <w:rsid w:val="00037B31"/>
    <w:rsid w:val="000401DA"/>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27D0"/>
    <w:rsid w:val="00084822"/>
    <w:rsid w:val="0008521A"/>
    <w:rsid w:val="000857C2"/>
    <w:rsid w:val="00086704"/>
    <w:rsid w:val="00086C33"/>
    <w:rsid w:val="0009007D"/>
    <w:rsid w:val="0009082B"/>
    <w:rsid w:val="000912D2"/>
    <w:rsid w:val="000916D0"/>
    <w:rsid w:val="00093981"/>
    <w:rsid w:val="00094469"/>
    <w:rsid w:val="00094614"/>
    <w:rsid w:val="00094680"/>
    <w:rsid w:val="000954A5"/>
    <w:rsid w:val="00095CA4"/>
    <w:rsid w:val="0009753A"/>
    <w:rsid w:val="0009763E"/>
    <w:rsid w:val="000A124B"/>
    <w:rsid w:val="000A159C"/>
    <w:rsid w:val="000A1C41"/>
    <w:rsid w:val="000A21F3"/>
    <w:rsid w:val="000A2392"/>
    <w:rsid w:val="000A28AE"/>
    <w:rsid w:val="000A2C21"/>
    <w:rsid w:val="000A35F4"/>
    <w:rsid w:val="000A3EB8"/>
    <w:rsid w:val="000A3F91"/>
    <w:rsid w:val="000A431C"/>
    <w:rsid w:val="000A45C6"/>
    <w:rsid w:val="000B0285"/>
    <w:rsid w:val="000B0CFE"/>
    <w:rsid w:val="000B1852"/>
    <w:rsid w:val="000B1F52"/>
    <w:rsid w:val="000B23F3"/>
    <w:rsid w:val="000B2F63"/>
    <w:rsid w:val="000B4C11"/>
    <w:rsid w:val="000B4E16"/>
    <w:rsid w:val="000B641B"/>
    <w:rsid w:val="000B798B"/>
    <w:rsid w:val="000C1C26"/>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2860"/>
    <w:rsid w:val="000E329B"/>
    <w:rsid w:val="000E3B8E"/>
    <w:rsid w:val="000E3E4A"/>
    <w:rsid w:val="000E43C3"/>
    <w:rsid w:val="000E58AE"/>
    <w:rsid w:val="000E5DB9"/>
    <w:rsid w:val="000E6767"/>
    <w:rsid w:val="000E728D"/>
    <w:rsid w:val="000E74F7"/>
    <w:rsid w:val="000E7752"/>
    <w:rsid w:val="000F0C91"/>
    <w:rsid w:val="000F13A0"/>
    <w:rsid w:val="000F18AE"/>
    <w:rsid w:val="000F1B48"/>
    <w:rsid w:val="000F1D45"/>
    <w:rsid w:val="000F24C9"/>
    <w:rsid w:val="000F280D"/>
    <w:rsid w:val="000F30E6"/>
    <w:rsid w:val="000F3695"/>
    <w:rsid w:val="000F3FEC"/>
    <w:rsid w:val="000F450C"/>
    <w:rsid w:val="000F4727"/>
    <w:rsid w:val="000F4B56"/>
    <w:rsid w:val="000F4DEC"/>
    <w:rsid w:val="000F5008"/>
    <w:rsid w:val="000F54BB"/>
    <w:rsid w:val="000F614D"/>
    <w:rsid w:val="000F66ED"/>
    <w:rsid w:val="000F6C50"/>
    <w:rsid w:val="000F70A2"/>
    <w:rsid w:val="000F7E37"/>
    <w:rsid w:val="00100450"/>
    <w:rsid w:val="001006B1"/>
    <w:rsid w:val="00103360"/>
    <w:rsid w:val="00105085"/>
    <w:rsid w:val="001062A9"/>
    <w:rsid w:val="00107319"/>
    <w:rsid w:val="00107F70"/>
    <w:rsid w:val="001110D8"/>
    <w:rsid w:val="00112C26"/>
    <w:rsid w:val="00112E1D"/>
    <w:rsid w:val="0011365B"/>
    <w:rsid w:val="00114BEF"/>
    <w:rsid w:val="00114D44"/>
    <w:rsid w:val="00115111"/>
    <w:rsid w:val="001165D9"/>
    <w:rsid w:val="00117D2D"/>
    <w:rsid w:val="00120315"/>
    <w:rsid w:val="0012038D"/>
    <w:rsid w:val="0012088C"/>
    <w:rsid w:val="00120A0A"/>
    <w:rsid w:val="00120CBF"/>
    <w:rsid w:val="00122537"/>
    <w:rsid w:val="001235FF"/>
    <w:rsid w:val="0012376A"/>
    <w:rsid w:val="00123D01"/>
    <w:rsid w:val="00123EC6"/>
    <w:rsid w:val="0012638E"/>
    <w:rsid w:val="00126E09"/>
    <w:rsid w:val="00130E65"/>
    <w:rsid w:val="00131097"/>
    <w:rsid w:val="001313DF"/>
    <w:rsid w:val="00131E0A"/>
    <w:rsid w:val="00132649"/>
    <w:rsid w:val="0013460C"/>
    <w:rsid w:val="001348DC"/>
    <w:rsid w:val="00135581"/>
    <w:rsid w:val="001357A9"/>
    <w:rsid w:val="00135A1E"/>
    <w:rsid w:val="0013652C"/>
    <w:rsid w:val="00136E21"/>
    <w:rsid w:val="0014003B"/>
    <w:rsid w:val="00140925"/>
    <w:rsid w:val="001411C3"/>
    <w:rsid w:val="00142FFA"/>
    <w:rsid w:val="00143006"/>
    <w:rsid w:val="001430DF"/>
    <w:rsid w:val="00143B3E"/>
    <w:rsid w:val="00143F2C"/>
    <w:rsid w:val="00144238"/>
    <w:rsid w:val="00144A17"/>
    <w:rsid w:val="00144AFB"/>
    <w:rsid w:val="00145A77"/>
    <w:rsid w:val="00145F27"/>
    <w:rsid w:val="00145FB5"/>
    <w:rsid w:val="0014627B"/>
    <w:rsid w:val="001464AE"/>
    <w:rsid w:val="0014701D"/>
    <w:rsid w:val="00147168"/>
    <w:rsid w:val="0015130F"/>
    <w:rsid w:val="00151CA1"/>
    <w:rsid w:val="00151D65"/>
    <w:rsid w:val="00154372"/>
    <w:rsid w:val="00154A47"/>
    <w:rsid w:val="00154BF8"/>
    <w:rsid w:val="00155DD7"/>
    <w:rsid w:val="0015638F"/>
    <w:rsid w:val="0015659C"/>
    <w:rsid w:val="00156C60"/>
    <w:rsid w:val="00156F0C"/>
    <w:rsid w:val="001576AD"/>
    <w:rsid w:val="00160692"/>
    <w:rsid w:val="00160A78"/>
    <w:rsid w:val="00163207"/>
    <w:rsid w:val="00163233"/>
    <w:rsid w:val="00164A96"/>
    <w:rsid w:val="00164D4C"/>
    <w:rsid w:val="00166231"/>
    <w:rsid w:val="00167426"/>
    <w:rsid w:val="0017007D"/>
    <w:rsid w:val="0017082C"/>
    <w:rsid w:val="001708E5"/>
    <w:rsid w:val="00170C1B"/>
    <w:rsid w:val="0017138D"/>
    <w:rsid w:val="0017140D"/>
    <w:rsid w:val="0017277A"/>
    <w:rsid w:val="00172931"/>
    <w:rsid w:val="00172B62"/>
    <w:rsid w:val="00173583"/>
    <w:rsid w:val="00174532"/>
    <w:rsid w:val="001768DD"/>
    <w:rsid w:val="001769C8"/>
    <w:rsid w:val="00176BC7"/>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D47"/>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90D"/>
    <w:rsid w:val="001E6E16"/>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671"/>
    <w:rsid w:val="002001C2"/>
    <w:rsid w:val="00200ADB"/>
    <w:rsid w:val="00200D98"/>
    <w:rsid w:val="00201C55"/>
    <w:rsid w:val="00202026"/>
    <w:rsid w:val="00202152"/>
    <w:rsid w:val="002034B4"/>
    <w:rsid w:val="00205C7D"/>
    <w:rsid w:val="00206200"/>
    <w:rsid w:val="00206403"/>
    <w:rsid w:val="00206C3F"/>
    <w:rsid w:val="00210FD5"/>
    <w:rsid w:val="0021220C"/>
    <w:rsid w:val="00212DA5"/>
    <w:rsid w:val="00212F93"/>
    <w:rsid w:val="00213452"/>
    <w:rsid w:val="002142FA"/>
    <w:rsid w:val="00214FA9"/>
    <w:rsid w:val="002157B9"/>
    <w:rsid w:val="002158D1"/>
    <w:rsid w:val="0021604F"/>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338E"/>
    <w:rsid w:val="00233B52"/>
    <w:rsid w:val="00235FCC"/>
    <w:rsid w:val="002366E6"/>
    <w:rsid w:val="00236AD9"/>
    <w:rsid w:val="00237BE6"/>
    <w:rsid w:val="00240042"/>
    <w:rsid w:val="00240453"/>
    <w:rsid w:val="00240DE3"/>
    <w:rsid w:val="002427BC"/>
    <w:rsid w:val="00242C91"/>
    <w:rsid w:val="00243B42"/>
    <w:rsid w:val="00243B45"/>
    <w:rsid w:val="00243CA9"/>
    <w:rsid w:val="00245727"/>
    <w:rsid w:val="00245AEC"/>
    <w:rsid w:val="00245CA3"/>
    <w:rsid w:val="00245F2C"/>
    <w:rsid w:val="00246AD9"/>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666FA"/>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0FE4"/>
    <w:rsid w:val="00291252"/>
    <w:rsid w:val="002921FE"/>
    <w:rsid w:val="00292D60"/>
    <w:rsid w:val="002932F7"/>
    <w:rsid w:val="00293904"/>
    <w:rsid w:val="00293CF2"/>
    <w:rsid w:val="002943B8"/>
    <w:rsid w:val="00294489"/>
    <w:rsid w:val="00294581"/>
    <w:rsid w:val="0029551D"/>
    <w:rsid w:val="002968CB"/>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042A"/>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1586"/>
    <w:rsid w:val="002C245D"/>
    <w:rsid w:val="002C2503"/>
    <w:rsid w:val="002C28C2"/>
    <w:rsid w:val="002C2B3E"/>
    <w:rsid w:val="002C2D99"/>
    <w:rsid w:val="002C32A8"/>
    <w:rsid w:val="002C3C0D"/>
    <w:rsid w:val="002C4458"/>
    <w:rsid w:val="002C4A84"/>
    <w:rsid w:val="002C4AAC"/>
    <w:rsid w:val="002C591E"/>
    <w:rsid w:val="002C5A74"/>
    <w:rsid w:val="002C5E39"/>
    <w:rsid w:val="002C60BC"/>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7CA"/>
    <w:rsid w:val="002F2D09"/>
    <w:rsid w:val="002F34E7"/>
    <w:rsid w:val="002F35E6"/>
    <w:rsid w:val="002F3BBC"/>
    <w:rsid w:val="002F3E49"/>
    <w:rsid w:val="002F56CE"/>
    <w:rsid w:val="002F5AE5"/>
    <w:rsid w:val="002F5C39"/>
    <w:rsid w:val="002F5D26"/>
    <w:rsid w:val="002F684C"/>
    <w:rsid w:val="003002A5"/>
    <w:rsid w:val="003003BA"/>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219B"/>
    <w:rsid w:val="0032310C"/>
    <w:rsid w:val="0032493F"/>
    <w:rsid w:val="00326D02"/>
    <w:rsid w:val="003272B4"/>
    <w:rsid w:val="00327527"/>
    <w:rsid w:val="00331C2E"/>
    <w:rsid w:val="00331D03"/>
    <w:rsid w:val="00331E3E"/>
    <w:rsid w:val="003327C0"/>
    <w:rsid w:val="003331F6"/>
    <w:rsid w:val="00333404"/>
    <w:rsid w:val="003334A4"/>
    <w:rsid w:val="00333758"/>
    <w:rsid w:val="00333BDF"/>
    <w:rsid w:val="00334346"/>
    <w:rsid w:val="00335A99"/>
    <w:rsid w:val="00336C02"/>
    <w:rsid w:val="00336C28"/>
    <w:rsid w:val="0033749F"/>
    <w:rsid w:val="00337934"/>
    <w:rsid w:val="00340B46"/>
    <w:rsid w:val="00342432"/>
    <w:rsid w:val="00342A85"/>
    <w:rsid w:val="00344436"/>
    <w:rsid w:val="0035334C"/>
    <w:rsid w:val="00353A7D"/>
    <w:rsid w:val="00353F87"/>
    <w:rsid w:val="00355B3A"/>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DAE"/>
    <w:rsid w:val="00373ED8"/>
    <w:rsid w:val="00376748"/>
    <w:rsid w:val="00376C85"/>
    <w:rsid w:val="00376FFE"/>
    <w:rsid w:val="0037712E"/>
    <w:rsid w:val="00377F17"/>
    <w:rsid w:val="003800CE"/>
    <w:rsid w:val="003807E5"/>
    <w:rsid w:val="00381C15"/>
    <w:rsid w:val="00382A39"/>
    <w:rsid w:val="00383408"/>
    <w:rsid w:val="003837F9"/>
    <w:rsid w:val="003871E1"/>
    <w:rsid w:val="0038740C"/>
    <w:rsid w:val="003874DB"/>
    <w:rsid w:val="00390435"/>
    <w:rsid w:val="00390783"/>
    <w:rsid w:val="00390889"/>
    <w:rsid w:val="00390DC0"/>
    <w:rsid w:val="0039426D"/>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098"/>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4675"/>
    <w:rsid w:val="003C58A6"/>
    <w:rsid w:val="003C64F3"/>
    <w:rsid w:val="003C6C1B"/>
    <w:rsid w:val="003C73E0"/>
    <w:rsid w:val="003C7E13"/>
    <w:rsid w:val="003D1476"/>
    <w:rsid w:val="003D3087"/>
    <w:rsid w:val="003D3BF9"/>
    <w:rsid w:val="003D3D96"/>
    <w:rsid w:val="003D6592"/>
    <w:rsid w:val="003D65C3"/>
    <w:rsid w:val="003D6912"/>
    <w:rsid w:val="003E01B1"/>
    <w:rsid w:val="003E5BA2"/>
    <w:rsid w:val="003E5C37"/>
    <w:rsid w:val="003E701F"/>
    <w:rsid w:val="003E7949"/>
    <w:rsid w:val="003E79FF"/>
    <w:rsid w:val="003E7F8C"/>
    <w:rsid w:val="003F18FD"/>
    <w:rsid w:val="003F2C2C"/>
    <w:rsid w:val="003F2F5D"/>
    <w:rsid w:val="003F33C2"/>
    <w:rsid w:val="003F46AF"/>
    <w:rsid w:val="003F4BC4"/>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D40"/>
    <w:rsid w:val="00403EF1"/>
    <w:rsid w:val="0040413F"/>
    <w:rsid w:val="00404DAA"/>
    <w:rsid w:val="0040501D"/>
    <w:rsid w:val="0040533A"/>
    <w:rsid w:val="0040555F"/>
    <w:rsid w:val="004059F6"/>
    <w:rsid w:val="004108CA"/>
    <w:rsid w:val="00411D34"/>
    <w:rsid w:val="00412C4E"/>
    <w:rsid w:val="00412DEB"/>
    <w:rsid w:val="0041328B"/>
    <w:rsid w:val="004135E9"/>
    <w:rsid w:val="004136B1"/>
    <w:rsid w:val="0041401B"/>
    <w:rsid w:val="00414060"/>
    <w:rsid w:val="0041440D"/>
    <w:rsid w:val="00414D16"/>
    <w:rsid w:val="00415633"/>
    <w:rsid w:val="004158FD"/>
    <w:rsid w:val="00415E36"/>
    <w:rsid w:val="00415FD7"/>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513A"/>
    <w:rsid w:val="00435BAF"/>
    <w:rsid w:val="004366E4"/>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48A1"/>
    <w:rsid w:val="004661F9"/>
    <w:rsid w:val="004705E5"/>
    <w:rsid w:val="0047074A"/>
    <w:rsid w:val="00470C94"/>
    <w:rsid w:val="00470E2E"/>
    <w:rsid w:val="0047182A"/>
    <w:rsid w:val="004721B4"/>
    <w:rsid w:val="004746A9"/>
    <w:rsid w:val="00475150"/>
    <w:rsid w:val="00475542"/>
    <w:rsid w:val="004758FB"/>
    <w:rsid w:val="00475F53"/>
    <w:rsid w:val="004768F1"/>
    <w:rsid w:val="0047719D"/>
    <w:rsid w:val="00477D3E"/>
    <w:rsid w:val="004801BF"/>
    <w:rsid w:val="004802DF"/>
    <w:rsid w:val="004806C2"/>
    <w:rsid w:val="00480B1E"/>
    <w:rsid w:val="00480FA2"/>
    <w:rsid w:val="00481398"/>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017"/>
    <w:rsid w:val="004A782D"/>
    <w:rsid w:val="004B18A3"/>
    <w:rsid w:val="004B2E64"/>
    <w:rsid w:val="004B31B0"/>
    <w:rsid w:val="004B3BF5"/>
    <w:rsid w:val="004B68B9"/>
    <w:rsid w:val="004B74AD"/>
    <w:rsid w:val="004B7530"/>
    <w:rsid w:val="004C04A7"/>
    <w:rsid w:val="004C074C"/>
    <w:rsid w:val="004C0862"/>
    <w:rsid w:val="004C090B"/>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0B14"/>
    <w:rsid w:val="004E18FA"/>
    <w:rsid w:val="004E21DD"/>
    <w:rsid w:val="004E2C33"/>
    <w:rsid w:val="004E37C7"/>
    <w:rsid w:val="004E4EF6"/>
    <w:rsid w:val="004E5308"/>
    <w:rsid w:val="004E54B3"/>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49B0"/>
    <w:rsid w:val="004F585B"/>
    <w:rsid w:val="004F6590"/>
    <w:rsid w:val="00500E02"/>
    <w:rsid w:val="00500E58"/>
    <w:rsid w:val="005011C8"/>
    <w:rsid w:val="005014EF"/>
    <w:rsid w:val="00502591"/>
    <w:rsid w:val="00502AB1"/>
    <w:rsid w:val="00502D74"/>
    <w:rsid w:val="00503681"/>
    <w:rsid w:val="005037A8"/>
    <w:rsid w:val="00504AB3"/>
    <w:rsid w:val="00505925"/>
    <w:rsid w:val="005060D2"/>
    <w:rsid w:val="005072FC"/>
    <w:rsid w:val="00507ADC"/>
    <w:rsid w:val="005102EF"/>
    <w:rsid w:val="005103B7"/>
    <w:rsid w:val="0051102C"/>
    <w:rsid w:val="005112C1"/>
    <w:rsid w:val="00511493"/>
    <w:rsid w:val="005114D5"/>
    <w:rsid w:val="00511E23"/>
    <w:rsid w:val="0051234A"/>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29F5"/>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B5B"/>
    <w:rsid w:val="00546C88"/>
    <w:rsid w:val="00547C44"/>
    <w:rsid w:val="00550716"/>
    <w:rsid w:val="005510BB"/>
    <w:rsid w:val="00551E5D"/>
    <w:rsid w:val="00552D4D"/>
    <w:rsid w:val="00554856"/>
    <w:rsid w:val="00554EB0"/>
    <w:rsid w:val="00554FA6"/>
    <w:rsid w:val="0055646C"/>
    <w:rsid w:val="005566C2"/>
    <w:rsid w:val="005567E6"/>
    <w:rsid w:val="005567ED"/>
    <w:rsid w:val="005569FD"/>
    <w:rsid w:val="00556AD3"/>
    <w:rsid w:val="00556B2C"/>
    <w:rsid w:val="0055712F"/>
    <w:rsid w:val="00557A2E"/>
    <w:rsid w:val="00560EDE"/>
    <w:rsid w:val="005614FE"/>
    <w:rsid w:val="00561E1E"/>
    <w:rsid w:val="005639E3"/>
    <w:rsid w:val="00563A0E"/>
    <w:rsid w:val="00564418"/>
    <w:rsid w:val="005645BB"/>
    <w:rsid w:val="00564D58"/>
    <w:rsid w:val="005650BA"/>
    <w:rsid w:val="005662C0"/>
    <w:rsid w:val="00567060"/>
    <w:rsid w:val="00567BA7"/>
    <w:rsid w:val="005713BC"/>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DCC"/>
    <w:rsid w:val="00583E47"/>
    <w:rsid w:val="00584188"/>
    <w:rsid w:val="0058424D"/>
    <w:rsid w:val="00584A7B"/>
    <w:rsid w:val="00585AC8"/>
    <w:rsid w:val="0058780A"/>
    <w:rsid w:val="005913E5"/>
    <w:rsid w:val="00592DD4"/>
    <w:rsid w:val="00592EC7"/>
    <w:rsid w:val="0059314A"/>
    <w:rsid w:val="00593D7F"/>
    <w:rsid w:val="00595256"/>
    <w:rsid w:val="00595A33"/>
    <w:rsid w:val="00596A9E"/>
    <w:rsid w:val="00596F65"/>
    <w:rsid w:val="00597E98"/>
    <w:rsid w:val="005A0BB7"/>
    <w:rsid w:val="005A1D7B"/>
    <w:rsid w:val="005A22A1"/>
    <w:rsid w:val="005A2B8C"/>
    <w:rsid w:val="005A3294"/>
    <w:rsid w:val="005A4668"/>
    <w:rsid w:val="005A4AA4"/>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263"/>
    <w:rsid w:val="005B73D4"/>
    <w:rsid w:val="005C046E"/>
    <w:rsid w:val="005C09C4"/>
    <w:rsid w:val="005C09C6"/>
    <w:rsid w:val="005C1FE9"/>
    <w:rsid w:val="005C23D6"/>
    <w:rsid w:val="005C3160"/>
    <w:rsid w:val="005C34C2"/>
    <w:rsid w:val="005C5077"/>
    <w:rsid w:val="005C5088"/>
    <w:rsid w:val="005C656B"/>
    <w:rsid w:val="005C6F60"/>
    <w:rsid w:val="005C7197"/>
    <w:rsid w:val="005C779D"/>
    <w:rsid w:val="005D034B"/>
    <w:rsid w:val="005D0750"/>
    <w:rsid w:val="005D1455"/>
    <w:rsid w:val="005D1DF7"/>
    <w:rsid w:val="005D1E54"/>
    <w:rsid w:val="005D2392"/>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5B0F"/>
    <w:rsid w:val="005E69E4"/>
    <w:rsid w:val="005E6E10"/>
    <w:rsid w:val="005E6E6F"/>
    <w:rsid w:val="005E7032"/>
    <w:rsid w:val="005E795F"/>
    <w:rsid w:val="005F11B2"/>
    <w:rsid w:val="005F1383"/>
    <w:rsid w:val="005F1A55"/>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6B8B"/>
    <w:rsid w:val="00637B21"/>
    <w:rsid w:val="00640C77"/>
    <w:rsid w:val="0064301F"/>
    <w:rsid w:val="00643E25"/>
    <w:rsid w:val="00645540"/>
    <w:rsid w:val="00645D38"/>
    <w:rsid w:val="00646026"/>
    <w:rsid w:val="0064672A"/>
    <w:rsid w:val="00651EA3"/>
    <w:rsid w:val="006521D3"/>
    <w:rsid w:val="00652342"/>
    <w:rsid w:val="006525E9"/>
    <w:rsid w:val="006528C1"/>
    <w:rsid w:val="00653EDE"/>
    <w:rsid w:val="00654CE6"/>
    <w:rsid w:val="0065589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4934"/>
    <w:rsid w:val="00675052"/>
    <w:rsid w:val="0067580B"/>
    <w:rsid w:val="00675A82"/>
    <w:rsid w:val="00675DED"/>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A6F75"/>
    <w:rsid w:val="006B25E3"/>
    <w:rsid w:val="006B33AA"/>
    <w:rsid w:val="006B4684"/>
    <w:rsid w:val="006B48D4"/>
    <w:rsid w:val="006B4938"/>
    <w:rsid w:val="006B4B61"/>
    <w:rsid w:val="006B51DE"/>
    <w:rsid w:val="006B5511"/>
    <w:rsid w:val="006B5673"/>
    <w:rsid w:val="006B6E18"/>
    <w:rsid w:val="006B75EB"/>
    <w:rsid w:val="006B7FC3"/>
    <w:rsid w:val="006C0AB2"/>
    <w:rsid w:val="006C0DFA"/>
    <w:rsid w:val="006C1066"/>
    <w:rsid w:val="006C21D0"/>
    <w:rsid w:val="006C2EDB"/>
    <w:rsid w:val="006C377F"/>
    <w:rsid w:val="006C4587"/>
    <w:rsid w:val="006C4774"/>
    <w:rsid w:val="006C4806"/>
    <w:rsid w:val="006C49DF"/>
    <w:rsid w:val="006C5D45"/>
    <w:rsid w:val="006C60D8"/>
    <w:rsid w:val="006C6576"/>
    <w:rsid w:val="006D022A"/>
    <w:rsid w:val="006D0FEF"/>
    <w:rsid w:val="006D1CDF"/>
    <w:rsid w:val="006D2765"/>
    <w:rsid w:val="006D5839"/>
    <w:rsid w:val="006D7481"/>
    <w:rsid w:val="006E1893"/>
    <w:rsid w:val="006E41D5"/>
    <w:rsid w:val="006E4724"/>
    <w:rsid w:val="006E5944"/>
    <w:rsid w:val="006E642A"/>
    <w:rsid w:val="006E6FAB"/>
    <w:rsid w:val="006E7640"/>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6A7"/>
    <w:rsid w:val="00702A02"/>
    <w:rsid w:val="007031F1"/>
    <w:rsid w:val="00703354"/>
    <w:rsid w:val="00703A33"/>
    <w:rsid w:val="0070478B"/>
    <w:rsid w:val="007047C1"/>
    <w:rsid w:val="007049D8"/>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17E30"/>
    <w:rsid w:val="00720DFC"/>
    <w:rsid w:val="00720F8E"/>
    <w:rsid w:val="0072112C"/>
    <w:rsid w:val="007213D1"/>
    <w:rsid w:val="0072191C"/>
    <w:rsid w:val="007226A0"/>
    <w:rsid w:val="007244C3"/>
    <w:rsid w:val="007247FE"/>
    <w:rsid w:val="00725A73"/>
    <w:rsid w:val="00726191"/>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612C"/>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57D8D"/>
    <w:rsid w:val="00760B88"/>
    <w:rsid w:val="0076157A"/>
    <w:rsid w:val="007626F9"/>
    <w:rsid w:val="00762A12"/>
    <w:rsid w:val="00762CC7"/>
    <w:rsid w:val="007632CA"/>
    <w:rsid w:val="00763607"/>
    <w:rsid w:val="007638B7"/>
    <w:rsid w:val="00764462"/>
    <w:rsid w:val="007654DA"/>
    <w:rsid w:val="00765717"/>
    <w:rsid w:val="00765E8A"/>
    <w:rsid w:val="007671BB"/>
    <w:rsid w:val="0077028D"/>
    <w:rsid w:val="00770D64"/>
    <w:rsid w:val="00770D82"/>
    <w:rsid w:val="007714CC"/>
    <w:rsid w:val="007724A4"/>
    <w:rsid w:val="007726B7"/>
    <w:rsid w:val="00772F30"/>
    <w:rsid w:val="0077334E"/>
    <w:rsid w:val="00773352"/>
    <w:rsid w:val="0077363A"/>
    <w:rsid w:val="007738E3"/>
    <w:rsid w:val="0077436D"/>
    <w:rsid w:val="007746C5"/>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5B0E"/>
    <w:rsid w:val="0079623E"/>
    <w:rsid w:val="007974D1"/>
    <w:rsid w:val="00797834"/>
    <w:rsid w:val="007A02E1"/>
    <w:rsid w:val="007A035A"/>
    <w:rsid w:val="007A2D53"/>
    <w:rsid w:val="007A2E96"/>
    <w:rsid w:val="007A3EA7"/>
    <w:rsid w:val="007A5DB9"/>
    <w:rsid w:val="007A60F1"/>
    <w:rsid w:val="007A6999"/>
    <w:rsid w:val="007B0630"/>
    <w:rsid w:val="007B0D35"/>
    <w:rsid w:val="007B0E30"/>
    <w:rsid w:val="007B137F"/>
    <w:rsid w:val="007B1394"/>
    <w:rsid w:val="007B1DF2"/>
    <w:rsid w:val="007B1F40"/>
    <w:rsid w:val="007B235B"/>
    <w:rsid w:val="007B26E5"/>
    <w:rsid w:val="007B470B"/>
    <w:rsid w:val="007B498C"/>
    <w:rsid w:val="007B4EC3"/>
    <w:rsid w:val="007B540A"/>
    <w:rsid w:val="007B56BA"/>
    <w:rsid w:val="007B579F"/>
    <w:rsid w:val="007B58AB"/>
    <w:rsid w:val="007B69BF"/>
    <w:rsid w:val="007B7EBC"/>
    <w:rsid w:val="007C0305"/>
    <w:rsid w:val="007C03A4"/>
    <w:rsid w:val="007C0D8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1C6D"/>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110"/>
    <w:rsid w:val="00800BAF"/>
    <w:rsid w:val="00800CF7"/>
    <w:rsid w:val="00801B9E"/>
    <w:rsid w:val="00801C2C"/>
    <w:rsid w:val="00802505"/>
    <w:rsid w:val="00802F22"/>
    <w:rsid w:val="00803532"/>
    <w:rsid w:val="0080698D"/>
    <w:rsid w:val="00807C65"/>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22E5C"/>
    <w:rsid w:val="0082641B"/>
    <w:rsid w:val="00826E8D"/>
    <w:rsid w:val="008301FA"/>
    <w:rsid w:val="00830F6C"/>
    <w:rsid w:val="00831061"/>
    <w:rsid w:val="00831437"/>
    <w:rsid w:val="008315F2"/>
    <w:rsid w:val="008331BE"/>
    <w:rsid w:val="008336A6"/>
    <w:rsid w:val="00833BE5"/>
    <w:rsid w:val="008341C7"/>
    <w:rsid w:val="00834FB0"/>
    <w:rsid w:val="0083673C"/>
    <w:rsid w:val="00836D4C"/>
    <w:rsid w:val="008372E1"/>
    <w:rsid w:val="0084129C"/>
    <w:rsid w:val="00841849"/>
    <w:rsid w:val="00841AFF"/>
    <w:rsid w:val="00842806"/>
    <w:rsid w:val="00843D80"/>
    <w:rsid w:val="0084453F"/>
    <w:rsid w:val="008458D9"/>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2242"/>
    <w:rsid w:val="0087353B"/>
    <w:rsid w:val="008735ED"/>
    <w:rsid w:val="00873FF8"/>
    <w:rsid w:val="00874D1B"/>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97AE7"/>
    <w:rsid w:val="008A02D7"/>
    <w:rsid w:val="008A175F"/>
    <w:rsid w:val="008A1E35"/>
    <w:rsid w:val="008A28FE"/>
    <w:rsid w:val="008A2C48"/>
    <w:rsid w:val="008A32DC"/>
    <w:rsid w:val="008A33A3"/>
    <w:rsid w:val="008A33E0"/>
    <w:rsid w:val="008A4DC2"/>
    <w:rsid w:val="008A4DE5"/>
    <w:rsid w:val="008A4EEE"/>
    <w:rsid w:val="008A5428"/>
    <w:rsid w:val="008A57E1"/>
    <w:rsid w:val="008A5B42"/>
    <w:rsid w:val="008A753C"/>
    <w:rsid w:val="008A7D00"/>
    <w:rsid w:val="008B00CF"/>
    <w:rsid w:val="008B0974"/>
    <w:rsid w:val="008B0F1B"/>
    <w:rsid w:val="008B134C"/>
    <w:rsid w:val="008B1863"/>
    <w:rsid w:val="008B217E"/>
    <w:rsid w:val="008B273A"/>
    <w:rsid w:val="008B2AC5"/>
    <w:rsid w:val="008B4394"/>
    <w:rsid w:val="008B49B6"/>
    <w:rsid w:val="008B4B6D"/>
    <w:rsid w:val="008B4E46"/>
    <w:rsid w:val="008B5E0E"/>
    <w:rsid w:val="008B5E69"/>
    <w:rsid w:val="008B720C"/>
    <w:rsid w:val="008B7B7E"/>
    <w:rsid w:val="008C2520"/>
    <w:rsid w:val="008C2671"/>
    <w:rsid w:val="008C2EF2"/>
    <w:rsid w:val="008C3056"/>
    <w:rsid w:val="008C3434"/>
    <w:rsid w:val="008C377F"/>
    <w:rsid w:val="008C480E"/>
    <w:rsid w:val="008C4D45"/>
    <w:rsid w:val="008C599B"/>
    <w:rsid w:val="008C5CBB"/>
    <w:rsid w:val="008C616C"/>
    <w:rsid w:val="008C6391"/>
    <w:rsid w:val="008D01B7"/>
    <w:rsid w:val="008D21DC"/>
    <w:rsid w:val="008D428C"/>
    <w:rsid w:val="008E0784"/>
    <w:rsid w:val="008E0BFA"/>
    <w:rsid w:val="008E174B"/>
    <w:rsid w:val="008E22DB"/>
    <w:rsid w:val="008E366E"/>
    <w:rsid w:val="008E3827"/>
    <w:rsid w:val="008E4D79"/>
    <w:rsid w:val="008E50FA"/>
    <w:rsid w:val="008E5110"/>
    <w:rsid w:val="008E5582"/>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5223"/>
    <w:rsid w:val="00905546"/>
    <w:rsid w:val="00906530"/>
    <w:rsid w:val="00906A7E"/>
    <w:rsid w:val="00910B8D"/>
    <w:rsid w:val="00911643"/>
    <w:rsid w:val="00912CDF"/>
    <w:rsid w:val="00912FE3"/>
    <w:rsid w:val="009133AE"/>
    <w:rsid w:val="00914B48"/>
    <w:rsid w:val="00916611"/>
    <w:rsid w:val="0091686C"/>
    <w:rsid w:val="0091717E"/>
    <w:rsid w:val="00917A00"/>
    <w:rsid w:val="00920528"/>
    <w:rsid w:val="009209CA"/>
    <w:rsid w:val="00920BF8"/>
    <w:rsid w:val="00920E1A"/>
    <w:rsid w:val="00922FC7"/>
    <w:rsid w:val="00925726"/>
    <w:rsid w:val="00927497"/>
    <w:rsid w:val="00927B02"/>
    <w:rsid w:val="009301C5"/>
    <w:rsid w:val="00931068"/>
    <w:rsid w:val="00931E61"/>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ED9"/>
    <w:rsid w:val="00951285"/>
    <w:rsid w:val="0095214B"/>
    <w:rsid w:val="0095279F"/>
    <w:rsid w:val="00952A57"/>
    <w:rsid w:val="009544F4"/>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4CEF"/>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295"/>
    <w:rsid w:val="009912EB"/>
    <w:rsid w:val="00991BD0"/>
    <w:rsid w:val="00991EF5"/>
    <w:rsid w:val="00992444"/>
    <w:rsid w:val="00992F13"/>
    <w:rsid w:val="0099304A"/>
    <w:rsid w:val="00993A27"/>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A56"/>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E63A9"/>
    <w:rsid w:val="009F039B"/>
    <w:rsid w:val="009F0862"/>
    <w:rsid w:val="009F170F"/>
    <w:rsid w:val="009F314C"/>
    <w:rsid w:val="009F3FA5"/>
    <w:rsid w:val="009F5E08"/>
    <w:rsid w:val="009F687C"/>
    <w:rsid w:val="009F70EB"/>
    <w:rsid w:val="009F7D09"/>
    <w:rsid w:val="00A000A7"/>
    <w:rsid w:val="00A00340"/>
    <w:rsid w:val="00A00A8B"/>
    <w:rsid w:val="00A01503"/>
    <w:rsid w:val="00A01A91"/>
    <w:rsid w:val="00A0231E"/>
    <w:rsid w:val="00A03816"/>
    <w:rsid w:val="00A03D0E"/>
    <w:rsid w:val="00A0462F"/>
    <w:rsid w:val="00A0529B"/>
    <w:rsid w:val="00A06B1D"/>
    <w:rsid w:val="00A07306"/>
    <w:rsid w:val="00A101FD"/>
    <w:rsid w:val="00A10B10"/>
    <w:rsid w:val="00A11032"/>
    <w:rsid w:val="00A11B34"/>
    <w:rsid w:val="00A1396F"/>
    <w:rsid w:val="00A140B1"/>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487C"/>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029"/>
    <w:rsid w:val="00A62748"/>
    <w:rsid w:val="00A62A54"/>
    <w:rsid w:val="00A633B7"/>
    <w:rsid w:val="00A63589"/>
    <w:rsid w:val="00A63B5A"/>
    <w:rsid w:val="00A65FBA"/>
    <w:rsid w:val="00A65FE8"/>
    <w:rsid w:val="00A66BB4"/>
    <w:rsid w:val="00A66FA9"/>
    <w:rsid w:val="00A6704E"/>
    <w:rsid w:val="00A67785"/>
    <w:rsid w:val="00A677C0"/>
    <w:rsid w:val="00A70AAB"/>
    <w:rsid w:val="00A70B51"/>
    <w:rsid w:val="00A7150F"/>
    <w:rsid w:val="00A7231B"/>
    <w:rsid w:val="00A72F31"/>
    <w:rsid w:val="00A73AE5"/>
    <w:rsid w:val="00A73CD5"/>
    <w:rsid w:val="00A7416C"/>
    <w:rsid w:val="00A743BE"/>
    <w:rsid w:val="00A7571B"/>
    <w:rsid w:val="00A7649A"/>
    <w:rsid w:val="00A80B44"/>
    <w:rsid w:val="00A814AE"/>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2F21"/>
    <w:rsid w:val="00AA5495"/>
    <w:rsid w:val="00AA5D89"/>
    <w:rsid w:val="00AA683C"/>
    <w:rsid w:val="00AA78E8"/>
    <w:rsid w:val="00AB3AD9"/>
    <w:rsid w:val="00AB44D0"/>
    <w:rsid w:val="00AB6F7F"/>
    <w:rsid w:val="00AB75F1"/>
    <w:rsid w:val="00AC050B"/>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E71"/>
    <w:rsid w:val="00AD60CD"/>
    <w:rsid w:val="00AD6AAC"/>
    <w:rsid w:val="00AD6ADC"/>
    <w:rsid w:val="00AD7387"/>
    <w:rsid w:val="00AE0A6F"/>
    <w:rsid w:val="00AE171D"/>
    <w:rsid w:val="00AE1891"/>
    <w:rsid w:val="00AE1989"/>
    <w:rsid w:val="00AE2CA9"/>
    <w:rsid w:val="00AE4C60"/>
    <w:rsid w:val="00AE7AC1"/>
    <w:rsid w:val="00AE7EFF"/>
    <w:rsid w:val="00AF2735"/>
    <w:rsid w:val="00AF346F"/>
    <w:rsid w:val="00AF3D2E"/>
    <w:rsid w:val="00AF3E41"/>
    <w:rsid w:val="00AF4179"/>
    <w:rsid w:val="00AF5761"/>
    <w:rsid w:val="00AF58F0"/>
    <w:rsid w:val="00AF6434"/>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175"/>
    <w:rsid w:val="00B10A0B"/>
    <w:rsid w:val="00B10F94"/>
    <w:rsid w:val="00B136FE"/>
    <w:rsid w:val="00B145F4"/>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19E"/>
    <w:rsid w:val="00B338F1"/>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5C"/>
    <w:rsid w:val="00B472BD"/>
    <w:rsid w:val="00B4753A"/>
    <w:rsid w:val="00B47BB3"/>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259"/>
    <w:rsid w:val="00B5775F"/>
    <w:rsid w:val="00B602BE"/>
    <w:rsid w:val="00B60E65"/>
    <w:rsid w:val="00B61260"/>
    <w:rsid w:val="00B6248E"/>
    <w:rsid w:val="00B6339E"/>
    <w:rsid w:val="00B63D19"/>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40BC"/>
    <w:rsid w:val="00B74531"/>
    <w:rsid w:val="00B745F9"/>
    <w:rsid w:val="00B74AB3"/>
    <w:rsid w:val="00B74D0A"/>
    <w:rsid w:val="00B74EB5"/>
    <w:rsid w:val="00B76133"/>
    <w:rsid w:val="00B76A00"/>
    <w:rsid w:val="00B76BBD"/>
    <w:rsid w:val="00B76C85"/>
    <w:rsid w:val="00B77C57"/>
    <w:rsid w:val="00B77E9C"/>
    <w:rsid w:val="00B80441"/>
    <w:rsid w:val="00B809DD"/>
    <w:rsid w:val="00B80C30"/>
    <w:rsid w:val="00B80DE6"/>
    <w:rsid w:val="00B8176C"/>
    <w:rsid w:val="00B8261D"/>
    <w:rsid w:val="00B828B0"/>
    <w:rsid w:val="00B82AEF"/>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1580"/>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0C4"/>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D7F8D"/>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766"/>
    <w:rsid w:val="00C019D7"/>
    <w:rsid w:val="00C01C85"/>
    <w:rsid w:val="00C02C23"/>
    <w:rsid w:val="00C02CEA"/>
    <w:rsid w:val="00C03A98"/>
    <w:rsid w:val="00C05AF8"/>
    <w:rsid w:val="00C05C07"/>
    <w:rsid w:val="00C05DA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20E3"/>
    <w:rsid w:val="00C232FD"/>
    <w:rsid w:val="00C23CB4"/>
    <w:rsid w:val="00C23FEC"/>
    <w:rsid w:val="00C2418D"/>
    <w:rsid w:val="00C2435E"/>
    <w:rsid w:val="00C27150"/>
    <w:rsid w:val="00C271BE"/>
    <w:rsid w:val="00C27305"/>
    <w:rsid w:val="00C27BAF"/>
    <w:rsid w:val="00C27CC0"/>
    <w:rsid w:val="00C3206E"/>
    <w:rsid w:val="00C32CED"/>
    <w:rsid w:val="00C33A1A"/>
    <w:rsid w:val="00C33F0C"/>
    <w:rsid w:val="00C34B28"/>
    <w:rsid w:val="00C34D5A"/>
    <w:rsid w:val="00C34D63"/>
    <w:rsid w:val="00C36473"/>
    <w:rsid w:val="00C3663A"/>
    <w:rsid w:val="00C37065"/>
    <w:rsid w:val="00C40425"/>
    <w:rsid w:val="00C40958"/>
    <w:rsid w:val="00C41138"/>
    <w:rsid w:val="00C41DC0"/>
    <w:rsid w:val="00C42B89"/>
    <w:rsid w:val="00C42CF5"/>
    <w:rsid w:val="00C43E52"/>
    <w:rsid w:val="00C4470B"/>
    <w:rsid w:val="00C454A7"/>
    <w:rsid w:val="00C46FCB"/>
    <w:rsid w:val="00C474DD"/>
    <w:rsid w:val="00C47F77"/>
    <w:rsid w:val="00C504E0"/>
    <w:rsid w:val="00C51B61"/>
    <w:rsid w:val="00C51E69"/>
    <w:rsid w:val="00C54081"/>
    <w:rsid w:val="00C54E63"/>
    <w:rsid w:val="00C552A8"/>
    <w:rsid w:val="00C5792E"/>
    <w:rsid w:val="00C57E0E"/>
    <w:rsid w:val="00C630CA"/>
    <w:rsid w:val="00C63F71"/>
    <w:rsid w:val="00C6590C"/>
    <w:rsid w:val="00C659A4"/>
    <w:rsid w:val="00C664E7"/>
    <w:rsid w:val="00C70DF0"/>
    <w:rsid w:val="00C72AB4"/>
    <w:rsid w:val="00C72BE3"/>
    <w:rsid w:val="00C739E5"/>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19C"/>
    <w:rsid w:val="00CA5720"/>
    <w:rsid w:val="00CA5D60"/>
    <w:rsid w:val="00CB071C"/>
    <w:rsid w:val="00CB09E1"/>
    <w:rsid w:val="00CB0CC4"/>
    <w:rsid w:val="00CB24DA"/>
    <w:rsid w:val="00CB2828"/>
    <w:rsid w:val="00CB2C4D"/>
    <w:rsid w:val="00CB2EB7"/>
    <w:rsid w:val="00CB2F85"/>
    <w:rsid w:val="00CB3E4D"/>
    <w:rsid w:val="00CB4580"/>
    <w:rsid w:val="00CB4C41"/>
    <w:rsid w:val="00CB515B"/>
    <w:rsid w:val="00CB620F"/>
    <w:rsid w:val="00CB66FB"/>
    <w:rsid w:val="00CB68A5"/>
    <w:rsid w:val="00CB7462"/>
    <w:rsid w:val="00CB7641"/>
    <w:rsid w:val="00CB7A1B"/>
    <w:rsid w:val="00CC05B7"/>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5C8"/>
    <w:rsid w:val="00CD48B2"/>
    <w:rsid w:val="00CD4AEE"/>
    <w:rsid w:val="00CD6A6D"/>
    <w:rsid w:val="00CD6E29"/>
    <w:rsid w:val="00CD766F"/>
    <w:rsid w:val="00CD7BCB"/>
    <w:rsid w:val="00CE0457"/>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35EE"/>
    <w:rsid w:val="00D03D53"/>
    <w:rsid w:val="00D0654A"/>
    <w:rsid w:val="00D0690F"/>
    <w:rsid w:val="00D06E70"/>
    <w:rsid w:val="00D07080"/>
    <w:rsid w:val="00D07C5F"/>
    <w:rsid w:val="00D07E38"/>
    <w:rsid w:val="00D118BA"/>
    <w:rsid w:val="00D12811"/>
    <w:rsid w:val="00D13E3B"/>
    <w:rsid w:val="00D1431D"/>
    <w:rsid w:val="00D1458D"/>
    <w:rsid w:val="00D15C84"/>
    <w:rsid w:val="00D1607F"/>
    <w:rsid w:val="00D1713A"/>
    <w:rsid w:val="00D171E5"/>
    <w:rsid w:val="00D17237"/>
    <w:rsid w:val="00D20EB6"/>
    <w:rsid w:val="00D21441"/>
    <w:rsid w:val="00D21889"/>
    <w:rsid w:val="00D22338"/>
    <w:rsid w:val="00D229BA"/>
    <w:rsid w:val="00D2304E"/>
    <w:rsid w:val="00D2496C"/>
    <w:rsid w:val="00D25484"/>
    <w:rsid w:val="00D256D4"/>
    <w:rsid w:val="00D26080"/>
    <w:rsid w:val="00D26904"/>
    <w:rsid w:val="00D273C4"/>
    <w:rsid w:val="00D30F71"/>
    <w:rsid w:val="00D318A3"/>
    <w:rsid w:val="00D324D5"/>
    <w:rsid w:val="00D32D91"/>
    <w:rsid w:val="00D330F2"/>
    <w:rsid w:val="00D33224"/>
    <w:rsid w:val="00D35BF4"/>
    <w:rsid w:val="00D36169"/>
    <w:rsid w:val="00D36BCE"/>
    <w:rsid w:val="00D3707E"/>
    <w:rsid w:val="00D37ABF"/>
    <w:rsid w:val="00D40A1E"/>
    <w:rsid w:val="00D40F43"/>
    <w:rsid w:val="00D41235"/>
    <w:rsid w:val="00D41556"/>
    <w:rsid w:val="00D41715"/>
    <w:rsid w:val="00D42743"/>
    <w:rsid w:val="00D427E6"/>
    <w:rsid w:val="00D45AED"/>
    <w:rsid w:val="00D4628B"/>
    <w:rsid w:val="00D46B22"/>
    <w:rsid w:val="00D473F3"/>
    <w:rsid w:val="00D501EC"/>
    <w:rsid w:val="00D51039"/>
    <w:rsid w:val="00D53878"/>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95C"/>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44D"/>
    <w:rsid w:val="00DA6806"/>
    <w:rsid w:val="00DA73B8"/>
    <w:rsid w:val="00DB072F"/>
    <w:rsid w:val="00DB0FDC"/>
    <w:rsid w:val="00DB1BEA"/>
    <w:rsid w:val="00DB28CC"/>
    <w:rsid w:val="00DB303B"/>
    <w:rsid w:val="00DB3233"/>
    <w:rsid w:val="00DB326D"/>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97D"/>
    <w:rsid w:val="00DD7EE0"/>
    <w:rsid w:val="00DE0381"/>
    <w:rsid w:val="00DE03BF"/>
    <w:rsid w:val="00DE130F"/>
    <w:rsid w:val="00DE37AD"/>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034"/>
    <w:rsid w:val="00E03482"/>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996"/>
    <w:rsid w:val="00E24C9A"/>
    <w:rsid w:val="00E24CB9"/>
    <w:rsid w:val="00E2539F"/>
    <w:rsid w:val="00E25667"/>
    <w:rsid w:val="00E25E5C"/>
    <w:rsid w:val="00E26015"/>
    <w:rsid w:val="00E264EF"/>
    <w:rsid w:val="00E26CA5"/>
    <w:rsid w:val="00E274B0"/>
    <w:rsid w:val="00E27504"/>
    <w:rsid w:val="00E27E0F"/>
    <w:rsid w:val="00E27EE5"/>
    <w:rsid w:val="00E30C5D"/>
    <w:rsid w:val="00E30F5E"/>
    <w:rsid w:val="00E3177C"/>
    <w:rsid w:val="00E32837"/>
    <w:rsid w:val="00E338B7"/>
    <w:rsid w:val="00E342EB"/>
    <w:rsid w:val="00E3499A"/>
    <w:rsid w:val="00E34F0E"/>
    <w:rsid w:val="00E35525"/>
    <w:rsid w:val="00E3556B"/>
    <w:rsid w:val="00E36E89"/>
    <w:rsid w:val="00E4066D"/>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7DE"/>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1AF1"/>
    <w:rsid w:val="00EB202C"/>
    <w:rsid w:val="00EB213E"/>
    <w:rsid w:val="00EB2191"/>
    <w:rsid w:val="00EB2B2E"/>
    <w:rsid w:val="00EB3152"/>
    <w:rsid w:val="00EB3462"/>
    <w:rsid w:val="00EB399D"/>
    <w:rsid w:val="00EB45EA"/>
    <w:rsid w:val="00EB5564"/>
    <w:rsid w:val="00EB655A"/>
    <w:rsid w:val="00EB783A"/>
    <w:rsid w:val="00EC246D"/>
    <w:rsid w:val="00EC383C"/>
    <w:rsid w:val="00EC47D1"/>
    <w:rsid w:val="00EC4B1C"/>
    <w:rsid w:val="00EC5516"/>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FEC"/>
    <w:rsid w:val="00F022E2"/>
    <w:rsid w:val="00F02B92"/>
    <w:rsid w:val="00F0337F"/>
    <w:rsid w:val="00F03E8D"/>
    <w:rsid w:val="00F03FED"/>
    <w:rsid w:val="00F04038"/>
    <w:rsid w:val="00F04F32"/>
    <w:rsid w:val="00F05952"/>
    <w:rsid w:val="00F05BAF"/>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16A3"/>
    <w:rsid w:val="00F221AE"/>
    <w:rsid w:val="00F22398"/>
    <w:rsid w:val="00F224CD"/>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2BC0"/>
    <w:rsid w:val="00F73084"/>
    <w:rsid w:val="00F7322B"/>
    <w:rsid w:val="00F732C6"/>
    <w:rsid w:val="00F7370F"/>
    <w:rsid w:val="00F7470B"/>
    <w:rsid w:val="00F74A12"/>
    <w:rsid w:val="00F7577B"/>
    <w:rsid w:val="00F76113"/>
    <w:rsid w:val="00F803E1"/>
    <w:rsid w:val="00F80E61"/>
    <w:rsid w:val="00F82A51"/>
    <w:rsid w:val="00F84FDE"/>
    <w:rsid w:val="00F8538C"/>
    <w:rsid w:val="00F8583F"/>
    <w:rsid w:val="00F8599E"/>
    <w:rsid w:val="00F87331"/>
    <w:rsid w:val="00F8783E"/>
    <w:rsid w:val="00F87862"/>
    <w:rsid w:val="00F91E5E"/>
    <w:rsid w:val="00F927DC"/>
    <w:rsid w:val="00F92DAE"/>
    <w:rsid w:val="00F92EAC"/>
    <w:rsid w:val="00F93B1F"/>
    <w:rsid w:val="00F970B8"/>
    <w:rsid w:val="00FA0870"/>
    <w:rsid w:val="00FA0EF4"/>
    <w:rsid w:val="00FA110F"/>
    <w:rsid w:val="00FA1223"/>
    <w:rsid w:val="00FA1E9A"/>
    <w:rsid w:val="00FA4521"/>
    <w:rsid w:val="00FA4C98"/>
    <w:rsid w:val="00FA5ECF"/>
    <w:rsid w:val="00FA6F14"/>
    <w:rsid w:val="00FB1481"/>
    <w:rsid w:val="00FB1685"/>
    <w:rsid w:val="00FB20EA"/>
    <w:rsid w:val="00FB2445"/>
    <w:rsid w:val="00FB2B30"/>
    <w:rsid w:val="00FB3EC9"/>
    <w:rsid w:val="00FB41A8"/>
    <w:rsid w:val="00FB466B"/>
    <w:rsid w:val="00FB4E42"/>
    <w:rsid w:val="00FB5014"/>
    <w:rsid w:val="00FB5227"/>
    <w:rsid w:val="00FB5472"/>
    <w:rsid w:val="00FB646F"/>
    <w:rsid w:val="00FC0307"/>
    <w:rsid w:val="00FC0B30"/>
    <w:rsid w:val="00FC1E50"/>
    <w:rsid w:val="00FC23FE"/>
    <w:rsid w:val="00FC3FEE"/>
    <w:rsid w:val="00FC5A15"/>
    <w:rsid w:val="00FC5B49"/>
    <w:rsid w:val="00FC615D"/>
    <w:rsid w:val="00FC6406"/>
    <w:rsid w:val="00FC7702"/>
    <w:rsid w:val="00FC7AD7"/>
    <w:rsid w:val="00FD00E2"/>
    <w:rsid w:val="00FD0FFB"/>
    <w:rsid w:val="00FD1561"/>
    <w:rsid w:val="00FD3B07"/>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465"/>
    <w:rsid w:val="00FE464C"/>
    <w:rsid w:val="00FE4D93"/>
    <w:rsid w:val="00FE64B2"/>
    <w:rsid w:val="00FE6886"/>
    <w:rsid w:val="00FE6CBF"/>
    <w:rsid w:val="00FE7747"/>
    <w:rsid w:val="00FF0B04"/>
    <w:rsid w:val="00FF0D0B"/>
    <w:rsid w:val="00FF1045"/>
    <w:rsid w:val="00FF122A"/>
    <w:rsid w:val="00FF133A"/>
    <w:rsid w:val="00FF27DB"/>
    <w:rsid w:val="00FF31A9"/>
    <w:rsid w:val="00FF47A0"/>
    <w:rsid w:val="00FF4C9B"/>
    <w:rsid w:val="00FF4D91"/>
    <w:rsid w:val="00FF4FA5"/>
    <w:rsid w:val="00FF5689"/>
    <w:rsid w:val="00FF6411"/>
    <w:rsid w:val="00FF6E98"/>
    <w:rsid w:val="00FF7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38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Section7CharChar">
    <w:name w:val="CERSection7 Char Char"/>
    <w:basedOn w:val="DefaultParagraphFont"/>
    <w:link w:val="CERSection7Char"/>
    <w:locked/>
    <w:rsid w:val="00CB515B"/>
    <w:rPr>
      <w:rFonts w:ascii="Arial" w:hAnsi="Arial" w:cs="Arial"/>
      <w:color w:val="000000"/>
      <w:lang w:val="en-GB"/>
    </w:rPr>
  </w:style>
  <w:style w:type="paragraph" w:customStyle="1" w:styleId="CERSection7Char">
    <w:name w:val="CERSection7 Char"/>
    <w:basedOn w:val="Normal"/>
    <w:next w:val="Normal"/>
    <w:link w:val="CERSection7CharChar"/>
    <w:rsid w:val="00CB515B"/>
    <w:pPr>
      <w:spacing w:before="120" w:after="120" w:line="240" w:lineRule="auto"/>
      <w:ind w:left="1680" w:hanging="829"/>
      <w:jc w:val="both"/>
    </w:pPr>
    <w:rPr>
      <w:rFonts w:cs="Arial"/>
      <w:color w:val="00000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Section7CharChar">
    <w:name w:val="CERSection7 Char Char"/>
    <w:basedOn w:val="DefaultParagraphFont"/>
    <w:link w:val="CERSection7Char"/>
    <w:locked/>
    <w:rsid w:val="00CB515B"/>
    <w:rPr>
      <w:rFonts w:ascii="Arial" w:hAnsi="Arial" w:cs="Arial"/>
      <w:color w:val="000000"/>
      <w:lang w:val="en-GB"/>
    </w:rPr>
  </w:style>
  <w:style w:type="paragraph" w:customStyle="1" w:styleId="CERSection7Char">
    <w:name w:val="CERSection7 Char"/>
    <w:basedOn w:val="Normal"/>
    <w:next w:val="Normal"/>
    <w:link w:val="CERSection7CharChar"/>
    <w:rsid w:val="00CB515B"/>
    <w:pPr>
      <w:spacing w:before="120" w:after="120" w:line="240" w:lineRule="auto"/>
      <w:ind w:left="1680" w:hanging="829"/>
      <w:jc w:val="both"/>
    </w:pPr>
    <w:rPr>
      <w:rFonts w:cs="Arial"/>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14852510">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46516825">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em-o.com/rules-and-modifications/balancing-market-modifications/market-rules/TSC-Part-B.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mailto:balancingmodifications@sem-o.com" TargetMode="External"/><Relationship Id="rId2" Type="http://schemas.openxmlformats.org/officeDocument/2006/relationships/customXml" Target="../customXml/item2.xml"/><Relationship Id="rId16" Type="http://schemas.openxmlformats.org/officeDocument/2006/relationships/hyperlink" Target="https://www.sem-o.com/documents/market-modifications/Mod_12_19/Mod_12_19Slides.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sem-o.com/documents/market-modifications/Mod_12_19/Mod_12_19Slides.pptx"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m-o.com/documents/market-modifications/Mod_12_19/Mod_12_19-SystemServiceFlagforDemandSideUni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72c8b4bf9ea73adc28e8e053ca1aa5c8">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53d4d918f57cfa4d471e332e5ae8694f"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Document_x0020_Type xmlns="83dee237-e653-49f0-9104-674b0aa2bf9b">Final Recommendation Report</Document_x0020_Type>
    <iab7cdb7554d4997ae876b11632fa575 xmlns="3cada6dc-2705-46ed-bab2-0b2cd6d935ca">
      <Terms xmlns="http://schemas.microsoft.com/office/infopath/2007/PartnerControls"/>
    </iab7cdb7554d4997ae876b11632fa575>
    <Mod_x0020_Id xmlns="83dee237-e653-49f0-9104-674b0aa2bf9b">Mod_12_19</Mod_x0020_Id>
    <WG_x0020_Link xmlns="83dee237-e653-49f0-9104-674b0aa2bf9b">
      <Url xsi:nil="true"/>
      <Description xsi:nil="true"/>
    </WG_x0020_Link>
    <Working_x0020_Group xmlns="83dee237-e653-49f0-9104-674b0aa2bf9b">Working Group 1</Working_x0020_Group>
    <Market xmlns="83dee237-e653-49f0-9104-674b0aa2bf9b">Balancing Market</Market>
    <Doc_x0020_Type xmlns="83dee237-e653-49f0-9104-674b0aa2bf9b">Mod  ID</Doc_x0020_Type>
    <TaxCatchAll xmlns="3cada6dc-2705-46ed-bab2-0b2cd6d935ca"/>
    <Meeting_x0020_No xmlns="83dee237-e653-49f0-9104-674b0aa2bf9b"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3B902-534D-4DCB-AAE5-8DA33120EAD5}">
  <ds:schemaRefs>
    <ds:schemaRef ds:uri="http://schemas.microsoft.com/sharepoint/v3/contenttype/forms"/>
  </ds:schemaRefs>
</ds:datastoreItem>
</file>

<file path=customXml/itemProps2.xml><?xml version="1.0" encoding="utf-8"?>
<ds:datastoreItem xmlns:ds="http://schemas.openxmlformats.org/officeDocument/2006/customXml" ds:itemID="{040E9060-1BD5-4340-BE25-BA611A6AF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694D03-97E8-4CD1-A1A0-5A83CD09F2F3}">
  <ds:schemaRefs>
    <ds:schemaRef ds:uri="http://schemas.microsoft.com/office/2006/metadata/properties"/>
    <ds:schemaRef ds:uri="83dee237-e653-49f0-9104-674b0aa2bf9b"/>
    <ds:schemaRef ds:uri="3cada6dc-2705-46ed-bab2-0b2cd6d935ca"/>
    <ds:schemaRef ds:uri="http://schemas.microsoft.com/office/infopath/2007/PartnerControls"/>
  </ds:schemaRefs>
</ds:datastoreItem>
</file>

<file path=customXml/itemProps4.xml><?xml version="1.0" encoding="utf-8"?>
<ds:datastoreItem xmlns:ds="http://schemas.openxmlformats.org/officeDocument/2006/customXml" ds:itemID="{0FE8E57C-5318-4A90-A14A-A11628DA2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3414</Words>
  <Characters>19462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Final Recommendation Report</vt:lpstr>
    </vt:vector>
  </TitlesOfParts>
  <LinksUpToDate>false</LinksUpToDate>
  <CharactersWithSpaces>22831</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Recommendation Report</dc:title>
  <dc:creator/>
  <cp:lastModifiedBy/>
  <cp:revision>1</cp:revision>
  <dcterms:created xsi:type="dcterms:W3CDTF">2019-11-26T13:43:00Z</dcterms:created>
  <dcterms:modified xsi:type="dcterms:W3CDTF">2019-11-26T13:43:00Z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File Category">
    <vt:lpwstr/>
  </property>
</Properties>
</file>