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C9" w:rsidRDefault="00AD27C9">
      <w:pPr>
        <w:rPr>
          <w:sz w:val="20"/>
          <w:szCs w:val="20"/>
        </w:rPr>
      </w:pPr>
    </w:p>
    <w:tbl>
      <w:tblPr>
        <w:tblW w:w="9243" w:type="dxa"/>
        <w:tblInd w:w="116" w:type="dxa"/>
        <w:tblCellMar>
          <w:left w:w="0" w:type="dxa"/>
          <w:right w:w="0" w:type="dxa"/>
        </w:tblCellMar>
        <w:tblLook w:val="04A0" w:firstRow="1" w:lastRow="0" w:firstColumn="1" w:lastColumn="0" w:noHBand="0" w:noVBand="1"/>
      </w:tblPr>
      <w:tblGrid>
        <w:gridCol w:w="2088"/>
        <w:gridCol w:w="855"/>
        <w:gridCol w:w="1678"/>
        <w:gridCol w:w="1247"/>
        <w:gridCol w:w="1064"/>
        <w:gridCol w:w="2311"/>
      </w:tblGrid>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548DD4"/>
            <w:tcMar>
              <w:top w:w="8" w:type="dxa"/>
              <w:left w:w="108" w:type="dxa"/>
              <w:bottom w:w="8" w:type="dxa"/>
              <w:right w:w="108" w:type="dxa"/>
            </w:tcMar>
            <w:vAlign w:val="center"/>
            <w:hideMark/>
          </w:tcPr>
          <w:p w:rsidR="00AD27C9" w:rsidRDefault="00AD27C9">
            <w:pPr>
              <w:jc w:val="center"/>
              <w:rPr>
                <w:rFonts w:ascii="Calibri" w:eastAsia="Calibri" w:hAnsi="Calibri" w:cs="Calibri"/>
                <w:color w:val="000000"/>
                <w:sz w:val="20"/>
                <w:szCs w:val="20"/>
              </w:rPr>
            </w:pPr>
          </w:p>
          <w:p w:rsidR="00AD27C9" w:rsidRDefault="00F62F3F">
            <w:pPr>
              <w:jc w:val="center"/>
              <w:rPr>
                <w:color w:val="000000"/>
                <w:sz w:val="20"/>
                <w:szCs w:val="20"/>
              </w:rPr>
            </w:pPr>
            <w:r>
              <w:rPr>
                <w:rFonts w:ascii="Calibri" w:eastAsia="Calibri" w:hAnsi="Calibri" w:cs="Calibri"/>
                <w:b/>
                <w:bCs/>
                <w:color w:val="000000"/>
                <w:sz w:val="20"/>
                <w:szCs w:val="20"/>
              </w:rPr>
              <w:t>MODIFICATION PROPOSAL FORM</w:t>
            </w:r>
          </w:p>
          <w:p w:rsidR="00AD27C9" w:rsidRDefault="00AD27C9">
            <w:pPr>
              <w:jc w:val="center"/>
              <w:rPr>
                <w:rFonts w:ascii="Calibri" w:eastAsia="Calibri" w:hAnsi="Calibri" w:cs="Calibri"/>
                <w:color w:val="000000"/>
                <w:sz w:val="20"/>
                <w:szCs w:val="20"/>
              </w:rPr>
            </w:pPr>
          </w:p>
        </w:tc>
      </w:tr>
      <w:tr w:rsidR="00AD27C9">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18"/>
                <w:szCs w:val="18"/>
              </w:rPr>
            </w:pPr>
            <w:r>
              <w:rPr>
                <w:rFonts w:ascii="Arial" w:eastAsia="Arial" w:hAnsi="Arial" w:cs="Arial"/>
                <w:b/>
                <w:bCs/>
                <w:color w:val="000000"/>
                <w:sz w:val="18"/>
                <w:szCs w:val="18"/>
              </w:rPr>
              <w:t>Proposer</w:t>
            </w:r>
          </w:p>
          <w:p w:rsidR="00AD27C9" w:rsidRDefault="00F62F3F">
            <w:pPr>
              <w:jc w:val="center"/>
              <w:rPr>
                <w:color w:val="000000"/>
                <w:sz w:val="20"/>
                <w:szCs w:val="20"/>
              </w:rPr>
            </w:pPr>
            <w:r>
              <w:rPr>
                <w:rFonts w:ascii="Calibri" w:eastAsia="Calibri" w:hAnsi="Calibri" w:cs="Calibri"/>
                <w:i/>
                <w:iCs/>
                <w:color w:val="000000"/>
                <w:sz w:val="20"/>
                <w:szCs w:val="20"/>
              </w:rPr>
              <w:t>(Company)</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Date of receipt</w:t>
            </w:r>
          </w:p>
          <w:p w:rsidR="00AD27C9" w:rsidRDefault="00F62F3F">
            <w:pPr>
              <w:jc w:val="center"/>
              <w:rPr>
                <w:color w:val="000000"/>
                <w:sz w:val="20"/>
                <w:szCs w:val="20"/>
              </w:rPr>
            </w:pPr>
            <w:r>
              <w:rPr>
                <w:rFonts w:ascii="Calibri" w:eastAsia="Calibri" w:hAnsi="Calibri" w:cs="Calibri"/>
                <w:i/>
                <w:iCs/>
                <w:color w:val="000000"/>
                <w:sz w:val="20"/>
                <w:szCs w:val="20"/>
              </w:rPr>
              <w:t>(assigned by Secretariat)</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Type of Proposal</w:t>
            </w:r>
          </w:p>
          <w:p w:rsidR="00AD27C9" w:rsidRDefault="00F62F3F">
            <w:pPr>
              <w:jc w:val="center"/>
              <w:rPr>
                <w:color w:val="000000"/>
                <w:sz w:val="20"/>
                <w:szCs w:val="20"/>
              </w:rPr>
            </w:pPr>
            <w:r>
              <w:rPr>
                <w:rFonts w:ascii="Calibri" w:eastAsia="Calibri" w:hAnsi="Calibri" w:cs="Calibri"/>
                <w:i/>
                <w:iCs/>
                <w:color w:val="000000"/>
                <w:sz w:val="20"/>
                <w:szCs w:val="20"/>
              </w:rPr>
              <w:t>(delete as appropriate)</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Modification Proposal ID</w:t>
            </w:r>
          </w:p>
          <w:p w:rsidR="00AD27C9" w:rsidRDefault="00F62F3F">
            <w:pPr>
              <w:jc w:val="center"/>
              <w:rPr>
                <w:color w:val="000000"/>
                <w:sz w:val="20"/>
                <w:szCs w:val="20"/>
              </w:rPr>
            </w:pPr>
            <w:r>
              <w:rPr>
                <w:rFonts w:ascii="Calibri" w:eastAsia="Calibri" w:hAnsi="Calibri" w:cs="Calibri"/>
                <w:i/>
                <w:iCs/>
                <w:color w:val="000000"/>
                <w:sz w:val="20"/>
                <w:szCs w:val="20"/>
              </w:rPr>
              <w:t>(assigned by Secretariat)</w:t>
            </w:r>
          </w:p>
        </w:tc>
      </w:tr>
      <w:tr w:rsidR="00AD27C9" w:rsidTr="00D65F4A">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CRU and Utility Regulator</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D65F4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7</w:t>
            </w:r>
            <w:r w:rsidRPr="00D65F4A">
              <w:rPr>
                <w:rFonts w:ascii="Calibri" w:eastAsia="Calibri" w:hAnsi="Calibri" w:cs="Calibri"/>
                <w:b/>
                <w:bCs/>
                <w:color w:val="000000"/>
                <w:sz w:val="20"/>
                <w:szCs w:val="20"/>
                <w:vertAlign w:val="superscript"/>
              </w:rPr>
              <w:t>th</w:t>
            </w:r>
            <w:r>
              <w:rPr>
                <w:rFonts w:ascii="Calibri" w:eastAsia="Calibri" w:hAnsi="Calibri" w:cs="Calibri"/>
                <w:b/>
                <w:bCs/>
                <w:color w:val="000000"/>
                <w:sz w:val="20"/>
                <w:szCs w:val="20"/>
              </w:rPr>
              <w:t xml:space="preserve"> October 2019</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bottom"/>
            <w:hideMark/>
          </w:tcPr>
          <w:p w:rsidR="00D65F4A" w:rsidRDefault="00D65F4A" w:rsidP="00D65F4A">
            <w:pPr>
              <w:jc w:val="center"/>
              <w:rPr>
                <w:rFonts w:ascii="Calibri" w:eastAsia="Calibri" w:hAnsi="Calibri" w:cs="Calibri"/>
                <w:b/>
                <w:bCs/>
                <w:color w:val="000000"/>
                <w:sz w:val="20"/>
                <w:szCs w:val="20"/>
              </w:rPr>
            </w:pPr>
          </w:p>
          <w:p w:rsidR="00AD27C9" w:rsidRDefault="00AF668F" w:rsidP="00D65F4A">
            <w:pPr>
              <w:jc w:val="center"/>
              <w:rPr>
                <w:color w:val="000000"/>
                <w:sz w:val="20"/>
                <w:szCs w:val="20"/>
              </w:rPr>
            </w:pPr>
            <w:r>
              <w:rPr>
                <w:rFonts w:ascii="Calibri" w:eastAsia="Calibri" w:hAnsi="Calibri" w:cs="Calibri"/>
                <w:b/>
                <w:bCs/>
                <w:color w:val="000000"/>
                <w:sz w:val="20"/>
                <w:szCs w:val="20"/>
              </w:rPr>
              <w:t>Urgent</w:t>
            </w:r>
          </w:p>
          <w:p w:rsidR="00AD27C9" w:rsidRDefault="00AD27C9" w:rsidP="00D65F4A">
            <w:pPr>
              <w:jc w:val="center"/>
              <w:rPr>
                <w:rFonts w:ascii="Calibri" w:eastAsia="Calibri" w:hAnsi="Calibri" w:cs="Calibri"/>
                <w:b/>
                <w:bCs/>
                <w:color w:val="000000"/>
                <w:sz w:val="20"/>
                <w:szCs w:val="20"/>
              </w:rPr>
            </w:pP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D65F4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Mod_15_19</w:t>
            </w:r>
          </w:p>
        </w:tc>
      </w:tr>
      <w:tr w:rsidR="00AD27C9">
        <w:trPr>
          <w:trHeight w:val="46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Contact Details for Modification Proposal Originator</w:t>
            </w:r>
          </w:p>
        </w:tc>
      </w:tr>
      <w:tr w:rsidR="00AD27C9">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Name</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Telephone number</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Email address</w:t>
            </w:r>
          </w:p>
        </w:tc>
      </w:tr>
      <w:tr w:rsidR="00AD27C9">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1844E7">
            <w:pPr>
              <w:rPr>
                <w:rFonts w:ascii="Calibri" w:eastAsia="Calibri" w:hAnsi="Calibri" w:cs="Calibri"/>
                <w:b/>
                <w:bCs/>
                <w:color w:val="000000"/>
                <w:sz w:val="20"/>
                <w:szCs w:val="20"/>
              </w:rPr>
            </w:pPr>
            <w:r>
              <w:rPr>
                <w:rFonts w:ascii="Calibri" w:eastAsia="Calibri" w:hAnsi="Calibri" w:cs="Calibri"/>
                <w:b/>
                <w:bCs/>
                <w:color w:val="000000"/>
                <w:sz w:val="20"/>
                <w:szCs w:val="20"/>
              </w:rPr>
              <w:t>CRU and Utility Regulator</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AD27C9" w:rsidP="001844E7">
            <w:pPr>
              <w:jc w:val="center"/>
              <w:rPr>
                <w:rFonts w:ascii="Calibri" w:eastAsia="Calibri" w:hAnsi="Calibri" w:cs="Calibri"/>
                <w:b/>
                <w:bCs/>
                <w:color w:val="000000"/>
                <w:sz w:val="20"/>
                <w:szCs w:val="20"/>
              </w:rPr>
            </w:pPr>
            <w:bookmarkStart w:id="0" w:name="_GoBack"/>
            <w:bookmarkEnd w:id="0"/>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AD27C9">
            <w:pPr>
              <w:rPr>
                <w:rFonts w:ascii="Calibri" w:eastAsia="Calibri" w:hAnsi="Calibri" w:cs="Calibri"/>
                <w:b/>
                <w:bCs/>
                <w:color w:val="000000"/>
                <w:sz w:val="20"/>
                <w:szCs w:val="20"/>
              </w:rPr>
            </w:pPr>
          </w:p>
        </w:tc>
      </w:tr>
      <w:tr w:rsidR="00AD27C9">
        <w:trPr>
          <w:trHeight w:val="32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Modification Proposal Title</w:t>
            </w:r>
          </w:p>
        </w:tc>
      </w:tr>
      <w:tr w:rsidR="00AD27C9">
        <w:trPr>
          <w:trHeight w:val="323"/>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spacing w:line="480" w:lineRule="auto"/>
              <w:rPr>
                <w:color w:val="000000"/>
                <w:sz w:val="20"/>
                <w:szCs w:val="20"/>
              </w:rPr>
            </w:pPr>
            <w:r>
              <w:rPr>
                <w:rFonts w:ascii="Calibri" w:eastAsia="Calibri" w:hAnsi="Calibri" w:cs="Calibri"/>
                <w:b/>
                <w:bCs/>
                <w:color w:val="000000"/>
                <w:sz w:val="20"/>
                <w:szCs w:val="20"/>
              </w:rPr>
              <w:t>Clarification to the description of the role of the Dispute Resolution Board under the TSC</w:t>
            </w:r>
          </w:p>
        </w:tc>
      </w:tr>
      <w:tr w:rsidR="00AD27C9">
        <w:tc>
          <w:tcPr>
            <w:tcW w:w="2943"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Documents affected</w:t>
            </w:r>
          </w:p>
          <w:p w:rsidR="00AD27C9" w:rsidRDefault="00F62F3F">
            <w:pPr>
              <w:jc w:val="center"/>
              <w:rPr>
                <w:color w:val="000000"/>
                <w:sz w:val="20"/>
                <w:szCs w:val="20"/>
              </w:rPr>
            </w:pPr>
            <w:r>
              <w:rPr>
                <w:rFonts w:ascii="Calibri" w:eastAsia="Calibri" w:hAnsi="Calibri" w:cs="Calibri"/>
                <w:i/>
                <w:iCs/>
                <w:color w:val="000000"/>
                <w:sz w:val="20"/>
                <w:szCs w:val="20"/>
              </w:rPr>
              <w:t>(delete as appropriate)</w:t>
            </w:r>
          </w:p>
        </w:tc>
        <w:tc>
          <w:tcPr>
            <w:tcW w:w="292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Section(s) Affected</w:t>
            </w:r>
          </w:p>
        </w:tc>
        <w:tc>
          <w:tcPr>
            <w:tcW w:w="337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Version number of T&amp;SC or AP used in Drafting</w:t>
            </w:r>
          </w:p>
        </w:tc>
      </w:tr>
      <w:tr w:rsidR="00AD27C9">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T&amp;SC Part B</w:t>
            </w:r>
          </w:p>
          <w:p w:rsidR="00AD27C9" w:rsidRDefault="00F62F3F">
            <w:pPr>
              <w:jc w:val="center"/>
              <w:rPr>
                <w:color w:val="000000"/>
                <w:sz w:val="20"/>
                <w:szCs w:val="20"/>
              </w:rPr>
            </w:pPr>
            <w:r>
              <w:rPr>
                <w:rFonts w:ascii="Calibri" w:eastAsia="Calibri" w:hAnsi="Calibri" w:cs="Calibri"/>
                <w:b/>
                <w:bCs/>
                <w:color w:val="000000"/>
                <w:sz w:val="20"/>
                <w:szCs w:val="20"/>
              </w:rPr>
              <w:t> </w:t>
            </w:r>
            <w:r w:rsidR="001844E7">
              <w:rPr>
                <w:rFonts w:ascii="Calibri" w:eastAsia="Calibri" w:hAnsi="Calibri" w:cs="Calibri"/>
                <w:b/>
                <w:bCs/>
                <w:color w:val="000000"/>
                <w:sz w:val="20"/>
                <w:szCs w:val="20"/>
              </w:rPr>
              <w:t>Appendix B</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B.19</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Version from 12 April 2019</w:t>
            </w:r>
          </w:p>
        </w:tc>
      </w:tr>
      <w:tr w:rsidR="00AD27C9">
        <w:trPr>
          <w:trHeight w:val="375"/>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Explanation of Proposed Change</w:t>
            </w:r>
          </w:p>
          <w:p w:rsidR="00AD27C9" w:rsidRDefault="00F62F3F">
            <w:pPr>
              <w:jc w:val="center"/>
              <w:rPr>
                <w:color w:val="000000"/>
                <w:sz w:val="20"/>
                <w:szCs w:val="20"/>
              </w:rPr>
            </w:pPr>
            <w:r>
              <w:rPr>
                <w:rFonts w:ascii="Calibri" w:eastAsia="Calibri" w:hAnsi="Calibri" w:cs="Calibri"/>
                <w:i/>
                <w:iCs/>
                <w:color w:val="000000"/>
                <w:spacing w:val="-3"/>
                <w:sz w:val="20"/>
                <w:szCs w:val="20"/>
              </w:rPr>
              <w:t>(mandatory by originator)</w:t>
            </w:r>
          </w:p>
        </w:tc>
      </w:tr>
      <w:tr w:rsidR="00AD27C9">
        <w:trPr>
          <w:trHeight w:val="467"/>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rPr>
                <w:color w:val="000000"/>
                <w:sz w:val="20"/>
                <w:szCs w:val="20"/>
              </w:rPr>
            </w:pPr>
            <w:r>
              <w:rPr>
                <w:rFonts w:ascii="Calibri" w:eastAsia="Calibri" w:hAnsi="Calibri" w:cs="Calibri"/>
                <w:color w:val="000000"/>
                <w:sz w:val="20"/>
                <w:szCs w:val="20"/>
              </w:rPr>
              <w:t xml:space="preserve">As notified by SEMO on 9 August 2019, a recent determination of the Dispute Resolution Board in relation to a dispute raised by a market participant found that EirGrid and SONI acted correctly under the terms of the Trading and Settlement Code but awarded a recovery of €1,696,000 million from the </w:t>
            </w:r>
            <w:proofErr w:type="spellStart"/>
            <w:r>
              <w:rPr>
                <w:rFonts w:ascii="Calibri" w:eastAsia="Calibri" w:hAnsi="Calibri" w:cs="Calibri"/>
                <w:color w:val="000000"/>
                <w:sz w:val="20"/>
                <w:szCs w:val="20"/>
              </w:rPr>
              <w:t>Socialisation</w:t>
            </w:r>
            <w:proofErr w:type="spellEnd"/>
            <w:r>
              <w:rPr>
                <w:rFonts w:ascii="Calibri" w:eastAsia="Calibri" w:hAnsi="Calibri" w:cs="Calibri"/>
                <w:color w:val="000000"/>
                <w:sz w:val="20"/>
                <w:szCs w:val="20"/>
              </w:rPr>
              <w:t xml:space="preserve"> Fund to the disputing market participant.  </w:t>
            </w:r>
          </w:p>
          <w:p w:rsidR="00AD27C9" w:rsidRDefault="00AD27C9">
            <w:pPr>
              <w:rPr>
                <w:rFonts w:ascii="Calibri" w:eastAsia="Calibri" w:hAnsi="Calibri" w:cs="Calibri"/>
                <w:color w:val="000000"/>
                <w:sz w:val="20"/>
                <w:szCs w:val="20"/>
              </w:rPr>
            </w:pPr>
          </w:p>
          <w:p w:rsidR="00AD27C9" w:rsidRDefault="00F62F3F">
            <w:pPr>
              <w:rPr>
                <w:color w:val="000000"/>
                <w:sz w:val="20"/>
                <w:szCs w:val="20"/>
              </w:rPr>
            </w:pPr>
            <w:r>
              <w:rPr>
                <w:rFonts w:ascii="Calibri" w:eastAsia="Calibri" w:hAnsi="Calibri" w:cs="Calibri"/>
                <w:color w:val="000000"/>
                <w:sz w:val="20"/>
                <w:szCs w:val="20"/>
              </w:rPr>
              <w:t>The details of this dispute and rationale for this decision have not been shared publicly however they have been submitted to the RAs by the Market Operator</w:t>
            </w:r>
            <w:r w:rsidRPr="000F2B85">
              <w:rPr>
                <w:rFonts w:ascii="Calibri" w:eastAsia="Calibri" w:hAnsi="Calibri" w:cs="Calibri"/>
                <w:color w:val="000000" w:themeColor="text1"/>
                <w:sz w:val="20"/>
                <w:szCs w:val="20"/>
              </w:rPr>
              <w:t>.  This Modification</w:t>
            </w:r>
            <w:r>
              <w:rPr>
                <w:rFonts w:ascii="Calibri" w:eastAsia="Calibri" w:hAnsi="Calibri" w:cs="Calibri"/>
                <w:color w:val="000000"/>
                <w:sz w:val="20"/>
                <w:szCs w:val="20"/>
              </w:rPr>
              <w:t xml:space="preserve"> has been raised following a review of this decision. A number of changes are proposed to the TSC in order to clarify that the DRB’s primary role is to determine whether a party has acted in accordance with the provisions of the TSC. </w:t>
            </w:r>
          </w:p>
          <w:p w:rsidR="00AD27C9" w:rsidRDefault="00AD27C9">
            <w:pPr>
              <w:rPr>
                <w:rFonts w:ascii="Calibri" w:eastAsia="Calibri" w:hAnsi="Calibri" w:cs="Calibri"/>
                <w:color w:val="000000"/>
                <w:sz w:val="20"/>
                <w:szCs w:val="20"/>
              </w:rPr>
            </w:pPr>
          </w:p>
          <w:p w:rsidR="00AD27C9" w:rsidRDefault="00F62F3F">
            <w:pPr>
              <w:rPr>
                <w:color w:val="000000"/>
                <w:sz w:val="20"/>
                <w:szCs w:val="20"/>
              </w:rPr>
            </w:pPr>
            <w:r>
              <w:rPr>
                <w:rFonts w:ascii="Calibri" w:eastAsia="Calibri" w:hAnsi="Calibri" w:cs="Calibri"/>
                <w:color w:val="000000"/>
                <w:sz w:val="20"/>
                <w:szCs w:val="20"/>
              </w:rPr>
              <w:t xml:space="preserve">It is the </w:t>
            </w:r>
            <w:r w:rsidRPr="000F2B85">
              <w:rPr>
                <w:rFonts w:ascii="Calibri" w:eastAsia="Calibri" w:hAnsi="Calibri" w:cs="Calibri"/>
                <w:color w:val="000000" w:themeColor="text1"/>
                <w:sz w:val="20"/>
                <w:szCs w:val="20"/>
              </w:rPr>
              <w:t>RAs’ view</w:t>
            </w:r>
            <w:r>
              <w:rPr>
                <w:rFonts w:ascii="Calibri" w:eastAsia="Calibri" w:hAnsi="Calibri" w:cs="Calibri"/>
                <w:color w:val="000000"/>
                <w:sz w:val="20"/>
                <w:szCs w:val="20"/>
              </w:rPr>
              <w:t xml:space="preserve"> that the Trading and Settlement Code requires clarification in order to ensure that the DRB’s role is limited to taking decisions on whether a Party has complied with the provisions of the TSC, consistent with a number of comparable industry codes. Where a market outcome is seen to be unfair or inequitable, any appropriate solution should be subject to SEMC decision</w:t>
            </w:r>
            <w:r>
              <w:rPr>
                <w:rFonts w:ascii="Calibri" w:eastAsia="Calibri" w:hAnsi="Calibri" w:cs="Calibri"/>
                <w:color w:val="B5082E"/>
                <w:sz w:val="20"/>
                <w:szCs w:val="20"/>
              </w:rPr>
              <w:t>-</w:t>
            </w:r>
            <w:r>
              <w:rPr>
                <w:rFonts w:ascii="Calibri" w:eastAsia="Calibri" w:hAnsi="Calibri" w:cs="Calibri"/>
                <w:color w:val="000000"/>
                <w:sz w:val="20"/>
                <w:szCs w:val="20"/>
              </w:rPr>
              <w:t xml:space="preserve">making and consultation with stakeholders affected by any change. </w:t>
            </w:r>
          </w:p>
          <w:p w:rsidR="00AD27C9" w:rsidRDefault="00AD27C9">
            <w:pPr>
              <w:rPr>
                <w:rFonts w:ascii="Calibri" w:eastAsia="Calibri" w:hAnsi="Calibri" w:cs="Calibri"/>
                <w:color w:val="000000"/>
                <w:sz w:val="20"/>
                <w:szCs w:val="20"/>
              </w:rPr>
            </w:pPr>
          </w:p>
          <w:p w:rsidR="00AD27C9" w:rsidRDefault="00F62F3F">
            <w:pPr>
              <w:rPr>
                <w:color w:val="000000"/>
                <w:sz w:val="20"/>
                <w:szCs w:val="20"/>
              </w:rPr>
            </w:pPr>
            <w:r>
              <w:rPr>
                <w:rFonts w:ascii="Calibri" w:eastAsia="Calibri" w:hAnsi="Calibri" w:cs="Calibri"/>
                <w:color w:val="000000"/>
                <w:sz w:val="20"/>
                <w:szCs w:val="20"/>
              </w:rPr>
              <w:t xml:space="preserve">In particular, a number of sections of the TSC refer to the resolution of disputes on an equitable basis and having regard to the Code objectives which may be interpreted as not being aligned to the primary objective of the DRB to decide whether or not any Party has acted in accordance with the provisions of the Code. </w:t>
            </w:r>
          </w:p>
          <w:p w:rsidR="00AD27C9" w:rsidRDefault="00AD27C9">
            <w:pPr>
              <w:rPr>
                <w:rFonts w:ascii="Calibri" w:eastAsia="Calibri" w:hAnsi="Calibri" w:cs="Calibri"/>
                <w:color w:val="000000"/>
                <w:sz w:val="20"/>
                <w:szCs w:val="20"/>
              </w:rPr>
            </w:pPr>
          </w:p>
          <w:p w:rsidR="00AD27C9" w:rsidRDefault="00AD27C9">
            <w:pPr>
              <w:rPr>
                <w:rFonts w:ascii="Calibri" w:eastAsia="Calibri" w:hAnsi="Calibri" w:cs="Calibri"/>
                <w:color w:val="000000"/>
                <w:sz w:val="20"/>
                <w:szCs w:val="20"/>
              </w:rPr>
            </w:pPr>
          </w:p>
        </w:tc>
      </w:tr>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Legal Drafting Change</w:t>
            </w:r>
          </w:p>
          <w:p w:rsidR="00AD27C9" w:rsidRDefault="00F62F3F">
            <w:pPr>
              <w:jc w:val="center"/>
              <w:rPr>
                <w:color w:val="000000"/>
                <w:sz w:val="20"/>
                <w:szCs w:val="20"/>
              </w:rPr>
            </w:pPr>
            <w:r>
              <w:rPr>
                <w:rFonts w:ascii="Calibri" w:eastAsia="Calibri" w:hAnsi="Calibri" w:cs="Calibri"/>
                <w:i/>
                <w:iCs/>
                <w:color w:val="000000"/>
                <w:sz w:val="20"/>
                <w:szCs w:val="20"/>
              </w:rPr>
              <w:t xml:space="preserve">(Clearly show proposed code change using </w:t>
            </w:r>
            <w:r>
              <w:rPr>
                <w:rFonts w:ascii="Calibri" w:eastAsia="Calibri" w:hAnsi="Calibri" w:cs="Calibri"/>
                <w:b/>
                <w:bCs/>
                <w:i/>
                <w:iCs/>
                <w:color w:val="000000"/>
                <w:sz w:val="20"/>
                <w:szCs w:val="20"/>
              </w:rPr>
              <w:t>tracked</w:t>
            </w:r>
            <w:r>
              <w:rPr>
                <w:rFonts w:ascii="Calibri" w:eastAsia="Calibri" w:hAnsi="Calibri" w:cs="Calibri"/>
                <w:i/>
                <w:iCs/>
                <w:color w:val="000000"/>
                <w:sz w:val="20"/>
                <w:szCs w:val="20"/>
              </w:rPr>
              <w:t xml:space="preserve"> changes, if proposer fails to identify changes, please indicate best estimate of potential changes)</w:t>
            </w:r>
          </w:p>
        </w:tc>
      </w:tr>
      <w:tr w:rsidR="00AD27C9" w:rsidTr="000F2B85">
        <w:tc>
          <w:tcPr>
            <w:tcW w:w="9243" w:type="dxa"/>
            <w:gridSpan w:val="6"/>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rsidR="00AD27C9" w:rsidRDefault="00AD27C9">
            <w:pPr>
              <w:spacing w:line="480" w:lineRule="auto"/>
              <w:rPr>
                <w:rFonts w:ascii="Calibri" w:eastAsia="Calibri" w:hAnsi="Calibri" w:cs="Calibri"/>
                <w:color w:val="000000"/>
                <w:sz w:val="20"/>
                <w:szCs w:val="20"/>
              </w:rPr>
            </w:pPr>
          </w:p>
          <w:p w:rsidR="00AD27C9" w:rsidRDefault="00F62F3F">
            <w:pPr>
              <w:spacing w:before="60" w:after="60" w:line="240" w:lineRule="atLeast"/>
              <w:ind w:left="720"/>
              <w:jc w:val="both"/>
              <w:rPr>
                <w:color w:val="000000"/>
              </w:rPr>
            </w:pPr>
            <w:r>
              <w:rPr>
                <w:rFonts w:ascii="Arial" w:eastAsia="Arial" w:hAnsi="Arial" w:cs="Arial"/>
                <w:color w:val="000000"/>
                <w:sz w:val="20"/>
                <w:szCs w:val="20"/>
              </w:rPr>
              <w:t xml:space="preserve">A.2.1.5 </w:t>
            </w:r>
            <w:r>
              <w:rPr>
                <w:rFonts w:ascii="Arial" w:eastAsia="Arial" w:hAnsi="Arial" w:cs="Arial"/>
                <w:i/>
                <w:iCs/>
                <w:color w:val="000000"/>
                <w:sz w:val="20"/>
                <w:szCs w:val="20"/>
              </w:rPr>
              <w:t xml:space="preserve">This section </w:t>
            </w:r>
            <w:r>
              <w:rPr>
                <w:rFonts w:ascii="Arial" w:eastAsia="Arial" w:hAnsi="Arial" w:cs="Arial"/>
                <w:i/>
                <w:iCs/>
                <w:color w:val="000000"/>
                <w:sz w:val="20"/>
                <w:szCs w:val="20"/>
              </w:rPr>
              <w:fldChar w:fldCharType="begin"/>
            </w:r>
            <w:r>
              <w:rPr>
                <w:rFonts w:ascii="Arial" w:eastAsia="Arial" w:hAnsi="Arial" w:cs="Arial"/>
                <w:i/>
                <w:iCs/>
                <w:color w:val="000000"/>
                <w:sz w:val="20"/>
                <w:szCs w:val="20"/>
              </w:rPr>
              <w:instrText xml:space="preserve"> REF _Ref458758602 \r \h  \* MERGEFORMAT </w:instrText>
            </w:r>
            <w:r>
              <w:rPr>
                <w:rFonts w:ascii="Arial" w:eastAsia="Arial" w:hAnsi="Arial" w:cs="Arial"/>
                <w:i/>
                <w:iCs/>
                <w:color w:val="000000"/>
                <w:sz w:val="20"/>
                <w:szCs w:val="20"/>
              </w:rPr>
            </w:r>
            <w:r>
              <w:rPr>
                <w:rFonts w:ascii="Arial" w:eastAsia="Arial" w:hAnsi="Arial" w:cs="Arial"/>
                <w:i/>
                <w:iCs/>
                <w:color w:val="000000"/>
                <w:sz w:val="20"/>
                <w:szCs w:val="20"/>
              </w:rPr>
              <w:fldChar w:fldCharType="separate"/>
            </w:r>
            <w:r>
              <w:rPr>
                <w:rFonts w:ascii="Arial" w:eastAsia="Arial" w:hAnsi="Arial" w:cs="Arial"/>
                <w:i/>
                <w:iCs/>
                <w:color w:val="000000"/>
                <w:sz w:val="20"/>
                <w:szCs w:val="20"/>
              </w:rPr>
              <w:t>A.2</w:t>
            </w:r>
            <w:r>
              <w:rPr>
                <w:rFonts w:ascii="Arial" w:eastAsia="Arial" w:hAnsi="Arial" w:cs="Arial"/>
                <w:i/>
                <w:iCs/>
                <w:color w:val="000000"/>
                <w:sz w:val="20"/>
                <w:szCs w:val="20"/>
              </w:rPr>
              <w:fldChar w:fldCharType="end"/>
            </w:r>
            <w:r>
              <w:rPr>
                <w:rFonts w:ascii="Arial" w:eastAsia="Arial" w:hAnsi="Arial" w:cs="Arial"/>
                <w:i/>
                <w:iCs/>
                <w:color w:val="000000"/>
                <w:sz w:val="20"/>
                <w:szCs w:val="20"/>
              </w:rPr>
              <w:t xml:space="preserve"> is for information only and, without prejudice to the rights, duties and obligations set out in the </w:t>
            </w:r>
            <w:proofErr w:type="spellStart"/>
            <w:r>
              <w:rPr>
                <w:rFonts w:ascii="Arial" w:eastAsia="Arial" w:hAnsi="Arial" w:cs="Arial"/>
                <w:i/>
                <w:iCs/>
                <w:color w:val="000000"/>
                <w:sz w:val="20"/>
                <w:szCs w:val="20"/>
              </w:rPr>
              <w:t>Licences</w:t>
            </w:r>
            <w:proofErr w:type="spellEnd"/>
            <w:r>
              <w:rPr>
                <w:rFonts w:ascii="Arial" w:eastAsia="Arial" w:hAnsi="Arial" w:cs="Arial"/>
                <w:i/>
                <w:iCs/>
                <w:color w:val="000000"/>
                <w:sz w:val="20"/>
                <w:szCs w:val="20"/>
              </w:rPr>
              <w:t xml:space="preserve"> and legislation referred to therein, is not intended of itself and should not be construed so as to create legally binding obligations as between or impose rights and duties on the Parties, provided that the Modifications Committee shall be required to have regard to the Code Objectives in accordance with section B.17 </w:t>
            </w:r>
            <w:r>
              <w:rPr>
                <w:rFonts w:ascii="Arial" w:eastAsia="Arial" w:hAnsi="Arial" w:cs="Arial"/>
                <w:i/>
                <w:iCs/>
                <w:strike/>
                <w:color w:val="FF0000"/>
                <w:sz w:val="20"/>
                <w:szCs w:val="20"/>
              </w:rPr>
              <w:t xml:space="preserve">and any Dispute Resolution Board shall be required to have regard to those objectives in accordance with </w:t>
            </w:r>
            <w:r>
              <w:rPr>
                <w:rFonts w:ascii="Arial" w:eastAsia="Arial" w:hAnsi="Arial" w:cs="Arial"/>
                <w:i/>
                <w:iCs/>
                <w:strike/>
                <w:color w:val="FF0000"/>
                <w:sz w:val="20"/>
                <w:szCs w:val="20"/>
              </w:rPr>
              <w:lastRenderedPageBreak/>
              <w:t>paragraph B.19.5.</w:t>
            </w:r>
          </w:p>
          <w:p w:rsidR="00AD27C9" w:rsidRDefault="00AD27C9">
            <w:pPr>
              <w:spacing w:line="480" w:lineRule="auto"/>
              <w:rPr>
                <w:rFonts w:ascii="Calibri" w:eastAsia="Calibri" w:hAnsi="Calibri" w:cs="Calibri"/>
                <w:color w:val="000000"/>
                <w:sz w:val="20"/>
                <w:szCs w:val="20"/>
              </w:rPr>
            </w:pPr>
          </w:p>
          <w:p w:rsidR="002A318A" w:rsidRDefault="002A318A">
            <w:pPr>
              <w:spacing w:before="60" w:after="60" w:line="240" w:lineRule="atLeast"/>
              <w:ind w:left="720"/>
              <w:jc w:val="both"/>
              <w:rPr>
                <w:rFonts w:ascii="Arial" w:eastAsia="Arial" w:hAnsi="Arial" w:cs="Arial"/>
                <w:color w:val="000000"/>
                <w:sz w:val="20"/>
                <w:szCs w:val="20"/>
              </w:rPr>
            </w:pPr>
            <w:r>
              <w:rPr>
                <w:rFonts w:ascii="Arial" w:eastAsia="Arial" w:hAnsi="Arial" w:cs="Arial"/>
                <w:color w:val="000000"/>
                <w:sz w:val="20"/>
                <w:szCs w:val="20"/>
              </w:rPr>
              <w:t xml:space="preserve">B.19.5 </w:t>
            </w:r>
            <w:r w:rsidRPr="002A318A">
              <w:rPr>
                <w:rFonts w:ascii="Arial" w:eastAsia="Arial" w:hAnsi="Arial" w:cs="Arial"/>
                <w:b/>
                <w:color w:val="000000"/>
                <w:sz w:val="20"/>
                <w:szCs w:val="20"/>
              </w:rPr>
              <w:t>Objectives of the Dispute Resolution Process</w:t>
            </w:r>
          </w:p>
          <w:p w:rsidR="002A318A" w:rsidRDefault="002A318A">
            <w:pPr>
              <w:spacing w:before="60" w:after="60" w:line="240" w:lineRule="atLeast"/>
              <w:ind w:left="720"/>
              <w:jc w:val="both"/>
              <w:rPr>
                <w:rFonts w:ascii="Arial" w:eastAsia="Arial" w:hAnsi="Arial" w:cs="Arial"/>
                <w:color w:val="000000"/>
                <w:sz w:val="20"/>
                <w:szCs w:val="20"/>
              </w:rPr>
            </w:pPr>
          </w:p>
          <w:p w:rsidR="00AD27C9" w:rsidRDefault="00F62F3F">
            <w:pPr>
              <w:spacing w:before="60" w:after="60" w:line="240" w:lineRule="atLeast"/>
              <w:ind w:left="720"/>
              <w:jc w:val="both"/>
              <w:rPr>
                <w:color w:val="000000"/>
              </w:rPr>
            </w:pPr>
            <w:r>
              <w:rPr>
                <w:rFonts w:ascii="Arial" w:eastAsia="Arial" w:hAnsi="Arial" w:cs="Arial"/>
                <w:color w:val="000000"/>
                <w:sz w:val="20"/>
                <w:szCs w:val="20"/>
              </w:rPr>
              <w:t xml:space="preserve">B.19.5.1 </w:t>
            </w:r>
            <w:r>
              <w:rPr>
                <w:rFonts w:ascii="Arial" w:eastAsia="Arial" w:hAnsi="Arial" w:cs="Arial"/>
                <w:i/>
                <w:iCs/>
                <w:color w:val="000000"/>
                <w:sz w:val="20"/>
                <w:szCs w:val="20"/>
              </w:rPr>
              <w:t xml:space="preserve">It is intended that the Dispute Resolution Process set out in or implemented in compliance with the Code and described in detail in the following paragraphs should to the extent possible: </w:t>
            </w:r>
          </w:p>
          <w:p w:rsidR="00AD27C9" w:rsidRDefault="00F62F3F">
            <w:pPr>
              <w:spacing w:before="60" w:after="60" w:line="240" w:lineRule="atLeast"/>
              <w:ind w:left="1607" w:hanging="360"/>
              <w:jc w:val="both"/>
              <w:rPr>
                <w:color w:val="000000"/>
              </w:rPr>
            </w:pPr>
            <w:r>
              <w:rPr>
                <w:rFonts w:ascii="Arial" w:eastAsia="Arial" w:hAnsi="Arial" w:cs="Arial"/>
                <w:i/>
                <w:iCs/>
                <w:color w:val="000000"/>
                <w:sz w:val="20"/>
                <w:szCs w:val="20"/>
              </w:rPr>
              <w:t>(a)</w:t>
            </w:r>
            <w:r>
              <w:rPr>
                <w:color w:val="000000"/>
                <w:sz w:val="14"/>
                <w:szCs w:val="14"/>
              </w:rPr>
              <w:t xml:space="preserve">    </w:t>
            </w:r>
            <w:r>
              <w:rPr>
                <w:rFonts w:ascii="Arial" w:eastAsia="Arial" w:hAnsi="Arial" w:cs="Arial"/>
                <w:i/>
                <w:iCs/>
                <w:color w:val="000000"/>
                <w:sz w:val="20"/>
                <w:szCs w:val="20"/>
              </w:rPr>
              <w:t xml:space="preserve">be simple, quick and inexpensive; </w:t>
            </w:r>
          </w:p>
          <w:p w:rsidR="00AD27C9" w:rsidRDefault="00F62F3F">
            <w:pPr>
              <w:spacing w:before="60" w:after="60" w:line="240" w:lineRule="atLeast"/>
              <w:ind w:left="1607" w:hanging="360"/>
              <w:jc w:val="both"/>
              <w:rPr>
                <w:color w:val="000000"/>
              </w:rPr>
            </w:pPr>
            <w:r>
              <w:rPr>
                <w:rFonts w:ascii="Arial" w:eastAsia="Arial" w:hAnsi="Arial" w:cs="Arial"/>
                <w:i/>
                <w:iCs/>
                <w:color w:val="000000"/>
                <w:sz w:val="20"/>
                <w:szCs w:val="20"/>
              </w:rPr>
              <w:t>(b)</w:t>
            </w:r>
            <w:r>
              <w:rPr>
                <w:color w:val="000000"/>
                <w:sz w:val="14"/>
                <w:szCs w:val="14"/>
              </w:rPr>
              <w:t xml:space="preserve">    </w:t>
            </w:r>
            <w:r>
              <w:rPr>
                <w:rFonts w:ascii="Arial" w:eastAsia="Arial" w:hAnsi="Arial" w:cs="Arial"/>
                <w:i/>
                <w:iCs/>
                <w:color w:val="000000"/>
                <w:sz w:val="20"/>
                <w:szCs w:val="20"/>
              </w:rPr>
              <w:t xml:space="preserve">preserve or enhance the relationship between the Disputing Parties; </w:t>
            </w:r>
          </w:p>
          <w:p w:rsidR="00AD27C9" w:rsidRDefault="00F62F3F">
            <w:pPr>
              <w:spacing w:before="60" w:after="60" w:line="240" w:lineRule="atLeast"/>
              <w:ind w:left="1607" w:hanging="360"/>
              <w:jc w:val="both"/>
              <w:rPr>
                <w:color w:val="000000"/>
              </w:rPr>
            </w:pPr>
            <w:r>
              <w:rPr>
                <w:rFonts w:ascii="Arial" w:eastAsia="Arial" w:hAnsi="Arial" w:cs="Arial"/>
                <w:i/>
                <w:iCs/>
                <w:color w:val="000000"/>
                <w:sz w:val="20"/>
                <w:szCs w:val="20"/>
              </w:rPr>
              <w:t>(c)</w:t>
            </w:r>
            <w:r>
              <w:rPr>
                <w:color w:val="000000"/>
                <w:sz w:val="14"/>
                <w:szCs w:val="14"/>
              </w:rPr>
              <w:t xml:space="preserve">    </w:t>
            </w:r>
            <w:r>
              <w:rPr>
                <w:rFonts w:ascii="Arial" w:eastAsia="Arial" w:hAnsi="Arial" w:cs="Arial"/>
                <w:i/>
                <w:iCs/>
                <w:strike/>
                <w:color w:val="FF0000"/>
                <w:sz w:val="20"/>
                <w:szCs w:val="20"/>
              </w:rPr>
              <w:t>resolve and</w:t>
            </w:r>
            <w:r>
              <w:rPr>
                <w:rFonts w:ascii="Arial" w:eastAsia="Arial" w:hAnsi="Arial" w:cs="Arial"/>
                <w:i/>
                <w:iCs/>
                <w:color w:val="FF0000"/>
                <w:sz w:val="20"/>
                <w:szCs w:val="20"/>
              </w:rPr>
              <w:t xml:space="preserve"> </w:t>
            </w:r>
            <w:r>
              <w:rPr>
                <w:rFonts w:ascii="Arial" w:eastAsia="Arial" w:hAnsi="Arial" w:cs="Arial"/>
                <w:i/>
                <w:iCs/>
                <w:color w:val="000000"/>
                <w:sz w:val="20"/>
                <w:szCs w:val="20"/>
              </w:rPr>
              <w:t xml:space="preserve">allow for the continuing and proper operation of the Code having regard to the Code Objectives; </w:t>
            </w:r>
          </w:p>
          <w:p w:rsidR="00AD27C9" w:rsidRDefault="00F62F3F">
            <w:pPr>
              <w:spacing w:before="60" w:after="60" w:line="240" w:lineRule="atLeast"/>
              <w:ind w:left="1607" w:hanging="360"/>
              <w:jc w:val="both"/>
              <w:rPr>
                <w:color w:val="000000"/>
              </w:rPr>
            </w:pPr>
            <w:r>
              <w:rPr>
                <w:rFonts w:ascii="Arial" w:eastAsia="Arial" w:hAnsi="Arial" w:cs="Arial"/>
                <w:i/>
                <w:iCs/>
                <w:color w:val="000000"/>
                <w:sz w:val="20"/>
                <w:szCs w:val="20"/>
              </w:rPr>
              <w:t>(d)</w:t>
            </w:r>
            <w:r>
              <w:rPr>
                <w:color w:val="000000"/>
                <w:sz w:val="14"/>
                <w:szCs w:val="14"/>
              </w:rPr>
              <w:t xml:space="preserve">    </w:t>
            </w:r>
            <w:r>
              <w:rPr>
                <w:rFonts w:ascii="Arial" w:eastAsia="Arial" w:hAnsi="Arial" w:cs="Arial"/>
                <w:i/>
                <w:iCs/>
                <w:color w:val="000000"/>
                <w:sz w:val="20"/>
                <w:szCs w:val="20"/>
              </w:rPr>
              <w:t xml:space="preserve">resolve Disputes </w:t>
            </w:r>
            <w:r>
              <w:rPr>
                <w:rFonts w:ascii="Arial" w:eastAsia="Arial" w:hAnsi="Arial" w:cs="Arial"/>
                <w:i/>
                <w:iCs/>
                <w:strike/>
                <w:color w:val="FF0000"/>
                <w:sz w:val="20"/>
                <w:szCs w:val="20"/>
              </w:rPr>
              <w:t>on an equitable basis</w:t>
            </w:r>
            <w:r>
              <w:rPr>
                <w:rFonts w:ascii="Arial" w:eastAsia="Arial" w:hAnsi="Arial" w:cs="Arial"/>
                <w:i/>
                <w:iCs/>
                <w:color w:val="FF0000"/>
                <w:sz w:val="20"/>
                <w:szCs w:val="20"/>
              </w:rPr>
              <w:t xml:space="preserve"> </w:t>
            </w:r>
            <w:r w:rsidRPr="000F2B85">
              <w:rPr>
                <w:rFonts w:ascii="Arial" w:eastAsia="Arial" w:hAnsi="Arial" w:cs="Arial"/>
                <w:i/>
                <w:iCs/>
                <w:color w:val="FF0000"/>
                <w:sz w:val="20"/>
                <w:szCs w:val="20"/>
              </w:rPr>
              <w:t>strictly</w:t>
            </w:r>
            <w:r>
              <w:rPr>
                <w:rFonts w:ascii="Arial" w:eastAsia="Arial" w:hAnsi="Arial" w:cs="Arial"/>
                <w:i/>
                <w:iCs/>
                <w:color w:val="2E97D3"/>
                <w:sz w:val="20"/>
                <w:szCs w:val="20"/>
              </w:rPr>
              <w:t xml:space="preserve"> </w:t>
            </w:r>
            <w:r>
              <w:rPr>
                <w:rFonts w:ascii="Arial" w:eastAsia="Arial" w:hAnsi="Arial" w:cs="Arial"/>
                <w:i/>
                <w:iCs/>
                <w:color w:val="000000"/>
                <w:sz w:val="20"/>
                <w:szCs w:val="20"/>
              </w:rPr>
              <w:t xml:space="preserve">in accordance with the provisions of the Code </w:t>
            </w:r>
            <w:r>
              <w:rPr>
                <w:rFonts w:ascii="Arial" w:eastAsia="Arial" w:hAnsi="Arial" w:cs="Arial"/>
                <w:i/>
                <w:iCs/>
                <w:strike/>
                <w:color w:val="FF0000"/>
                <w:sz w:val="20"/>
                <w:szCs w:val="20"/>
              </w:rPr>
              <w:t>having regard to the Code Objectives</w:t>
            </w:r>
            <w:r>
              <w:rPr>
                <w:rFonts w:ascii="Arial" w:eastAsia="Arial" w:hAnsi="Arial" w:cs="Arial"/>
                <w:i/>
                <w:iCs/>
                <w:color w:val="000000"/>
                <w:sz w:val="20"/>
                <w:szCs w:val="20"/>
              </w:rPr>
              <w:t xml:space="preserve">; </w:t>
            </w:r>
          </w:p>
          <w:p w:rsidR="00AD27C9" w:rsidRDefault="00F62F3F">
            <w:pPr>
              <w:spacing w:before="60" w:after="60" w:line="240" w:lineRule="atLeast"/>
              <w:ind w:left="1607" w:hanging="360"/>
              <w:jc w:val="both"/>
              <w:rPr>
                <w:color w:val="000000"/>
              </w:rPr>
            </w:pPr>
            <w:r>
              <w:rPr>
                <w:rFonts w:ascii="Arial" w:eastAsia="Arial" w:hAnsi="Arial" w:cs="Arial"/>
                <w:i/>
                <w:iCs/>
                <w:color w:val="000000"/>
                <w:sz w:val="20"/>
                <w:szCs w:val="20"/>
              </w:rPr>
              <w:t>(e)</w:t>
            </w:r>
            <w:r>
              <w:rPr>
                <w:color w:val="000000"/>
                <w:sz w:val="14"/>
                <w:szCs w:val="14"/>
              </w:rPr>
              <w:t xml:space="preserve">    </w:t>
            </w:r>
            <w:r>
              <w:rPr>
                <w:rFonts w:ascii="Arial" w:eastAsia="Arial" w:hAnsi="Arial" w:cs="Arial"/>
                <w:i/>
                <w:iCs/>
                <w:color w:val="000000"/>
                <w:sz w:val="20"/>
                <w:szCs w:val="20"/>
              </w:rPr>
              <w:t>take account of the skills and knowledge that are required for the relevant procedure; and</w:t>
            </w:r>
          </w:p>
          <w:p w:rsidR="00AD27C9" w:rsidRDefault="00F62F3F">
            <w:pPr>
              <w:spacing w:before="60" w:after="60" w:line="240" w:lineRule="atLeast"/>
              <w:ind w:left="1607" w:hanging="360"/>
              <w:jc w:val="both"/>
              <w:rPr>
                <w:color w:val="000000"/>
              </w:rPr>
            </w:pPr>
            <w:r>
              <w:rPr>
                <w:rFonts w:ascii="Arial" w:eastAsia="Arial" w:hAnsi="Arial" w:cs="Arial"/>
                <w:i/>
                <w:iCs/>
                <w:color w:val="000000"/>
                <w:sz w:val="20"/>
                <w:szCs w:val="20"/>
              </w:rPr>
              <w:t>(f)</w:t>
            </w:r>
            <w:r>
              <w:rPr>
                <w:color w:val="000000"/>
                <w:sz w:val="14"/>
                <w:szCs w:val="14"/>
              </w:rPr>
              <w:t xml:space="preserve">      </w:t>
            </w:r>
            <w:r>
              <w:rPr>
                <w:rFonts w:ascii="Arial" w:eastAsia="Arial" w:hAnsi="Arial" w:cs="Arial"/>
                <w:i/>
                <w:iCs/>
                <w:color w:val="000000"/>
                <w:sz w:val="20"/>
                <w:szCs w:val="20"/>
              </w:rPr>
              <w:t xml:space="preserve">encourage resolution of Disputes without formal legal representation or reliance on legal procedures. </w:t>
            </w:r>
          </w:p>
          <w:p w:rsidR="00AD27C9" w:rsidRDefault="00AD27C9">
            <w:pPr>
              <w:spacing w:line="480" w:lineRule="auto"/>
              <w:rPr>
                <w:rFonts w:ascii="Calibri" w:eastAsia="Calibri" w:hAnsi="Calibri" w:cs="Calibri"/>
                <w:color w:val="000000"/>
                <w:sz w:val="20"/>
                <w:szCs w:val="20"/>
              </w:rPr>
            </w:pPr>
          </w:p>
          <w:p w:rsidR="00AD27C9" w:rsidRDefault="00F62F3F">
            <w:pPr>
              <w:spacing w:before="60" w:after="60" w:line="240" w:lineRule="atLeast"/>
              <w:ind w:left="720"/>
              <w:jc w:val="both"/>
              <w:rPr>
                <w:color w:val="000000"/>
              </w:rPr>
            </w:pPr>
            <w:r>
              <w:rPr>
                <w:rFonts w:ascii="Arial" w:eastAsia="Arial" w:hAnsi="Arial" w:cs="Arial"/>
                <w:b/>
                <w:bCs/>
                <w:color w:val="000000"/>
                <w:sz w:val="20"/>
                <w:szCs w:val="20"/>
              </w:rPr>
              <w:t>B.19.6</w:t>
            </w:r>
            <w:r>
              <w:rPr>
                <w:rFonts w:ascii="Arial" w:eastAsia="Arial" w:hAnsi="Arial" w:cs="Arial"/>
                <w:color w:val="000000"/>
              </w:rPr>
              <w:tab/>
            </w:r>
            <w:r>
              <w:rPr>
                <w:rFonts w:ascii="Arial" w:eastAsia="Arial" w:hAnsi="Arial" w:cs="Arial"/>
                <w:b/>
                <w:bCs/>
                <w:color w:val="000000"/>
                <w:sz w:val="20"/>
                <w:szCs w:val="20"/>
              </w:rPr>
              <w:t xml:space="preserve">Dispute Resolution Board </w:t>
            </w:r>
          </w:p>
          <w:p w:rsidR="00AD27C9" w:rsidRPr="000F2B85" w:rsidRDefault="00F62F3F">
            <w:pPr>
              <w:spacing w:before="60" w:after="60" w:line="240" w:lineRule="atLeast"/>
              <w:ind w:left="720"/>
              <w:jc w:val="both"/>
              <w:rPr>
                <w:color w:val="FF0000"/>
              </w:rPr>
            </w:pPr>
            <w:r w:rsidRPr="000F2B85">
              <w:rPr>
                <w:rFonts w:ascii="Arial" w:eastAsia="Arial" w:hAnsi="Arial" w:cs="Arial"/>
                <w:color w:val="FF0000"/>
                <w:sz w:val="20"/>
                <w:szCs w:val="20"/>
              </w:rPr>
              <w:t>B.19.6.</w:t>
            </w:r>
            <w:r w:rsidR="002A318A">
              <w:rPr>
                <w:rFonts w:ascii="Arial" w:eastAsia="Arial" w:hAnsi="Arial" w:cs="Arial"/>
                <w:color w:val="FF0000"/>
                <w:sz w:val="20"/>
                <w:szCs w:val="20"/>
              </w:rPr>
              <w:t>1 A</w:t>
            </w:r>
            <w:r w:rsidRPr="000F2B85">
              <w:rPr>
                <w:rFonts w:ascii="Arial" w:eastAsia="Arial" w:hAnsi="Arial" w:cs="Arial"/>
                <w:color w:val="FF0000"/>
                <w:sz w:val="20"/>
                <w:szCs w:val="20"/>
              </w:rPr>
              <w:t xml:space="preserve"> The role of the DRB shall be to investigate any Dispute in order to decide whether or not the Disputing Parties have acted in accordance with the provisions of the Code. </w:t>
            </w:r>
          </w:p>
          <w:p w:rsidR="00AD27C9" w:rsidRDefault="00AD27C9">
            <w:pPr>
              <w:spacing w:line="480" w:lineRule="auto"/>
              <w:rPr>
                <w:rFonts w:ascii="Calibri" w:eastAsia="Calibri" w:hAnsi="Calibri" w:cs="Calibri"/>
                <w:color w:val="000000"/>
                <w:sz w:val="20"/>
                <w:szCs w:val="20"/>
              </w:rPr>
            </w:pPr>
          </w:p>
          <w:p w:rsidR="00AD27C9" w:rsidRDefault="00F62F3F">
            <w:pPr>
              <w:spacing w:before="60" w:after="60" w:line="240" w:lineRule="atLeast"/>
              <w:ind w:left="720"/>
              <w:jc w:val="both"/>
              <w:rPr>
                <w:color w:val="000000"/>
              </w:rPr>
            </w:pPr>
            <w:r>
              <w:rPr>
                <w:rFonts w:ascii="Arial" w:eastAsia="Arial" w:hAnsi="Arial" w:cs="Arial"/>
                <w:b/>
                <w:bCs/>
                <w:color w:val="000000"/>
                <w:sz w:val="20"/>
                <w:szCs w:val="20"/>
              </w:rPr>
              <w:t>B.19.10</w:t>
            </w:r>
            <w:r>
              <w:rPr>
                <w:rFonts w:ascii="Arial" w:eastAsia="Arial" w:hAnsi="Arial" w:cs="Arial"/>
                <w:color w:val="000000"/>
              </w:rPr>
              <w:tab/>
            </w:r>
            <w:r>
              <w:rPr>
                <w:rFonts w:ascii="Arial" w:eastAsia="Arial" w:hAnsi="Arial" w:cs="Arial"/>
                <w:b/>
                <w:bCs/>
                <w:color w:val="000000"/>
                <w:sz w:val="20"/>
                <w:szCs w:val="20"/>
              </w:rPr>
              <w:t>DRB Decisions</w:t>
            </w:r>
          </w:p>
          <w:p w:rsidR="00AD27C9" w:rsidRDefault="00F62F3F">
            <w:pPr>
              <w:spacing w:before="60" w:after="60" w:line="240" w:lineRule="atLeast"/>
              <w:ind w:left="720"/>
              <w:jc w:val="both"/>
              <w:rPr>
                <w:color w:val="000000"/>
              </w:rPr>
            </w:pPr>
            <w:r>
              <w:rPr>
                <w:rFonts w:ascii="Arial" w:eastAsia="Arial" w:hAnsi="Arial" w:cs="Arial"/>
                <w:color w:val="000000"/>
                <w:sz w:val="20"/>
                <w:szCs w:val="20"/>
              </w:rPr>
              <w:t>B.19.10.1</w:t>
            </w:r>
            <w:r>
              <w:rPr>
                <w:rFonts w:ascii="Arial" w:eastAsia="Arial" w:hAnsi="Arial" w:cs="Arial"/>
                <w:color w:val="000000"/>
              </w:rPr>
              <w:tab/>
            </w:r>
            <w:r>
              <w:rPr>
                <w:rFonts w:ascii="Arial" w:eastAsia="Arial" w:hAnsi="Arial" w:cs="Arial"/>
                <w:color w:val="000000"/>
                <w:sz w:val="20"/>
                <w:szCs w:val="20"/>
              </w:rPr>
              <w:t xml:space="preserve">DRB decisions </w:t>
            </w:r>
            <w:r w:rsidRPr="000F2B85">
              <w:rPr>
                <w:rFonts w:ascii="Arial" w:eastAsia="Arial" w:hAnsi="Arial" w:cs="Arial"/>
                <w:color w:val="FF0000"/>
                <w:sz w:val="20"/>
                <w:szCs w:val="20"/>
              </w:rPr>
              <w:t>shall be limited to the following courses of action:</w:t>
            </w:r>
            <w:r>
              <w:rPr>
                <w:rFonts w:ascii="Arial" w:eastAsia="Arial" w:hAnsi="Arial" w:cs="Arial"/>
                <w:color w:val="2E97D3"/>
                <w:sz w:val="20"/>
                <w:szCs w:val="20"/>
              </w:rPr>
              <w:t xml:space="preserve"> </w:t>
            </w:r>
          </w:p>
          <w:p w:rsidR="00AD27C9" w:rsidRDefault="00F62F3F">
            <w:pPr>
              <w:spacing w:before="60" w:after="60" w:line="240" w:lineRule="atLeast"/>
              <w:ind w:left="1440" w:hanging="360"/>
              <w:jc w:val="both"/>
              <w:rPr>
                <w:color w:val="000000"/>
              </w:rPr>
            </w:pPr>
            <w:r>
              <w:rPr>
                <w:rFonts w:ascii="Arial" w:eastAsia="Arial" w:hAnsi="Arial" w:cs="Arial"/>
                <w:color w:val="000000"/>
                <w:sz w:val="20"/>
                <w:szCs w:val="20"/>
              </w:rPr>
              <w:t>(a)</w:t>
            </w:r>
            <w:r>
              <w:rPr>
                <w:color w:val="000000"/>
                <w:sz w:val="14"/>
                <w:szCs w:val="14"/>
              </w:rPr>
              <w:t xml:space="preserve">    </w:t>
            </w:r>
            <w:r w:rsidRPr="007071A2">
              <w:rPr>
                <w:rFonts w:ascii="Arial" w:eastAsia="Arial" w:hAnsi="Arial" w:cs="Arial"/>
                <w:strike/>
                <w:color w:val="FF0000"/>
                <w:sz w:val="20"/>
                <w:szCs w:val="20"/>
              </w:rPr>
              <w:t>declar</w:t>
            </w:r>
            <w:r w:rsidR="007071A2" w:rsidRPr="007071A2">
              <w:rPr>
                <w:rFonts w:ascii="Arial" w:eastAsia="Arial" w:hAnsi="Arial" w:cs="Arial"/>
                <w:strike/>
                <w:color w:val="FF0000"/>
                <w:sz w:val="20"/>
                <w:szCs w:val="20"/>
              </w:rPr>
              <w:t>e</w:t>
            </w:r>
            <w:r>
              <w:rPr>
                <w:rFonts w:ascii="Arial" w:eastAsia="Arial" w:hAnsi="Arial" w:cs="Arial"/>
                <w:color w:val="000000"/>
                <w:sz w:val="20"/>
                <w:szCs w:val="20"/>
              </w:rPr>
              <w:t xml:space="preserve"> </w:t>
            </w:r>
            <w:r w:rsidR="007071A2" w:rsidRPr="007071A2">
              <w:rPr>
                <w:rFonts w:ascii="Arial" w:eastAsia="Arial" w:hAnsi="Arial" w:cs="Arial"/>
                <w:color w:val="FF0000"/>
                <w:sz w:val="20"/>
                <w:szCs w:val="20"/>
              </w:rPr>
              <w:t>declaring</w:t>
            </w:r>
            <w:r w:rsidR="007071A2">
              <w:rPr>
                <w:rFonts w:ascii="Arial" w:eastAsia="Arial" w:hAnsi="Arial" w:cs="Arial"/>
                <w:color w:val="000000"/>
                <w:sz w:val="20"/>
                <w:szCs w:val="20"/>
              </w:rPr>
              <w:t xml:space="preserve"> </w:t>
            </w:r>
            <w:r>
              <w:rPr>
                <w:rFonts w:ascii="Arial" w:eastAsia="Arial" w:hAnsi="Arial" w:cs="Arial"/>
                <w:color w:val="000000"/>
                <w:sz w:val="20"/>
                <w:szCs w:val="20"/>
              </w:rPr>
              <w:t>that:</w:t>
            </w:r>
          </w:p>
          <w:p w:rsidR="00AD27C9" w:rsidRDefault="00F62F3F">
            <w:pPr>
              <w:spacing w:before="60" w:after="60" w:line="240" w:lineRule="atLeast"/>
              <w:ind w:left="2160" w:hanging="360"/>
              <w:jc w:val="both"/>
              <w:rPr>
                <w:color w:val="000000"/>
              </w:rPr>
            </w:pPr>
            <w:r>
              <w:rPr>
                <w:rFonts w:ascii="Arial" w:eastAsia="Arial" w:hAnsi="Arial" w:cs="Arial"/>
                <w:color w:val="000000"/>
                <w:sz w:val="20"/>
                <w:szCs w:val="20"/>
              </w:rPr>
              <w:t>(</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w:t>
            </w:r>
            <w:r>
              <w:rPr>
                <w:color w:val="000000"/>
                <w:sz w:val="14"/>
                <w:szCs w:val="14"/>
              </w:rPr>
              <w:t xml:space="preserve">      </w:t>
            </w:r>
            <w:r>
              <w:rPr>
                <w:rFonts w:ascii="Arial" w:eastAsia="Arial" w:hAnsi="Arial" w:cs="Arial"/>
                <w:color w:val="000000"/>
                <w:sz w:val="20"/>
                <w:szCs w:val="20"/>
              </w:rPr>
              <w:t xml:space="preserve">the Dispute has been wholly or partially upheld </w:t>
            </w:r>
            <w:r w:rsidRPr="000F2B85">
              <w:rPr>
                <w:rFonts w:ascii="Arial" w:eastAsia="Arial" w:hAnsi="Arial" w:cs="Arial"/>
                <w:color w:val="FF0000"/>
                <w:sz w:val="20"/>
                <w:szCs w:val="20"/>
              </w:rPr>
              <w:t>because the relevant Party did not act in accordance with the provisions of the Code</w:t>
            </w:r>
            <w:r w:rsidRPr="000F2B85">
              <w:rPr>
                <w:rFonts w:ascii="Arial" w:eastAsia="Arial" w:hAnsi="Arial" w:cs="Arial"/>
                <w:color w:val="000000"/>
                <w:sz w:val="20"/>
                <w:szCs w:val="20"/>
              </w:rPr>
              <w:t xml:space="preserve">; </w:t>
            </w:r>
            <w:r>
              <w:rPr>
                <w:rFonts w:ascii="Arial" w:eastAsia="Arial" w:hAnsi="Arial" w:cs="Arial"/>
                <w:color w:val="000000"/>
                <w:sz w:val="20"/>
                <w:szCs w:val="20"/>
              </w:rPr>
              <w:t>or</w:t>
            </w:r>
          </w:p>
          <w:p w:rsidR="00AD27C9" w:rsidRDefault="00F62F3F">
            <w:pPr>
              <w:spacing w:before="60" w:after="60" w:line="240" w:lineRule="atLeast"/>
              <w:ind w:left="2160" w:hanging="360"/>
              <w:jc w:val="both"/>
              <w:rPr>
                <w:color w:val="000000"/>
              </w:rPr>
            </w:pPr>
            <w:r>
              <w:rPr>
                <w:rFonts w:ascii="Arial" w:eastAsia="Arial" w:hAnsi="Arial" w:cs="Arial"/>
                <w:color w:val="000000"/>
                <w:sz w:val="20"/>
                <w:szCs w:val="20"/>
              </w:rPr>
              <w:t>(ii)</w:t>
            </w:r>
            <w:r>
              <w:rPr>
                <w:color w:val="000000"/>
                <w:sz w:val="14"/>
                <w:szCs w:val="14"/>
              </w:rPr>
              <w:t xml:space="preserve">     </w:t>
            </w:r>
            <w:r>
              <w:rPr>
                <w:rFonts w:ascii="Arial" w:eastAsia="Arial" w:hAnsi="Arial" w:cs="Arial"/>
                <w:color w:val="000000"/>
                <w:sz w:val="20"/>
                <w:szCs w:val="20"/>
              </w:rPr>
              <w:t xml:space="preserve">the Dispute has not been upheld </w:t>
            </w:r>
            <w:r w:rsidRPr="000F2B85">
              <w:rPr>
                <w:rFonts w:ascii="Arial" w:eastAsia="Arial" w:hAnsi="Arial" w:cs="Arial"/>
                <w:color w:val="FF0000"/>
                <w:sz w:val="20"/>
                <w:szCs w:val="20"/>
              </w:rPr>
              <w:t>because the relevant Party has acted in accordance with the provisions of the Code</w:t>
            </w:r>
            <w:r>
              <w:rPr>
                <w:rFonts w:ascii="Arial" w:eastAsia="Arial" w:hAnsi="Arial" w:cs="Arial"/>
                <w:color w:val="000000"/>
                <w:sz w:val="20"/>
                <w:szCs w:val="20"/>
              </w:rPr>
              <w:t xml:space="preserve">; </w:t>
            </w:r>
          </w:p>
          <w:p w:rsidR="00AD27C9" w:rsidRPr="000F2B85" w:rsidRDefault="00F62F3F">
            <w:pPr>
              <w:spacing w:before="60" w:after="60" w:line="240" w:lineRule="atLeast"/>
              <w:ind w:left="1440" w:hanging="360"/>
              <w:jc w:val="both"/>
              <w:rPr>
                <w:color w:val="FF0000"/>
              </w:rPr>
            </w:pPr>
            <w:r>
              <w:rPr>
                <w:rFonts w:ascii="Arial" w:eastAsia="Arial" w:hAnsi="Arial" w:cs="Arial"/>
                <w:color w:val="000000"/>
                <w:sz w:val="20"/>
                <w:szCs w:val="20"/>
              </w:rPr>
              <w:t>(b)</w:t>
            </w:r>
            <w:r>
              <w:rPr>
                <w:color w:val="000000"/>
                <w:sz w:val="14"/>
                <w:szCs w:val="14"/>
              </w:rPr>
              <w:t xml:space="preserve">    </w:t>
            </w:r>
            <w:r w:rsidRPr="007071A2">
              <w:rPr>
                <w:rFonts w:ascii="Arial" w:eastAsia="Arial" w:hAnsi="Arial" w:cs="Arial"/>
                <w:strike/>
                <w:color w:val="FF0000"/>
                <w:sz w:val="20"/>
                <w:szCs w:val="20"/>
              </w:rPr>
              <w:t>declare</w:t>
            </w:r>
            <w:r w:rsidR="007071A2">
              <w:rPr>
                <w:rFonts w:ascii="Arial" w:eastAsia="Arial" w:hAnsi="Arial" w:cs="Arial"/>
                <w:color w:val="000000"/>
                <w:sz w:val="20"/>
                <w:szCs w:val="20"/>
              </w:rPr>
              <w:t xml:space="preserve"> </w:t>
            </w:r>
            <w:r w:rsidR="007071A2" w:rsidRPr="007071A2">
              <w:rPr>
                <w:rFonts w:ascii="Arial" w:eastAsia="Arial" w:hAnsi="Arial" w:cs="Arial"/>
                <w:color w:val="FF0000"/>
                <w:sz w:val="20"/>
                <w:szCs w:val="20"/>
              </w:rPr>
              <w:t>declaring</w:t>
            </w:r>
            <w:r>
              <w:rPr>
                <w:rFonts w:ascii="Arial" w:eastAsia="Arial" w:hAnsi="Arial" w:cs="Arial"/>
                <w:color w:val="000000"/>
                <w:sz w:val="20"/>
                <w:szCs w:val="20"/>
              </w:rPr>
              <w:t xml:space="preserve"> the correct application or interpretation of a provision of the </w:t>
            </w:r>
            <w:r w:rsidRPr="007071A2">
              <w:rPr>
                <w:rFonts w:ascii="Arial" w:eastAsia="Arial" w:hAnsi="Arial" w:cs="Arial"/>
                <w:color w:val="000000" w:themeColor="text1"/>
                <w:sz w:val="20"/>
                <w:szCs w:val="20"/>
              </w:rPr>
              <w:t>Code</w:t>
            </w:r>
            <w:r w:rsidR="000F2B85">
              <w:rPr>
                <w:rFonts w:ascii="Arial" w:eastAsia="Arial" w:hAnsi="Arial" w:cs="Arial"/>
                <w:color w:val="FF0000"/>
                <w:sz w:val="20"/>
                <w:szCs w:val="20"/>
              </w:rPr>
              <w:t xml:space="preserve"> having regard to Code Objectives;</w:t>
            </w:r>
            <w:r w:rsidRPr="000F2B85">
              <w:rPr>
                <w:rFonts w:ascii="Arial" w:eastAsia="Arial" w:hAnsi="Arial" w:cs="Arial"/>
                <w:color w:val="FF0000"/>
                <w:sz w:val="20"/>
                <w:szCs w:val="20"/>
              </w:rPr>
              <w:t xml:space="preserve"> </w:t>
            </w:r>
          </w:p>
          <w:p w:rsidR="00AD27C9" w:rsidRDefault="00F62F3F">
            <w:pPr>
              <w:spacing w:before="60" w:after="60" w:line="240" w:lineRule="atLeast"/>
              <w:ind w:left="1440" w:hanging="360"/>
              <w:jc w:val="both"/>
              <w:rPr>
                <w:color w:val="000000"/>
              </w:rPr>
            </w:pPr>
            <w:r>
              <w:rPr>
                <w:rFonts w:ascii="Arial" w:eastAsia="Arial" w:hAnsi="Arial" w:cs="Arial"/>
                <w:color w:val="000000"/>
                <w:sz w:val="20"/>
                <w:szCs w:val="20"/>
              </w:rPr>
              <w:t>(c)</w:t>
            </w:r>
            <w:r>
              <w:rPr>
                <w:color w:val="000000"/>
                <w:sz w:val="14"/>
                <w:szCs w:val="14"/>
              </w:rPr>
              <w:t xml:space="preserve">    </w:t>
            </w:r>
            <w:r w:rsidRPr="007071A2">
              <w:rPr>
                <w:rFonts w:ascii="Arial" w:eastAsia="Arial" w:hAnsi="Arial" w:cs="Arial"/>
                <w:strike/>
                <w:color w:val="FF0000"/>
                <w:sz w:val="20"/>
                <w:szCs w:val="20"/>
              </w:rPr>
              <w:t>advise</w:t>
            </w:r>
            <w:r>
              <w:rPr>
                <w:rFonts w:ascii="Arial" w:eastAsia="Arial" w:hAnsi="Arial" w:cs="Arial"/>
                <w:color w:val="000000"/>
                <w:sz w:val="20"/>
                <w:szCs w:val="20"/>
              </w:rPr>
              <w:t xml:space="preserve"> </w:t>
            </w:r>
            <w:r w:rsidR="007071A2" w:rsidRPr="007071A2">
              <w:rPr>
                <w:rFonts w:ascii="Arial" w:eastAsia="Arial" w:hAnsi="Arial" w:cs="Arial"/>
                <w:color w:val="FF0000"/>
                <w:sz w:val="20"/>
                <w:szCs w:val="20"/>
              </w:rPr>
              <w:t>advising</w:t>
            </w:r>
            <w:r w:rsidR="007071A2">
              <w:rPr>
                <w:rFonts w:ascii="Arial" w:eastAsia="Arial" w:hAnsi="Arial" w:cs="Arial"/>
                <w:color w:val="000000"/>
                <w:sz w:val="20"/>
                <w:szCs w:val="20"/>
              </w:rPr>
              <w:t xml:space="preserve"> </w:t>
            </w:r>
            <w:r>
              <w:rPr>
                <w:rFonts w:ascii="Arial" w:eastAsia="Arial" w:hAnsi="Arial" w:cs="Arial"/>
                <w:color w:val="000000"/>
                <w:sz w:val="20"/>
                <w:szCs w:val="20"/>
              </w:rPr>
              <w:t xml:space="preserve">any other form of relief </w:t>
            </w:r>
            <w:r w:rsidRPr="000F2B85">
              <w:rPr>
                <w:rFonts w:ascii="Arial" w:eastAsia="Arial" w:hAnsi="Arial" w:cs="Arial"/>
                <w:color w:val="FF0000"/>
                <w:sz w:val="20"/>
                <w:szCs w:val="20"/>
              </w:rPr>
              <w:t>arising from a breach of the provisions of the Code</w:t>
            </w:r>
            <w:r>
              <w:rPr>
                <w:rFonts w:ascii="Arial" w:eastAsia="Arial" w:hAnsi="Arial" w:cs="Arial"/>
                <w:color w:val="000000"/>
                <w:sz w:val="20"/>
                <w:szCs w:val="20"/>
              </w:rPr>
              <w:t xml:space="preserve"> that may be appropriate in the circumstances; </w:t>
            </w:r>
            <w:r>
              <w:rPr>
                <w:rFonts w:ascii="Arial" w:eastAsia="Arial" w:hAnsi="Arial" w:cs="Arial"/>
                <w:strike/>
                <w:color w:val="FF0000"/>
                <w:sz w:val="20"/>
                <w:szCs w:val="20"/>
              </w:rPr>
              <w:t xml:space="preserve">or </w:t>
            </w:r>
          </w:p>
          <w:p w:rsidR="00AD27C9" w:rsidRPr="000F2B85" w:rsidRDefault="00F62F3F">
            <w:pPr>
              <w:spacing w:before="60" w:after="60" w:line="240" w:lineRule="atLeast"/>
              <w:ind w:left="1440" w:hanging="360"/>
              <w:jc w:val="both"/>
              <w:rPr>
                <w:color w:val="FF0000"/>
              </w:rPr>
            </w:pPr>
            <w:r w:rsidRPr="000F2B85">
              <w:rPr>
                <w:rFonts w:ascii="Arial" w:eastAsia="Arial" w:hAnsi="Arial" w:cs="Arial"/>
                <w:color w:val="FF0000"/>
                <w:sz w:val="20"/>
                <w:szCs w:val="20"/>
              </w:rPr>
              <w:t>(d)</w:t>
            </w:r>
            <w:r>
              <w:rPr>
                <w:color w:val="000000"/>
                <w:sz w:val="14"/>
                <w:szCs w:val="14"/>
              </w:rPr>
              <w:t xml:space="preserve">    </w:t>
            </w:r>
            <w:r w:rsidRPr="007071A2">
              <w:rPr>
                <w:rFonts w:ascii="Arial" w:eastAsia="Arial" w:hAnsi="Arial" w:cs="Arial"/>
                <w:strike/>
                <w:color w:val="FF0000"/>
                <w:sz w:val="20"/>
                <w:szCs w:val="20"/>
              </w:rPr>
              <w:t>recommend</w:t>
            </w:r>
            <w:r>
              <w:rPr>
                <w:rFonts w:ascii="Arial" w:eastAsia="Arial" w:hAnsi="Arial" w:cs="Arial"/>
                <w:color w:val="000000"/>
                <w:sz w:val="20"/>
                <w:szCs w:val="20"/>
              </w:rPr>
              <w:t xml:space="preserve"> </w:t>
            </w:r>
            <w:r w:rsidR="007071A2" w:rsidRPr="007071A2">
              <w:rPr>
                <w:rFonts w:ascii="Arial" w:eastAsia="Arial" w:hAnsi="Arial" w:cs="Arial"/>
                <w:color w:val="FF0000"/>
                <w:sz w:val="20"/>
                <w:szCs w:val="20"/>
              </w:rPr>
              <w:t>recommending</w:t>
            </w:r>
            <w:r w:rsidR="007071A2">
              <w:rPr>
                <w:rFonts w:ascii="Arial" w:eastAsia="Arial" w:hAnsi="Arial" w:cs="Arial"/>
                <w:color w:val="000000"/>
                <w:sz w:val="20"/>
                <w:szCs w:val="20"/>
              </w:rPr>
              <w:t xml:space="preserve"> </w:t>
            </w:r>
            <w:r>
              <w:rPr>
                <w:rFonts w:ascii="Arial" w:eastAsia="Arial" w:hAnsi="Arial" w:cs="Arial"/>
                <w:color w:val="000000"/>
                <w:sz w:val="20"/>
                <w:szCs w:val="20"/>
              </w:rPr>
              <w:t xml:space="preserve">that a Disputing Party take a specified action within a specified timeframe </w:t>
            </w:r>
            <w:r w:rsidRPr="000F2B85">
              <w:rPr>
                <w:rFonts w:ascii="Arial" w:eastAsia="Arial" w:hAnsi="Arial" w:cs="Arial"/>
                <w:color w:val="FF0000"/>
                <w:sz w:val="20"/>
                <w:szCs w:val="20"/>
              </w:rPr>
              <w:t xml:space="preserve">where such action will remedy a breach of the provisions of the Code or </w:t>
            </w:r>
          </w:p>
          <w:p w:rsidR="00AD27C9" w:rsidRPr="00F62F3F" w:rsidRDefault="00F62F3F">
            <w:pPr>
              <w:spacing w:before="60" w:after="60" w:line="240" w:lineRule="atLeast"/>
              <w:ind w:left="1440" w:hanging="360"/>
              <w:jc w:val="both"/>
              <w:rPr>
                <w:color w:val="FF0000"/>
              </w:rPr>
            </w:pPr>
            <w:r w:rsidRPr="00F62F3F">
              <w:rPr>
                <w:rFonts w:ascii="Arial" w:eastAsia="Arial" w:hAnsi="Arial" w:cs="Arial"/>
                <w:color w:val="FF0000"/>
                <w:sz w:val="20"/>
                <w:szCs w:val="20"/>
              </w:rPr>
              <w:t>(e) advis</w:t>
            </w:r>
            <w:r w:rsidR="007071A2">
              <w:rPr>
                <w:rFonts w:ascii="Arial" w:eastAsia="Arial" w:hAnsi="Arial" w:cs="Arial"/>
                <w:color w:val="FF0000"/>
                <w:sz w:val="20"/>
                <w:szCs w:val="20"/>
              </w:rPr>
              <w:t>ing</w:t>
            </w:r>
            <w:r w:rsidRPr="00F62F3F">
              <w:rPr>
                <w:rFonts w:ascii="Arial" w:eastAsia="Arial" w:hAnsi="Arial" w:cs="Arial"/>
                <w:color w:val="FF0000"/>
                <w:sz w:val="20"/>
                <w:szCs w:val="20"/>
              </w:rPr>
              <w:t xml:space="preserve"> that no relief is possible:</w:t>
            </w:r>
          </w:p>
          <w:p w:rsidR="00AD27C9" w:rsidRPr="00F62F3F" w:rsidRDefault="00F62F3F">
            <w:pPr>
              <w:spacing w:before="60" w:after="60" w:line="240" w:lineRule="atLeast"/>
              <w:ind w:left="1800" w:hanging="360"/>
              <w:jc w:val="both"/>
              <w:rPr>
                <w:color w:val="FF0000"/>
              </w:rPr>
            </w:pPr>
            <w:r w:rsidRPr="00F62F3F">
              <w:rPr>
                <w:rFonts w:ascii="Arial" w:eastAsia="Arial" w:hAnsi="Arial" w:cs="Arial"/>
                <w:color w:val="FF0000"/>
                <w:sz w:val="20"/>
                <w:szCs w:val="20"/>
              </w:rPr>
              <w:t xml:space="preserve"> (</w:t>
            </w:r>
            <w:proofErr w:type="spellStart"/>
            <w:r w:rsidRPr="00F62F3F">
              <w:rPr>
                <w:rFonts w:ascii="Arial" w:eastAsia="Arial" w:hAnsi="Arial" w:cs="Arial"/>
                <w:color w:val="FF0000"/>
                <w:sz w:val="20"/>
                <w:szCs w:val="20"/>
              </w:rPr>
              <w:t>i</w:t>
            </w:r>
            <w:proofErr w:type="spellEnd"/>
            <w:r w:rsidRPr="00F62F3F">
              <w:rPr>
                <w:rFonts w:ascii="Arial" w:eastAsia="Arial" w:hAnsi="Arial" w:cs="Arial"/>
                <w:color w:val="FF0000"/>
                <w:sz w:val="20"/>
                <w:szCs w:val="20"/>
              </w:rPr>
              <w:t xml:space="preserve">) as no provisions of the Code have been breached or </w:t>
            </w:r>
          </w:p>
          <w:p w:rsidR="00AD27C9" w:rsidRPr="00F62F3F" w:rsidRDefault="00F62F3F">
            <w:pPr>
              <w:spacing w:before="60" w:after="60" w:line="240" w:lineRule="atLeast"/>
              <w:ind w:left="1800" w:hanging="360"/>
              <w:jc w:val="both"/>
              <w:rPr>
                <w:color w:val="FF0000"/>
              </w:rPr>
            </w:pPr>
            <w:r w:rsidRPr="00F62F3F">
              <w:rPr>
                <w:rFonts w:ascii="Arial" w:eastAsia="Arial" w:hAnsi="Arial" w:cs="Arial"/>
                <w:color w:val="FF0000"/>
                <w:sz w:val="20"/>
                <w:szCs w:val="20"/>
              </w:rPr>
              <w:t>(ii) as the remedies sought are not provided for in the Code.</w:t>
            </w:r>
          </w:p>
          <w:p w:rsidR="001D0DE4" w:rsidRDefault="001D0DE4">
            <w:pPr>
              <w:spacing w:line="480" w:lineRule="auto"/>
              <w:rPr>
                <w:rFonts w:ascii="Arial" w:eastAsia="Arial" w:hAnsi="Arial" w:cs="Arial"/>
                <w:b/>
                <w:bCs/>
                <w:color w:val="000000"/>
                <w:sz w:val="20"/>
                <w:szCs w:val="20"/>
              </w:rPr>
            </w:pPr>
          </w:p>
          <w:p w:rsidR="00AD27C9" w:rsidRPr="001D0DE4" w:rsidRDefault="001D0DE4" w:rsidP="001D0DE4">
            <w:pPr>
              <w:spacing w:line="480" w:lineRule="auto"/>
              <w:ind w:left="761"/>
              <w:rPr>
                <w:rFonts w:ascii="Arial" w:eastAsia="Arial" w:hAnsi="Arial" w:cs="Arial"/>
                <w:b/>
                <w:bCs/>
                <w:color w:val="000000"/>
                <w:sz w:val="20"/>
                <w:szCs w:val="20"/>
              </w:rPr>
            </w:pPr>
            <w:r w:rsidRPr="001D0DE4">
              <w:rPr>
                <w:rFonts w:ascii="Arial" w:eastAsia="Arial" w:hAnsi="Arial" w:cs="Arial"/>
                <w:b/>
                <w:bCs/>
                <w:color w:val="000000"/>
                <w:sz w:val="20"/>
                <w:szCs w:val="20"/>
              </w:rPr>
              <w:t>Appendix B: Template for Dispute Resolution Agreement</w:t>
            </w:r>
          </w:p>
          <w:p w:rsidR="001D0DE4" w:rsidRPr="001D0DE4" w:rsidRDefault="001D0DE4" w:rsidP="001D0DE4">
            <w:pPr>
              <w:pStyle w:val="CERBODY"/>
              <w:ind w:left="761"/>
              <w:rPr>
                <w:rFonts w:cs="Arial"/>
                <w:b/>
                <w:sz w:val="20"/>
                <w:szCs w:val="20"/>
                <w:lang w:val="en-IE"/>
              </w:rPr>
            </w:pPr>
            <w:r w:rsidRPr="001D0DE4">
              <w:rPr>
                <w:rFonts w:cs="Arial"/>
                <w:b/>
                <w:sz w:val="20"/>
                <w:szCs w:val="20"/>
                <w:lang w:val="en-IE"/>
              </w:rPr>
              <w:t>4.</w:t>
            </w:r>
            <w:r w:rsidRPr="001D0DE4">
              <w:rPr>
                <w:rFonts w:cs="Arial"/>
                <w:b/>
                <w:sz w:val="20"/>
                <w:szCs w:val="20"/>
                <w:lang w:val="en-IE"/>
              </w:rPr>
              <w:tab/>
              <w:t>Objectives of the Dispute Resolution Procedure</w:t>
            </w:r>
          </w:p>
          <w:p w:rsidR="001D0DE4" w:rsidRPr="001D0DE4" w:rsidRDefault="001D0DE4" w:rsidP="001D0DE4">
            <w:pPr>
              <w:pStyle w:val="CERBODY"/>
              <w:ind w:left="851" w:hanging="90"/>
              <w:rPr>
                <w:rFonts w:cs="Arial"/>
                <w:sz w:val="20"/>
                <w:szCs w:val="20"/>
                <w:lang w:val="en-IE"/>
              </w:rPr>
            </w:pPr>
            <w:r w:rsidRPr="001D0DE4">
              <w:rPr>
                <w:rFonts w:cs="Arial"/>
                <w:sz w:val="20"/>
                <w:szCs w:val="20"/>
                <w:lang w:val="en-IE"/>
              </w:rPr>
              <w:t>4.1</w:t>
            </w:r>
            <w:r w:rsidRPr="001D0DE4">
              <w:rPr>
                <w:rFonts w:cs="Arial"/>
                <w:sz w:val="20"/>
                <w:szCs w:val="20"/>
                <w:lang w:val="en-IE"/>
              </w:rPr>
              <w:tab/>
              <w:t xml:space="preserve">It is intended that procedures effected under this Dispute Resolution        </w:t>
            </w:r>
          </w:p>
          <w:p w:rsidR="001D0DE4" w:rsidRPr="001D0DE4" w:rsidRDefault="001D0DE4" w:rsidP="001D0DE4">
            <w:pPr>
              <w:pStyle w:val="CERBODY"/>
              <w:ind w:left="851" w:hanging="90"/>
              <w:rPr>
                <w:rFonts w:cs="Arial"/>
                <w:sz w:val="20"/>
                <w:szCs w:val="20"/>
                <w:lang w:val="en-IE"/>
              </w:rPr>
            </w:pPr>
            <w:r w:rsidRPr="001D0DE4">
              <w:rPr>
                <w:rFonts w:cs="Arial"/>
                <w:sz w:val="20"/>
                <w:szCs w:val="20"/>
                <w:lang w:val="en-IE"/>
              </w:rPr>
              <w:t xml:space="preserve">           Agreement should to the extent possible:</w:t>
            </w:r>
          </w:p>
          <w:p w:rsidR="001D0DE4" w:rsidRPr="001D0DE4" w:rsidRDefault="001D0DE4" w:rsidP="001D0DE4">
            <w:pPr>
              <w:pStyle w:val="CERBODY"/>
              <w:ind w:firstLine="1469"/>
              <w:rPr>
                <w:rFonts w:cs="Arial"/>
                <w:sz w:val="20"/>
                <w:szCs w:val="20"/>
                <w:lang w:val="en-IE"/>
              </w:rPr>
            </w:pPr>
            <w:r>
              <w:rPr>
                <w:rFonts w:cs="Arial"/>
                <w:sz w:val="20"/>
                <w:szCs w:val="20"/>
                <w:lang w:val="en-IE"/>
              </w:rPr>
              <w:lastRenderedPageBreak/>
              <w:t xml:space="preserve">1. </w:t>
            </w:r>
            <w:r w:rsidRPr="001D0DE4">
              <w:rPr>
                <w:rFonts w:cs="Arial"/>
                <w:sz w:val="20"/>
                <w:szCs w:val="20"/>
                <w:lang w:val="en-IE"/>
              </w:rPr>
              <w:t>be simple, quick and inexpensive;</w:t>
            </w:r>
          </w:p>
          <w:p w:rsidR="001D0DE4" w:rsidRPr="001D0DE4" w:rsidRDefault="001D0DE4" w:rsidP="001D0DE4">
            <w:pPr>
              <w:pStyle w:val="CERBODY"/>
              <w:ind w:left="1691" w:hanging="222"/>
              <w:rPr>
                <w:rFonts w:cs="Arial"/>
                <w:sz w:val="20"/>
                <w:szCs w:val="20"/>
                <w:lang w:val="en-IE"/>
              </w:rPr>
            </w:pPr>
            <w:r w:rsidRPr="001D0DE4">
              <w:rPr>
                <w:rFonts w:cs="Arial"/>
                <w:sz w:val="20"/>
                <w:szCs w:val="20"/>
                <w:lang w:val="en-IE"/>
              </w:rPr>
              <w:t>2.</w:t>
            </w:r>
            <w:r w:rsidRPr="001D0DE4">
              <w:rPr>
                <w:rFonts w:cs="Arial"/>
                <w:sz w:val="20"/>
                <w:szCs w:val="20"/>
                <w:lang w:val="en-IE"/>
              </w:rPr>
              <w:tab/>
              <w:t>preserve or enhance the relationship between the Disputing Parties;</w:t>
            </w:r>
          </w:p>
          <w:p w:rsidR="001D0DE4" w:rsidRPr="001D0DE4" w:rsidRDefault="001D0DE4" w:rsidP="001D0DE4">
            <w:pPr>
              <w:pStyle w:val="CERBODY"/>
              <w:ind w:left="1691" w:hanging="222"/>
              <w:rPr>
                <w:rFonts w:cs="Arial"/>
                <w:sz w:val="20"/>
                <w:szCs w:val="20"/>
                <w:lang w:val="en-IE"/>
              </w:rPr>
            </w:pPr>
            <w:r w:rsidRPr="001D0DE4">
              <w:rPr>
                <w:rFonts w:cs="Arial"/>
                <w:sz w:val="20"/>
                <w:szCs w:val="20"/>
                <w:lang w:val="en-IE"/>
              </w:rPr>
              <w:t>3.</w:t>
            </w:r>
            <w:r w:rsidRPr="001D0DE4">
              <w:rPr>
                <w:rFonts w:cs="Arial"/>
                <w:sz w:val="20"/>
                <w:szCs w:val="20"/>
                <w:lang w:val="en-IE"/>
              </w:rPr>
              <w:tab/>
              <w:t>without prejudice to the obligations of each of the Disputing Parties pursuant to the Code and in particular paragraph B.19.1.7 thereof, preserve and allow for the continuing and proper operation of the Code and the Single Electricity Market;</w:t>
            </w:r>
          </w:p>
          <w:p w:rsidR="001D0DE4" w:rsidRPr="001D0DE4" w:rsidRDefault="001D0DE4" w:rsidP="001D0DE4">
            <w:pPr>
              <w:pStyle w:val="CERBODY"/>
              <w:ind w:left="1691" w:hanging="222"/>
              <w:rPr>
                <w:rFonts w:cs="Arial"/>
                <w:sz w:val="20"/>
                <w:szCs w:val="20"/>
                <w:lang w:val="en-IE"/>
              </w:rPr>
            </w:pPr>
            <w:r w:rsidRPr="001D0DE4">
              <w:rPr>
                <w:rFonts w:cs="Arial"/>
                <w:sz w:val="20"/>
                <w:szCs w:val="20"/>
                <w:lang w:val="en-IE"/>
              </w:rPr>
              <w:t>4.</w:t>
            </w:r>
            <w:r w:rsidRPr="001D0DE4">
              <w:rPr>
                <w:rFonts w:cs="Arial"/>
                <w:sz w:val="20"/>
                <w:szCs w:val="20"/>
                <w:lang w:val="en-IE"/>
              </w:rPr>
              <w:tab/>
              <w:t xml:space="preserve">resolve disputes </w:t>
            </w:r>
            <w:r w:rsidRPr="00DD07E0">
              <w:rPr>
                <w:rFonts w:cs="Arial"/>
                <w:strike/>
                <w:color w:val="FF0000"/>
                <w:sz w:val="20"/>
                <w:szCs w:val="20"/>
                <w:lang w:val="en-IE"/>
              </w:rPr>
              <w:t>on an equitable basis</w:t>
            </w:r>
            <w:r w:rsidRPr="001D0DE4">
              <w:rPr>
                <w:rFonts w:cs="Arial"/>
                <w:sz w:val="20"/>
                <w:szCs w:val="20"/>
                <w:lang w:val="en-IE"/>
              </w:rPr>
              <w:t xml:space="preserve"> </w:t>
            </w:r>
            <w:r w:rsidR="00DD07E0">
              <w:rPr>
                <w:rFonts w:cs="Arial"/>
                <w:color w:val="FF0000"/>
                <w:sz w:val="20"/>
                <w:szCs w:val="20"/>
                <w:lang w:val="en-IE"/>
              </w:rPr>
              <w:t xml:space="preserve">strictly </w:t>
            </w:r>
            <w:r w:rsidRPr="001D0DE4">
              <w:rPr>
                <w:rFonts w:cs="Arial"/>
                <w:sz w:val="20"/>
                <w:szCs w:val="20"/>
                <w:lang w:val="en-IE"/>
              </w:rPr>
              <w:t>in accordance with the provisions of the Code; and</w:t>
            </w:r>
          </w:p>
          <w:p w:rsidR="001D0DE4" w:rsidRPr="001D0DE4" w:rsidRDefault="001D0DE4" w:rsidP="001D0DE4">
            <w:pPr>
              <w:ind w:left="902" w:firstLine="567"/>
              <w:rPr>
                <w:rFonts w:ascii="Arial" w:hAnsi="Arial" w:cs="Arial"/>
                <w:sz w:val="20"/>
                <w:szCs w:val="20"/>
                <w:lang w:val="en-IE"/>
              </w:rPr>
            </w:pPr>
            <w:r>
              <w:rPr>
                <w:rFonts w:ascii="Arial" w:hAnsi="Arial" w:cs="Arial"/>
                <w:sz w:val="20"/>
                <w:szCs w:val="20"/>
                <w:lang w:val="en-IE"/>
              </w:rPr>
              <w:t xml:space="preserve">5. </w:t>
            </w:r>
            <w:r w:rsidRPr="001D0DE4">
              <w:rPr>
                <w:rFonts w:ascii="Arial" w:hAnsi="Arial" w:cs="Arial"/>
                <w:sz w:val="20"/>
                <w:szCs w:val="20"/>
                <w:lang w:val="en-IE"/>
              </w:rPr>
              <w:t xml:space="preserve">encourage resolution of disputes without formal legal representation or   </w:t>
            </w:r>
          </w:p>
          <w:p w:rsidR="001D0DE4" w:rsidRPr="001D0DE4" w:rsidRDefault="001D0DE4" w:rsidP="001D0DE4">
            <w:pPr>
              <w:ind w:left="902"/>
              <w:rPr>
                <w:rFonts w:ascii="Arial" w:eastAsia="Calibri" w:hAnsi="Arial" w:cs="Arial"/>
                <w:color w:val="000000"/>
                <w:sz w:val="20"/>
                <w:szCs w:val="20"/>
              </w:rPr>
            </w:pPr>
            <w:r w:rsidRPr="001D0DE4">
              <w:rPr>
                <w:rFonts w:ascii="Arial" w:hAnsi="Arial" w:cs="Arial"/>
                <w:sz w:val="20"/>
                <w:szCs w:val="20"/>
                <w:lang w:val="en-IE"/>
              </w:rPr>
              <w:t xml:space="preserve">             reliance on legal procedures.</w:t>
            </w:r>
          </w:p>
          <w:p w:rsidR="00AD27C9" w:rsidRDefault="00AD27C9">
            <w:pPr>
              <w:spacing w:line="480" w:lineRule="auto"/>
              <w:rPr>
                <w:rFonts w:ascii="Calibri" w:eastAsia="Calibri" w:hAnsi="Calibri" w:cs="Calibri"/>
                <w:color w:val="000000"/>
                <w:sz w:val="20"/>
                <w:szCs w:val="20"/>
              </w:rPr>
            </w:pPr>
          </w:p>
        </w:tc>
      </w:tr>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lastRenderedPageBreak/>
              <w:t>Modification Proposal Justification</w:t>
            </w:r>
          </w:p>
          <w:p w:rsidR="00AD27C9" w:rsidRDefault="00F62F3F">
            <w:pPr>
              <w:jc w:val="center"/>
              <w:rPr>
                <w:color w:val="000000"/>
                <w:sz w:val="20"/>
                <w:szCs w:val="20"/>
              </w:rPr>
            </w:pPr>
            <w:r>
              <w:rPr>
                <w:rFonts w:ascii="Calibri" w:eastAsia="Calibri" w:hAnsi="Calibri" w:cs="Calibri"/>
                <w:i/>
                <w:iCs/>
                <w:color w:val="000000"/>
                <w:sz w:val="20"/>
                <w:szCs w:val="20"/>
              </w:rPr>
              <w:t>(Clearly state the reason for the Modification)</w:t>
            </w:r>
          </w:p>
        </w:tc>
      </w:tr>
      <w:tr w:rsidR="00AD27C9">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rPr>
                <w:rFonts w:ascii="Calibri" w:eastAsia="Calibri" w:hAnsi="Calibri" w:cs="Calibri"/>
                <w:color w:val="000000"/>
                <w:sz w:val="20"/>
                <w:szCs w:val="20"/>
              </w:rPr>
            </w:pPr>
            <w:r>
              <w:rPr>
                <w:rFonts w:ascii="Calibri" w:eastAsia="Calibri" w:hAnsi="Calibri" w:cs="Calibri"/>
                <w:color w:val="000000"/>
                <w:sz w:val="20"/>
                <w:szCs w:val="20"/>
              </w:rPr>
              <w:t xml:space="preserve">The aim of this modification is to provide appropriate clarity in the TSC that the DRB’s role is limited to taking decisions on whether a Party has complied with the provisions of the TSC. </w:t>
            </w:r>
          </w:p>
          <w:p w:rsidR="001844E7" w:rsidRDefault="001844E7">
            <w:pPr>
              <w:rPr>
                <w:color w:val="000000"/>
                <w:sz w:val="20"/>
                <w:szCs w:val="20"/>
              </w:rPr>
            </w:pPr>
          </w:p>
          <w:p w:rsidR="00AD27C9" w:rsidRDefault="00AD27C9">
            <w:pPr>
              <w:rPr>
                <w:rFonts w:ascii="Calibri" w:eastAsia="Calibri" w:hAnsi="Calibri" w:cs="Calibri"/>
                <w:color w:val="000000"/>
                <w:sz w:val="20"/>
                <w:szCs w:val="20"/>
              </w:rPr>
            </w:pPr>
          </w:p>
        </w:tc>
      </w:tr>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Code Objectives Furthered</w:t>
            </w:r>
          </w:p>
          <w:p w:rsidR="00AD27C9" w:rsidRDefault="00F62F3F">
            <w:pPr>
              <w:jc w:val="center"/>
              <w:rPr>
                <w:color w:val="000000"/>
                <w:sz w:val="20"/>
                <w:szCs w:val="20"/>
              </w:rPr>
            </w:pPr>
            <w:r>
              <w:rPr>
                <w:rFonts w:ascii="Calibri" w:eastAsia="Calibri" w:hAnsi="Calibri" w:cs="Calibri"/>
                <w:i/>
                <w:iCs/>
                <w:color w:val="000000"/>
                <w:spacing w:val="-3"/>
                <w:sz w:val="20"/>
                <w:szCs w:val="20"/>
              </w:rPr>
              <w:t>(State</w:t>
            </w:r>
            <w:r>
              <w:rPr>
                <w:rFonts w:ascii="Calibri" w:eastAsia="Calibri" w:hAnsi="Calibri" w:cs="Calibri"/>
                <w:i/>
                <w:iCs/>
                <w:color w:val="000000"/>
                <w:sz w:val="20"/>
                <w:szCs w:val="20"/>
              </w:rPr>
              <w:t xml:space="preserve"> the Code Objectives the Proposal furthers, see Section 1.3 of Part A and/or Section A.2.1.4 of Part B of the T&amp;SC for Code Objectives)</w:t>
            </w:r>
          </w:p>
        </w:tc>
      </w:tr>
      <w:tr w:rsidR="00AD27C9">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Pr="00F62F3F" w:rsidRDefault="00F62F3F">
            <w:pPr>
              <w:spacing w:before="120" w:after="120"/>
              <w:ind w:left="1701" w:hanging="709"/>
              <w:jc w:val="both"/>
              <w:rPr>
                <w:i/>
                <w:color w:val="000000"/>
                <w:sz w:val="20"/>
                <w:szCs w:val="20"/>
              </w:rPr>
            </w:pPr>
            <w:r w:rsidRPr="00F62F3F">
              <w:rPr>
                <w:rFonts w:ascii="Arial" w:eastAsia="Arial" w:hAnsi="Arial" w:cs="Arial"/>
                <w:i/>
                <w:color w:val="000000"/>
                <w:sz w:val="20"/>
                <w:szCs w:val="20"/>
              </w:rPr>
              <w:t>(a)</w:t>
            </w:r>
            <w:r w:rsidRPr="00F62F3F">
              <w:rPr>
                <w:i/>
                <w:color w:val="000000"/>
                <w:sz w:val="14"/>
                <w:szCs w:val="14"/>
              </w:rPr>
              <w:t xml:space="preserve">         </w:t>
            </w:r>
            <w:r w:rsidRPr="00F62F3F">
              <w:rPr>
                <w:rFonts w:ascii="Calibri" w:eastAsia="Calibri" w:hAnsi="Calibri" w:cs="Calibri"/>
                <w:i/>
                <w:color w:val="000000"/>
                <w:sz w:val="20"/>
                <w:szCs w:val="20"/>
              </w:rPr>
              <w:t xml:space="preserve">to facilitate the efficient discharge by the Market Operator of the obligations imposed upon it by its Market Operator </w:t>
            </w:r>
            <w:proofErr w:type="spellStart"/>
            <w:r w:rsidRPr="00F62F3F">
              <w:rPr>
                <w:rFonts w:ascii="Calibri" w:eastAsia="Calibri" w:hAnsi="Calibri" w:cs="Calibri"/>
                <w:i/>
                <w:color w:val="000000"/>
                <w:sz w:val="20"/>
                <w:szCs w:val="20"/>
              </w:rPr>
              <w:t>Licences</w:t>
            </w:r>
            <w:proofErr w:type="spellEnd"/>
            <w:r w:rsidRPr="00F62F3F">
              <w:rPr>
                <w:rFonts w:ascii="Calibri" w:eastAsia="Calibri" w:hAnsi="Calibri" w:cs="Calibri"/>
                <w:i/>
                <w:color w:val="000000"/>
                <w:sz w:val="20"/>
                <w:szCs w:val="20"/>
              </w:rPr>
              <w:t xml:space="preserve">; </w:t>
            </w:r>
          </w:p>
          <w:p w:rsidR="00AD27C9" w:rsidRDefault="00F62F3F">
            <w:pPr>
              <w:numPr>
                <w:ilvl w:val="0"/>
                <w:numId w:val="1"/>
              </w:numPr>
              <w:pBdr>
                <w:left w:val="none" w:sz="0" w:space="8" w:color="auto"/>
              </w:pBdr>
              <w:spacing w:before="120" w:after="120"/>
              <w:ind w:hanging="424"/>
              <w:jc w:val="both"/>
              <w:rPr>
                <w:color w:val="000000"/>
                <w:sz w:val="20"/>
                <w:szCs w:val="20"/>
              </w:rPr>
            </w:pPr>
            <w:r>
              <w:rPr>
                <w:rFonts w:ascii="Calibri" w:eastAsia="Calibri" w:hAnsi="Calibri" w:cs="Calibri"/>
                <w:color w:val="000000"/>
                <w:sz w:val="20"/>
                <w:szCs w:val="20"/>
              </w:rPr>
              <w:t>This change clarifies the grounds on which a dispute can be raised and upheld by the DRB which may lead to less time burden in resolving disputes.</w:t>
            </w:r>
          </w:p>
          <w:p w:rsidR="00AD27C9" w:rsidRPr="00F62F3F" w:rsidRDefault="00F62F3F">
            <w:pPr>
              <w:spacing w:before="120" w:after="120"/>
              <w:ind w:left="1701" w:hanging="709"/>
              <w:jc w:val="both"/>
              <w:rPr>
                <w:i/>
                <w:color w:val="000000"/>
                <w:sz w:val="20"/>
                <w:szCs w:val="20"/>
              </w:rPr>
            </w:pPr>
            <w:r w:rsidRPr="00F62F3F">
              <w:rPr>
                <w:rFonts w:ascii="Arial" w:eastAsia="Arial" w:hAnsi="Arial" w:cs="Arial"/>
                <w:i/>
                <w:color w:val="000000"/>
                <w:sz w:val="20"/>
                <w:szCs w:val="20"/>
              </w:rPr>
              <w:t>(b)</w:t>
            </w:r>
            <w:r w:rsidRPr="00F62F3F">
              <w:rPr>
                <w:i/>
                <w:color w:val="000000"/>
                <w:sz w:val="14"/>
                <w:szCs w:val="14"/>
              </w:rPr>
              <w:t xml:space="preserve">                </w:t>
            </w:r>
            <w:r w:rsidRPr="00F62F3F">
              <w:rPr>
                <w:rFonts w:ascii="Calibri" w:eastAsia="Calibri" w:hAnsi="Calibri" w:cs="Calibri"/>
                <w:i/>
                <w:color w:val="000000"/>
                <w:sz w:val="20"/>
                <w:szCs w:val="20"/>
              </w:rPr>
              <w:t xml:space="preserve">to facilitate the efficient, economic and coordinated operation, administration and development of the Single Electricity Market in a financially secure manner; </w:t>
            </w:r>
          </w:p>
          <w:p w:rsidR="00AD27C9" w:rsidRPr="00F62F3F" w:rsidRDefault="00F62F3F" w:rsidP="00F62F3F">
            <w:pPr>
              <w:numPr>
                <w:ilvl w:val="0"/>
                <w:numId w:val="2"/>
              </w:numPr>
              <w:pBdr>
                <w:left w:val="none" w:sz="0" w:space="8" w:color="auto"/>
              </w:pBdr>
              <w:spacing w:before="120" w:after="120"/>
              <w:ind w:hanging="424"/>
              <w:jc w:val="both"/>
              <w:rPr>
                <w:color w:val="000000"/>
                <w:sz w:val="20"/>
                <w:szCs w:val="20"/>
              </w:rPr>
            </w:pPr>
            <w:r>
              <w:rPr>
                <w:rFonts w:ascii="Calibri" w:eastAsia="Calibri" w:hAnsi="Calibri" w:cs="Calibri"/>
                <w:color w:val="000000"/>
                <w:sz w:val="20"/>
                <w:szCs w:val="20"/>
              </w:rPr>
              <w:t>As above.</w:t>
            </w:r>
          </w:p>
          <w:p w:rsidR="00AD27C9" w:rsidRPr="00F62F3F" w:rsidRDefault="00F62F3F">
            <w:pPr>
              <w:spacing w:before="120" w:after="120"/>
              <w:ind w:left="1701" w:hanging="709"/>
              <w:jc w:val="both"/>
              <w:rPr>
                <w:i/>
                <w:color w:val="000000"/>
                <w:sz w:val="20"/>
                <w:szCs w:val="20"/>
              </w:rPr>
            </w:pPr>
            <w:r w:rsidRPr="00F62F3F">
              <w:rPr>
                <w:rFonts w:ascii="Arial" w:eastAsia="Arial" w:hAnsi="Arial" w:cs="Arial"/>
                <w:i/>
                <w:color w:val="000000"/>
                <w:sz w:val="20"/>
                <w:szCs w:val="20"/>
              </w:rPr>
              <w:t>(c)</w:t>
            </w:r>
            <w:r w:rsidRPr="00F62F3F">
              <w:rPr>
                <w:i/>
                <w:color w:val="000000"/>
                <w:sz w:val="14"/>
                <w:szCs w:val="14"/>
              </w:rPr>
              <w:t xml:space="preserve">                </w:t>
            </w:r>
            <w:r w:rsidRPr="00F62F3F">
              <w:rPr>
                <w:rFonts w:ascii="Calibri" w:eastAsia="Calibri" w:hAnsi="Calibri" w:cs="Calibri"/>
                <w:i/>
                <w:color w:val="000000"/>
                <w:sz w:val="20"/>
                <w:szCs w:val="20"/>
              </w:rPr>
              <w:t>to ensure no undue discrimination between persons who are parties to the Code; and</w:t>
            </w:r>
          </w:p>
          <w:p w:rsidR="00AD27C9" w:rsidRPr="00F62F3F" w:rsidRDefault="00F62F3F" w:rsidP="00F62F3F">
            <w:pPr>
              <w:numPr>
                <w:ilvl w:val="0"/>
                <w:numId w:val="3"/>
              </w:numPr>
              <w:pBdr>
                <w:left w:val="none" w:sz="0" w:space="8" w:color="auto"/>
              </w:pBdr>
              <w:spacing w:before="120" w:after="120"/>
              <w:ind w:hanging="424"/>
              <w:jc w:val="both"/>
              <w:rPr>
                <w:color w:val="000000"/>
                <w:sz w:val="20"/>
                <w:szCs w:val="20"/>
              </w:rPr>
            </w:pPr>
            <w:r>
              <w:rPr>
                <w:rFonts w:ascii="Calibri" w:eastAsia="Calibri" w:hAnsi="Calibri" w:cs="Calibri"/>
                <w:color w:val="000000"/>
                <w:sz w:val="20"/>
                <w:szCs w:val="20"/>
              </w:rPr>
              <w:t>This allows any issues concerning the equity or appropriateness of provisions within the TSC to be addressed in a transparent manner through the Modifications Committee and SEMC Decision making.</w:t>
            </w:r>
          </w:p>
          <w:p w:rsidR="00AD27C9" w:rsidRPr="00F62F3F" w:rsidRDefault="00F62F3F">
            <w:pPr>
              <w:spacing w:before="120" w:after="120"/>
              <w:ind w:left="1701" w:hanging="709"/>
              <w:jc w:val="both"/>
              <w:rPr>
                <w:i/>
                <w:color w:val="000000"/>
                <w:sz w:val="20"/>
                <w:szCs w:val="20"/>
              </w:rPr>
            </w:pPr>
            <w:r w:rsidRPr="00F62F3F">
              <w:rPr>
                <w:rFonts w:ascii="Arial" w:eastAsia="Arial" w:hAnsi="Arial" w:cs="Arial"/>
                <w:i/>
                <w:color w:val="000000"/>
                <w:sz w:val="20"/>
                <w:szCs w:val="20"/>
              </w:rPr>
              <w:t>(d)</w:t>
            </w:r>
            <w:r w:rsidRPr="00F62F3F">
              <w:rPr>
                <w:i/>
                <w:color w:val="000000"/>
                <w:sz w:val="14"/>
                <w:szCs w:val="14"/>
              </w:rPr>
              <w:t xml:space="preserve">                </w:t>
            </w:r>
            <w:r w:rsidRPr="00F62F3F">
              <w:rPr>
                <w:rFonts w:ascii="Calibri" w:eastAsia="Calibri" w:hAnsi="Calibri" w:cs="Calibri"/>
                <w:i/>
                <w:color w:val="000000"/>
                <w:sz w:val="20"/>
                <w:szCs w:val="20"/>
              </w:rPr>
              <w:t xml:space="preserve">to promote the short-term and long-term interests of consumers of electricity on the island of Ireland with respect to price, quality, reliability, and security of supply of electricity. </w:t>
            </w:r>
          </w:p>
          <w:p w:rsidR="00AD27C9" w:rsidRDefault="00F62F3F">
            <w:pPr>
              <w:numPr>
                <w:ilvl w:val="0"/>
                <w:numId w:val="4"/>
              </w:numPr>
              <w:pBdr>
                <w:left w:val="none" w:sz="0" w:space="8" w:color="auto"/>
              </w:pBdr>
              <w:ind w:hanging="424"/>
              <w:rPr>
                <w:color w:val="000000"/>
                <w:sz w:val="20"/>
                <w:szCs w:val="20"/>
              </w:rPr>
            </w:pPr>
            <w:r>
              <w:rPr>
                <w:rFonts w:ascii="Calibri" w:eastAsia="Calibri" w:hAnsi="Calibri" w:cs="Calibri"/>
                <w:color w:val="000000"/>
                <w:sz w:val="20"/>
                <w:szCs w:val="20"/>
              </w:rPr>
              <w:t>This change ultimately promotes the interest of consumers as it ensures that any decisions on policy matters which may have a financial impact can be considered in an open and transparent manner through defined decision-making processes</w:t>
            </w:r>
            <w:r>
              <w:rPr>
                <w:color w:val="000000"/>
                <w:sz w:val="20"/>
                <w:szCs w:val="20"/>
              </w:rPr>
              <w:t>.</w:t>
            </w:r>
            <w:r>
              <w:rPr>
                <w:rFonts w:ascii="Calibri" w:eastAsia="Calibri" w:hAnsi="Calibri" w:cs="Calibri"/>
                <w:color w:val="000000"/>
                <w:sz w:val="20"/>
                <w:szCs w:val="20"/>
              </w:rPr>
              <w:t xml:space="preserve"> </w:t>
            </w:r>
          </w:p>
          <w:p w:rsidR="00AD27C9" w:rsidRDefault="00AD27C9">
            <w:pPr>
              <w:ind w:left="720"/>
              <w:rPr>
                <w:color w:val="000000"/>
                <w:sz w:val="20"/>
                <w:szCs w:val="20"/>
              </w:rPr>
            </w:pPr>
          </w:p>
        </w:tc>
      </w:tr>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Implication of not implementing the Modification Proposal</w:t>
            </w:r>
          </w:p>
          <w:p w:rsidR="00AD27C9" w:rsidRDefault="00F62F3F">
            <w:pPr>
              <w:jc w:val="center"/>
              <w:rPr>
                <w:color w:val="000000"/>
                <w:sz w:val="20"/>
                <w:szCs w:val="20"/>
              </w:rPr>
            </w:pPr>
            <w:r>
              <w:rPr>
                <w:rFonts w:ascii="Calibri" w:eastAsia="Calibri" w:hAnsi="Calibri" w:cs="Calibri"/>
                <w:i/>
                <w:iCs/>
                <w:color w:val="000000"/>
                <w:sz w:val="20"/>
                <w:szCs w:val="20"/>
              </w:rPr>
              <w:t>(State the possible outcomes should the Modification Proposal not be implemented)</w:t>
            </w:r>
          </w:p>
        </w:tc>
      </w:tr>
      <w:tr w:rsidR="00AD27C9">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rPr>
                <w:rFonts w:ascii="Calibri" w:eastAsia="Calibri" w:hAnsi="Calibri" w:cs="Calibri"/>
                <w:color w:val="000000"/>
                <w:sz w:val="20"/>
                <w:szCs w:val="20"/>
              </w:rPr>
            </w:pPr>
            <w:r>
              <w:rPr>
                <w:rFonts w:ascii="Calibri" w:eastAsia="Calibri" w:hAnsi="Calibri" w:cs="Calibri"/>
                <w:color w:val="000000"/>
                <w:sz w:val="20"/>
                <w:szCs w:val="20"/>
              </w:rPr>
              <w:t>If this Modification is not implemented, the DRB may in future disputes determine whether the provisions of the Code resulted in an equitable outcome for the relevant party, which may negatively impact on the Modifications Committee process, the wider objectives of the Code and on SEMC decision making.</w:t>
            </w:r>
          </w:p>
          <w:p w:rsidR="001844E7" w:rsidRDefault="001844E7">
            <w:pPr>
              <w:rPr>
                <w:color w:val="000000"/>
                <w:sz w:val="20"/>
                <w:szCs w:val="20"/>
              </w:rPr>
            </w:pPr>
          </w:p>
        </w:tc>
      </w:tr>
      <w:tr w:rsidR="00AD27C9">
        <w:trPr>
          <w:trHeight w:val="507"/>
        </w:trPr>
        <w:tc>
          <w:tcPr>
            <w:tcW w:w="4621"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Working Group</w:t>
            </w:r>
          </w:p>
          <w:p w:rsidR="00AD27C9" w:rsidRDefault="00F62F3F">
            <w:pPr>
              <w:jc w:val="center"/>
              <w:rPr>
                <w:color w:val="000000"/>
                <w:sz w:val="20"/>
                <w:szCs w:val="20"/>
              </w:rPr>
            </w:pPr>
            <w:r>
              <w:rPr>
                <w:rFonts w:ascii="Calibri" w:eastAsia="Calibri" w:hAnsi="Calibri" w:cs="Calibri"/>
                <w:i/>
                <w:iCs/>
                <w:color w:val="000000"/>
                <w:sz w:val="20"/>
                <w:szCs w:val="20"/>
              </w:rPr>
              <w:t>(State if Working Group considered necessary to develop proposal)</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Impacts</w:t>
            </w:r>
          </w:p>
          <w:p w:rsidR="00AD27C9" w:rsidRDefault="00F62F3F">
            <w:pPr>
              <w:jc w:val="center"/>
              <w:rPr>
                <w:color w:val="000000"/>
                <w:sz w:val="20"/>
                <w:szCs w:val="20"/>
              </w:rPr>
            </w:pPr>
            <w:r>
              <w:rPr>
                <w:rFonts w:ascii="Calibri" w:eastAsia="Calibri" w:hAnsi="Calibri" w:cs="Calibri"/>
                <w:i/>
                <w:iCs/>
                <w:color w:val="000000"/>
                <w:sz w:val="20"/>
                <w:szCs w:val="20"/>
              </w:rPr>
              <w:t>(Indicate the impacts on systems, resources, processes and/or procedures; also indicate impacts on any other Market Code such as Capacity Market Code, Grid Code, Exchange Rules etc.)</w:t>
            </w:r>
          </w:p>
          <w:p w:rsidR="00AD27C9" w:rsidRDefault="00AD27C9">
            <w:pPr>
              <w:jc w:val="center"/>
              <w:rPr>
                <w:rFonts w:ascii="Calibri" w:eastAsia="Calibri" w:hAnsi="Calibri" w:cs="Calibri"/>
                <w:b/>
                <w:bCs/>
                <w:color w:val="000000"/>
                <w:sz w:val="20"/>
                <w:szCs w:val="20"/>
              </w:rPr>
            </w:pPr>
          </w:p>
        </w:tc>
      </w:tr>
      <w:tr w:rsidR="00AD27C9">
        <w:trPr>
          <w:trHeight w:val="507"/>
        </w:trPr>
        <w:tc>
          <w:tcPr>
            <w:tcW w:w="4621"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AD27C9">
            <w:pPr>
              <w:spacing w:line="480" w:lineRule="auto"/>
              <w:rPr>
                <w:rFonts w:ascii="Calibri" w:eastAsia="Calibri" w:hAnsi="Calibri" w:cs="Calibri"/>
                <w:color w:val="000000"/>
                <w:sz w:val="20"/>
                <w:szCs w:val="20"/>
              </w:rPr>
            </w:pPr>
          </w:p>
        </w:tc>
        <w:tc>
          <w:tcPr>
            <w:tcW w:w="4622"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spacing w:line="480" w:lineRule="auto"/>
              <w:rPr>
                <w:color w:val="000000"/>
                <w:sz w:val="20"/>
                <w:szCs w:val="20"/>
              </w:rPr>
            </w:pPr>
            <w:r>
              <w:rPr>
                <w:rFonts w:ascii="Calibri" w:eastAsia="Calibri" w:hAnsi="Calibri" w:cs="Calibri"/>
                <w:color w:val="000000"/>
                <w:sz w:val="20"/>
                <w:szCs w:val="20"/>
              </w:rPr>
              <w:t>No</w:t>
            </w:r>
          </w:p>
        </w:tc>
      </w:tr>
      <w:tr w:rsidR="00AD27C9">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rPr>
                <w:color w:val="000000"/>
              </w:rPr>
            </w:pPr>
            <w:r>
              <w:rPr>
                <w:rFonts w:ascii="Calibri" w:eastAsia="Calibri" w:hAnsi="Calibri" w:cs="Calibri"/>
                <w:b/>
                <w:bCs/>
                <w:i/>
                <w:iCs/>
                <w:color w:val="000000"/>
                <w:sz w:val="20"/>
                <w:szCs w:val="20"/>
              </w:rPr>
              <w:t xml:space="preserve">Please return this form to Secretariat by email to </w:t>
            </w:r>
            <w:hyperlink r:id="rId6" w:history="1">
              <w:r>
                <w:rPr>
                  <w:color w:val="0000FF"/>
                  <w:u w:val="single" w:color="0000FF"/>
                </w:rPr>
                <w:t>balancingmodifications@sem-o.com</w:t>
              </w:r>
            </w:hyperlink>
          </w:p>
        </w:tc>
      </w:tr>
    </w:tbl>
    <w:p w:rsidR="00AD27C9" w:rsidRDefault="00AD27C9">
      <w:pPr>
        <w:rPr>
          <w:sz w:val="20"/>
          <w:szCs w:val="20"/>
        </w:rPr>
      </w:pPr>
    </w:p>
    <w:p w:rsidR="00AD27C9" w:rsidRDefault="00F62F3F">
      <w:pPr>
        <w:spacing w:after="200" w:line="276" w:lineRule="auto"/>
        <w:rPr>
          <w:sz w:val="16"/>
          <w:szCs w:val="16"/>
        </w:rPr>
      </w:pPr>
      <w:r>
        <w:rPr>
          <w:sz w:val="16"/>
          <w:szCs w:val="16"/>
        </w:rPr>
        <w:br w:type="page"/>
      </w:r>
    </w:p>
    <w:p w:rsidR="00AD27C9" w:rsidRDefault="00F62F3F">
      <w:pPr>
        <w:jc w:val="center"/>
        <w:rPr>
          <w:sz w:val="20"/>
          <w:szCs w:val="20"/>
        </w:rPr>
      </w:pPr>
      <w:r>
        <w:rPr>
          <w:rFonts w:ascii="Calibri" w:eastAsia="Calibri" w:hAnsi="Calibri" w:cs="Calibri"/>
          <w:b/>
          <w:bCs/>
          <w:sz w:val="20"/>
          <w:szCs w:val="20"/>
        </w:rPr>
        <w:lastRenderedPageBreak/>
        <w:t>Notes on completing Modification Proposal Form:</w:t>
      </w:r>
    </w:p>
    <w:p w:rsidR="00AD27C9" w:rsidRDefault="00AD27C9">
      <w:pPr>
        <w:jc w:val="center"/>
        <w:rPr>
          <w:rFonts w:ascii="Calibri" w:eastAsia="Calibri" w:hAnsi="Calibri" w:cs="Calibri"/>
          <w:b/>
          <w:bCs/>
          <w:sz w:val="20"/>
          <w:szCs w:val="20"/>
        </w:rPr>
      </w:pPr>
    </w:p>
    <w:p w:rsidR="00AD27C9" w:rsidRDefault="00F62F3F">
      <w:pPr>
        <w:keepLines/>
        <w:numPr>
          <w:ilvl w:val="0"/>
          <w:numId w:val="5"/>
        </w:numPr>
        <w:pBdr>
          <w:left w:val="none" w:sz="0" w:space="6" w:color="auto"/>
        </w:pBdr>
        <w:spacing w:before="60" w:after="60"/>
        <w:ind w:hanging="347"/>
        <w:jc w:val="both"/>
        <w:rPr>
          <w:rFonts w:ascii="Arial" w:eastAsia="Arial" w:hAnsi="Arial" w:cs="Arial"/>
          <w:b/>
          <w:bCs/>
          <w:sz w:val="16"/>
          <w:szCs w:val="16"/>
        </w:rPr>
      </w:pPr>
      <w:r>
        <w:rPr>
          <w:rFonts w:ascii="Arial" w:eastAsia="Arial" w:hAnsi="Arial" w:cs="Arial"/>
          <w:b/>
          <w:bCs/>
          <w:sz w:val="16"/>
          <w:szCs w:val="16"/>
        </w:rPr>
        <w:t>If a person submits a Modification Proposal on behalf of another person, that person who proposes the material of the change should be identified on the Modification Proposal Form as the Modification Proposal Originator.</w:t>
      </w:r>
    </w:p>
    <w:p w:rsidR="00AD27C9" w:rsidRDefault="00F62F3F">
      <w:pPr>
        <w:keepLines/>
        <w:numPr>
          <w:ilvl w:val="0"/>
          <w:numId w:val="5"/>
        </w:numPr>
        <w:pBdr>
          <w:left w:val="none" w:sz="0" w:space="6" w:color="auto"/>
        </w:pBdr>
        <w:spacing w:before="60" w:after="60"/>
        <w:ind w:hanging="347"/>
        <w:jc w:val="both"/>
        <w:rPr>
          <w:rFonts w:ascii="Arial" w:eastAsia="Arial" w:hAnsi="Arial" w:cs="Arial"/>
          <w:b/>
          <w:bCs/>
          <w:sz w:val="16"/>
          <w:szCs w:val="16"/>
        </w:rPr>
      </w:pPr>
      <w:r>
        <w:rPr>
          <w:rFonts w:ascii="Arial" w:eastAsia="Arial" w:hAnsi="Arial" w:cs="Arial"/>
          <w:b/>
          <w:bCs/>
          <w:sz w:val="16"/>
          <w:szCs w:val="16"/>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AD27C9" w:rsidRDefault="00F62F3F">
      <w:pPr>
        <w:keepLines/>
        <w:numPr>
          <w:ilvl w:val="0"/>
          <w:numId w:val="5"/>
        </w:numPr>
        <w:pBdr>
          <w:left w:val="none" w:sz="0" w:space="6" w:color="auto"/>
        </w:pBdr>
        <w:spacing w:before="60" w:after="60"/>
        <w:ind w:hanging="347"/>
        <w:jc w:val="both"/>
        <w:rPr>
          <w:rFonts w:ascii="Arial" w:eastAsia="Arial" w:hAnsi="Arial" w:cs="Arial"/>
          <w:b/>
          <w:bCs/>
          <w:sz w:val="16"/>
          <w:szCs w:val="16"/>
        </w:rPr>
      </w:pPr>
      <w:r>
        <w:rPr>
          <w:rFonts w:ascii="Arial" w:eastAsia="Arial" w:hAnsi="Arial" w:cs="Arial"/>
          <w:b/>
          <w:bCs/>
          <w:sz w:val="16"/>
          <w:szCs w:val="16"/>
        </w:rPr>
        <w:t>Each Modification Proposal will include a draft text of the proposed Modification to the Code unless, if raising a Provisional Modification Proposal whereby legal drafting text is not imperative.</w:t>
      </w:r>
    </w:p>
    <w:p w:rsidR="00AD27C9" w:rsidRDefault="00F62F3F">
      <w:pPr>
        <w:keepLines/>
        <w:numPr>
          <w:ilvl w:val="0"/>
          <w:numId w:val="5"/>
        </w:numPr>
        <w:pBdr>
          <w:left w:val="none" w:sz="0" w:space="6" w:color="auto"/>
        </w:pBdr>
        <w:spacing w:before="60" w:after="60"/>
        <w:ind w:hanging="347"/>
        <w:jc w:val="both"/>
        <w:rPr>
          <w:rFonts w:ascii="Arial" w:eastAsia="Arial" w:hAnsi="Arial" w:cs="Arial"/>
          <w:b/>
          <w:bCs/>
          <w:sz w:val="16"/>
          <w:szCs w:val="16"/>
        </w:rPr>
      </w:pPr>
      <w:r>
        <w:rPr>
          <w:rFonts w:ascii="Arial" w:eastAsia="Arial" w:hAnsi="Arial" w:cs="Arial"/>
          <w:b/>
          <w:bCs/>
          <w:sz w:val="16"/>
          <w:szCs w:val="16"/>
        </w:rPr>
        <w:t>For the purposes of this Modification Proposal Form, the following terms shall have the following meanings:</w:t>
      </w:r>
    </w:p>
    <w:p w:rsidR="00AD27C9" w:rsidRDefault="00AD27C9">
      <w:pPr>
        <w:jc w:val="both"/>
        <w:rPr>
          <w:rFonts w:ascii="Arial" w:eastAsia="Arial" w:hAnsi="Arial" w:cs="Arial"/>
          <w:b/>
          <w:bCs/>
          <w:sz w:val="16"/>
          <w:szCs w:val="16"/>
        </w:rPr>
      </w:pPr>
    </w:p>
    <w:p w:rsidR="00AD27C9" w:rsidRDefault="00F62F3F">
      <w:pPr>
        <w:ind w:left="2880" w:hanging="2160"/>
        <w:jc w:val="both"/>
        <w:rPr>
          <w:sz w:val="16"/>
          <w:szCs w:val="16"/>
        </w:rPr>
      </w:pPr>
      <w:r>
        <w:rPr>
          <w:rFonts w:ascii="Arial" w:eastAsia="Arial" w:hAnsi="Arial" w:cs="Arial"/>
          <w:b/>
          <w:bCs/>
          <w:sz w:val="16"/>
          <w:szCs w:val="16"/>
        </w:rPr>
        <w:t>Agreed Procedure(s):</w:t>
      </w:r>
      <w:r>
        <w:rPr>
          <w:rFonts w:ascii="Arial" w:eastAsia="Arial" w:hAnsi="Arial" w:cs="Arial"/>
          <w:b/>
          <w:bCs/>
          <w:sz w:val="16"/>
          <w:szCs w:val="16"/>
        </w:rPr>
        <w:tab/>
        <w:t>means the detailed procedures to be followed by Parties in performing their obligations and functions under the Code as listed in either Part A or Part B Appendix D “List of Agreed Procedures”. The Proposer will need to specify w</w:t>
      </w:r>
      <w:r w:rsidR="006F7F0B">
        <w:rPr>
          <w:rFonts w:ascii="Arial" w:eastAsia="Arial" w:hAnsi="Arial" w:cs="Arial"/>
          <w:b/>
          <w:bCs/>
          <w:sz w:val="16"/>
          <w:szCs w:val="16"/>
        </w:rPr>
        <w:t xml:space="preserve">hether the Agreed Procedure to </w:t>
      </w:r>
      <w:r>
        <w:rPr>
          <w:rFonts w:ascii="Arial" w:eastAsia="Arial" w:hAnsi="Arial" w:cs="Arial"/>
          <w:b/>
          <w:bCs/>
          <w:sz w:val="16"/>
          <w:szCs w:val="16"/>
        </w:rPr>
        <w:t>modify refers to Part A, Part B or both.</w:t>
      </w:r>
    </w:p>
    <w:p w:rsidR="00AD27C9" w:rsidRDefault="00F62F3F">
      <w:pPr>
        <w:ind w:left="2880" w:hanging="2160"/>
        <w:jc w:val="both"/>
        <w:rPr>
          <w:sz w:val="16"/>
          <w:szCs w:val="16"/>
        </w:rPr>
      </w:pPr>
      <w:r>
        <w:rPr>
          <w:rFonts w:ascii="Arial" w:eastAsia="Arial" w:hAnsi="Arial" w:cs="Arial"/>
          <w:b/>
          <w:bCs/>
          <w:sz w:val="16"/>
          <w:szCs w:val="16"/>
        </w:rPr>
        <w:t>T&amp;SC / Code:</w:t>
      </w:r>
      <w:r>
        <w:rPr>
          <w:rFonts w:ascii="Arial" w:eastAsia="Arial" w:hAnsi="Arial" w:cs="Arial"/>
          <w:b/>
          <w:bCs/>
          <w:sz w:val="16"/>
          <w:szCs w:val="16"/>
        </w:rPr>
        <w:tab/>
        <w:t>means the Trading and Settlement Code for the Single Electricity Market. The Proposer will also need to specify whether all Part A, Part B, Part C of the Code or a subset of these, are affected by the proposed Modification;</w:t>
      </w:r>
    </w:p>
    <w:p w:rsidR="00AD27C9" w:rsidRDefault="00F62F3F">
      <w:pPr>
        <w:ind w:left="2880" w:hanging="2166"/>
        <w:jc w:val="both"/>
        <w:rPr>
          <w:sz w:val="16"/>
          <w:szCs w:val="16"/>
        </w:rPr>
      </w:pPr>
      <w:r>
        <w:rPr>
          <w:rFonts w:ascii="Arial" w:eastAsia="Arial" w:hAnsi="Arial" w:cs="Arial"/>
          <w:b/>
          <w:bCs/>
          <w:sz w:val="16"/>
          <w:szCs w:val="16"/>
        </w:rPr>
        <w:t>Modification Proposal:</w:t>
      </w:r>
      <w:r>
        <w:rPr>
          <w:rFonts w:ascii="Arial" w:eastAsia="Arial" w:hAnsi="Arial" w:cs="Arial"/>
          <w:b/>
          <w:bCs/>
          <w:sz w:val="16"/>
          <w:szCs w:val="16"/>
        </w:rPr>
        <w:tab/>
        <w:t>means the proposal to modify the Code as set out in the attached form</w:t>
      </w:r>
    </w:p>
    <w:p w:rsidR="00AD27C9" w:rsidRDefault="00F62F3F">
      <w:pPr>
        <w:ind w:left="2880" w:hanging="2166"/>
        <w:jc w:val="both"/>
        <w:rPr>
          <w:sz w:val="16"/>
          <w:szCs w:val="16"/>
        </w:rPr>
      </w:pPr>
      <w:r>
        <w:rPr>
          <w:rFonts w:ascii="Arial" w:eastAsia="Arial" w:hAnsi="Arial" w:cs="Arial"/>
          <w:b/>
          <w:bCs/>
          <w:sz w:val="16"/>
          <w:szCs w:val="16"/>
        </w:rPr>
        <w:t>Derivative Work:</w:t>
      </w:r>
      <w:r>
        <w:rPr>
          <w:rFonts w:ascii="Arial" w:eastAsia="Arial" w:hAnsi="Arial" w:cs="Arial"/>
          <w:b/>
          <w:bCs/>
          <w:sz w:val="16"/>
          <w:szCs w:val="16"/>
        </w:rPr>
        <w:tab/>
        <w:t>means any text or work which incorporates or contains all or part of the Modification Proposal or any adaptation, abridgement, expansion or other modification of the Modification Proposal</w:t>
      </w:r>
    </w:p>
    <w:p w:rsidR="00AD27C9" w:rsidRDefault="00AD27C9">
      <w:pPr>
        <w:jc w:val="both"/>
        <w:rPr>
          <w:rFonts w:ascii="Arial" w:eastAsia="Arial" w:hAnsi="Arial" w:cs="Arial"/>
          <w:b/>
          <w:bCs/>
          <w:sz w:val="16"/>
          <w:szCs w:val="16"/>
        </w:rPr>
      </w:pPr>
    </w:p>
    <w:p w:rsidR="00AD27C9" w:rsidRDefault="00F62F3F">
      <w:pPr>
        <w:ind w:left="720"/>
        <w:jc w:val="both"/>
        <w:rPr>
          <w:sz w:val="16"/>
          <w:szCs w:val="16"/>
        </w:rPr>
      </w:pPr>
      <w:r>
        <w:rPr>
          <w:rFonts w:ascii="Arial" w:eastAsia="Arial" w:hAnsi="Arial" w:cs="Arial"/>
          <w:b/>
          <w:bCs/>
          <w:sz w:val="16"/>
          <w:szCs w:val="16"/>
        </w:rPr>
        <w:t xml:space="preserve">The terms “Market Operator”, “Modifications Committee” and “Regulatory Authorities” shall have the meanings assigned to those terms in the Code.  </w:t>
      </w:r>
    </w:p>
    <w:p w:rsidR="00AD27C9" w:rsidRDefault="00AD27C9">
      <w:pPr>
        <w:ind w:left="720"/>
        <w:jc w:val="both"/>
        <w:rPr>
          <w:rFonts w:ascii="Arial" w:eastAsia="Arial" w:hAnsi="Arial" w:cs="Arial"/>
          <w:b/>
          <w:bCs/>
          <w:sz w:val="16"/>
          <w:szCs w:val="16"/>
        </w:rPr>
      </w:pPr>
    </w:p>
    <w:p w:rsidR="00AD27C9" w:rsidRDefault="00F62F3F">
      <w:pPr>
        <w:ind w:left="720"/>
        <w:jc w:val="both"/>
        <w:rPr>
          <w:sz w:val="16"/>
          <w:szCs w:val="16"/>
        </w:rPr>
      </w:pPr>
      <w:r>
        <w:rPr>
          <w:rFonts w:ascii="Arial" w:eastAsia="Arial" w:hAnsi="Arial" w:cs="Arial"/>
          <w:b/>
          <w:bCs/>
          <w:sz w:val="16"/>
          <w:szCs w:val="16"/>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AD27C9" w:rsidRDefault="00AD27C9">
      <w:pPr>
        <w:ind w:left="72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1.</w:t>
      </w:r>
      <w:r>
        <w:rPr>
          <w:rFonts w:ascii="Arial" w:eastAsia="Arial" w:hAnsi="Arial" w:cs="Arial"/>
          <w:b/>
          <w:bCs/>
          <w:sz w:val="16"/>
          <w:szCs w:val="16"/>
        </w:rPr>
        <w:tab/>
        <w:t xml:space="preserve">I hereby grant a worldwide, perpetual, royalty-free, non-exclusive </w:t>
      </w:r>
      <w:proofErr w:type="spellStart"/>
      <w:r>
        <w:rPr>
          <w:rFonts w:ascii="Arial" w:eastAsia="Arial" w:hAnsi="Arial" w:cs="Arial"/>
          <w:b/>
          <w:bCs/>
          <w:sz w:val="16"/>
          <w:szCs w:val="16"/>
        </w:rPr>
        <w:t>licence</w:t>
      </w:r>
      <w:proofErr w:type="spellEnd"/>
      <w:r>
        <w:rPr>
          <w:rFonts w:ascii="Arial" w:eastAsia="Arial" w:hAnsi="Arial" w:cs="Arial"/>
          <w:b/>
          <w:bCs/>
          <w:sz w:val="16"/>
          <w:szCs w:val="16"/>
        </w:rPr>
        <w:t>:</w:t>
      </w:r>
    </w:p>
    <w:p w:rsidR="00AD27C9" w:rsidRDefault="00AD27C9">
      <w:pPr>
        <w:ind w:left="1080" w:hanging="360"/>
        <w:jc w:val="both"/>
        <w:rPr>
          <w:rFonts w:ascii="Arial" w:eastAsia="Arial" w:hAnsi="Arial" w:cs="Arial"/>
          <w:b/>
          <w:bCs/>
          <w:sz w:val="16"/>
          <w:szCs w:val="16"/>
        </w:rPr>
      </w:pPr>
    </w:p>
    <w:p w:rsidR="00AD27C9" w:rsidRDefault="00F62F3F">
      <w:pPr>
        <w:ind w:left="1440" w:hanging="360"/>
        <w:jc w:val="both"/>
        <w:rPr>
          <w:sz w:val="16"/>
          <w:szCs w:val="16"/>
        </w:rPr>
      </w:pPr>
      <w:r>
        <w:rPr>
          <w:rFonts w:ascii="Arial" w:eastAsia="Arial" w:hAnsi="Arial" w:cs="Arial"/>
          <w:b/>
          <w:bCs/>
          <w:sz w:val="16"/>
          <w:szCs w:val="16"/>
        </w:rPr>
        <w:t>1.1</w:t>
      </w:r>
      <w:r>
        <w:rPr>
          <w:sz w:val="14"/>
          <w:szCs w:val="14"/>
        </w:rPr>
        <w:t xml:space="preserve">     </w:t>
      </w:r>
      <w:r>
        <w:rPr>
          <w:rFonts w:ascii="Arial" w:eastAsia="Arial" w:hAnsi="Arial" w:cs="Arial"/>
          <w:b/>
          <w:bCs/>
          <w:sz w:val="16"/>
          <w:szCs w:val="16"/>
        </w:rPr>
        <w:t>to the Market Operator and the Regulatory Authorities to publish and/or distribute the Modification Proposal for free and unrestricted access;</w:t>
      </w:r>
    </w:p>
    <w:p w:rsidR="00AD27C9" w:rsidRDefault="00AD27C9">
      <w:pPr>
        <w:ind w:left="1440" w:hanging="360"/>
        <w:jc w:val="both"/>
        <w:rPr>
          <w:rFonts w:ascii="Arial" w:eastAsia="Arial" w:hAnsi="Arial" w:cs="Arial"/>
          <w:b/>
          <w:bCs/>
          <w:sz w:val="16"/>
          <w:szCs w:val="16"/>
        </w:rPr>
      </w:pPr>
    </w:p>
    <w:p w:rsidR="00AD27C9" w:rsidRDefault="00F62F3F">
      <w:pPr>
        <w:ind w:left="1440" w:hanging="360"/>
        <w:jc w:val="both"/>
        <w:rPr>
          <w:sz w:val="16"/>
          <w:szCs w:val="16"/>
        </w:rPr>
      </w:pPr>
      <w:r>
        <w:rPr>
          <w:rFonts w:ascii="Arial" w:eastAsia="Arial" w:hAnsi="Arial" w:cs="Arial"/>
          <w:b/>
          <w:bCs/>
          <w:sz w:val="16"/>
          <w:szCs w:val="16"/>
        </w:rPr>
        <w:t>1.2</w:t>
      </w:r>
      <w:r>
        <w:rPr>
          <w:sz w:val="14"/>
          <w:szCs w:val="14"/>
        </w:rPr>
        <w:t xml:space="preserve">     </w:t>
      </w:r>
      <w:r>
        <w:rPr>
          <w:rFonts w:ascii="Arial" w:eastAsia="Arial" w:hAnsi="Arial" w:cs="Arial"/>
          <w:b/>
          <w:bCs/>
          <w:sz w:val="16"/>
          <w:szCs w:val="16"/>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AD27C9" w:rsidRDefault="00AD27C9">
      <w:pPr>
        <w:ind w:left="1440" w:hanging="360"/>
        <w:jc w:val="both"/>
        <w:rPr>
          <w:rFonts w:ascii="Arial" w:eastAsia="Arial" w:hAnsi="Arial" w:cs="Arial"/>
          <w:b/>
          <w:bCs/>
          <w:sz w:val="16"/>
          <w:szCs w:val="16"/>
        </w:rPr>
      </w:pPr>
    </w:p>
    <w:p w:rsidR="00AD27C9" w:rsidRDefault="00F62F3F">
      <w:pPr>
        <w:ind w:left="1440" w:hanging="360"/>
        <w:jc w:val="both"/>
        <w:rPr>
          <w:sz w:val="16"/>
          <w:szCs w:val="16"/>
        </w:rPr>
      </w:pPr>
      <w:r>
        <w:rPr>
          <w:rFonts w:ascii="Arial" w:eastAsia="Arial" w:hAnsi="Arial" w:cs="Arial"/>
          <w:b/>
          <w:bCs/>
          <w:sz w:val="16"/>
          <w:szCs w:val="16"/>
        </w:rPr>
        <w:t>1.3</w:t>
      </w:r>
      <w:r>
        <w:rPr>
          <w:sz w:val="14"/>
          <w:szCs w:val="14"/>
        </w:rPr>
        <w:t xml:space="preserve">     </w:t>
      </w:r>
      <w:r>
        <w:rPr>
          <w:rFonts w:ascii="Arial" w:eastAsia="Arial" w:hAnsi="Arial" w:cs="Arial"/>
          <w:b/>
          <w:bCs/>
          <w:sz w:val="16"/>
          <w:szCs w:val="16"/>
        </w:rPr>
        <w:t>to the Market Operator and the Regulatory Authorities to incorporate the Modification Proposal into the Code;</w:t>
      </w:r>
    </w:p>
    <w:p w:rsidR="00AD27C9" w:rsidRDefault="00AD27C9">
      <w:pPr>
        <w:ind w:left="1440" w:hanging="360"/>
        <w:jc w:val="both"/>
        <w:rPr>
          <w:rFonts w:ascii="Arial" w:eastAsia="Arial" w:hAnsi="Arial" w:cs="Arial"/>
          <w:b/>
          <w:bCs/>
          <w:sz w:val="16"/>
          <w:szCs w:val="16"/>
        </w:rPr>
      </w:pPr>
    </w:p>
    <w:p w:rsidR="00AD27C9" w:rsidRDefault="00F62F3F">
      <w:pPr>
        <w:ind w:left="1440" w:hanging="360"/>
        <w:jc w:val="both"/>
        <w:rPr>
          <w:sz w:val="16"/>
          <w:szCs w:val="16"/>
        </w:rPr>
      </w:pPr>
      <w:r>
        <w:rPr>
          <w:rFonts w:ascii="Arial" w:eastAsia="Arial" w:hAnsi="Arial" w:cs="Arial"/>
          <w:b/>
          <w:bCs/>
          <w:sz w:val="16"/>
          <w:szCs w:val="16"/>
        </w:rPr>
        <w:t>1.4</w:t>
      </w:r>
      <w:r>
        <w:rPr>
          <w:rFonts w:ascii="Arial" w:eastAsia="Arial" w:hAnsi="Arial" w:cs="Arial"/>
          <w:b/>
          <w:bCs/>
          <w:sz w:val="16"/>
          <w:szCs w:val="16"/>
        </w:rPr>
        <w:tab/>
        <w:t>to all Parties to the Code and the Regulatory Authorities to use, reproduce and distribute the Modification Proposal, whether as part of the Code or otherwise, for any purpose arising out of or in connection with the Code.</w:t>
      </w:r>
    </w:p>
    <w:p w:rsidR="00AD27C9" w:rsidRDefault="00AD27C9">
      <w:pPr>
        <w:ind w:left="144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2.</w:t>
      </w:r>
      <w:r>
        <w:rPr>
          <w:rFonts w:ascii="Arial" w:eastAsia="Arial" w:hAnsi="Arial" w:cs="Arial"/>
          <w:b/>
          <w:bCs/>
          <w:sz w:val="16"/>
          <w:szCs w:val="16"/>
        </w:rPr>
        <w:tab/>
        <w:t xml:space="preserve">The </w:t>
      </w:r>
      <w:proofErr w:type="spellStart"/>
      <w:r>
        <w:rPr>
          <w:rFonts w:ascii="Arial" w:eastAsia="Arial" w:hAnsi="Arial" w:cs="Arial"/>
          <w:b/>
          <w:bCs/>
          <w:sz w:val="16"/>
          <w:szCs w:val="16"/>
        </w:rPr>
        <w:t>licences</w:t>
      </w:r>
      <w:proofErr w:type="spellEnd"/>
      <w:r>
        <w:rPr>
          <w:rFonts w:ascii="Arial" w:eastAsia="Arial" w:hAnsi="Arial" w:cs="Arial"/>
          <w:b/>
          <w:bCs/>
          <w:sz w:val="16"/>
          <w:szCs w:val="16"/>
        </w:rPr>
        <w:t xml:space="preserve"> set out in clause 1 shall equally apply to any Derivative Works.</w:t>
      </w:r>
    </w:p>
    <w:p w:rsidR="00AD27C9" w:rsidRDefault="00AD27C9">
      <w:pPr>
        <w:ind w:left="108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3.</w:t>
      </w:r>
      <w:r>
        <w:rPr>
          <w:rFonts w:ascii="Arial" w:eastAsia="Arial" w:hAnsi="Arial" w:cs="Arial"/>
          <w:b/>
          <w:bCs/>
          <w:sz w:val="16"/>
          <w:szCs w:val="16"/>
        </w:rPr>
        <w:tab/>
        <w:t xml:space="preserve">I hereby waive in </w:t>
      </w:r>
      <w:proofErr w:type="spellStart"/>
      <w:r>
        <w:rPr>
          <w:rFonts w:ascii="Arial" w:eastAsia="Arial" w:hAnsi="Arial" w:cs="Arial"/>
          <w:b/>
          <w:bCs/>
          <w:sz w:val="16"/>
          <w:szCs w:val="16"/>
        </w:rPr>
        <w:t>favour</w:t>
      </w:r>
      <w:proofErr w:type="spellEnd"/>
      <w:r>
        <w:rPr>
          <w:rFonts w:ascii="Arial" w:eastAsia="Arial" w:hAnsi="Arial" w:cs="Arial"/>
          <w:b/>
          <w:bCs/>
          <w:sz w:val="16"/>
          <w:szCs w:val="16"/>
        </w:rPr>
        <w:t xml:space="preserve"> of the Parties to the Code and the Regulatory Authorities any and all moral rights I may have arising out of or in connection with the Modification Proposal or any Derivative Works.</w:t>
      </w:r>
    </w:p>
    <w:p w:rsidR="00AD27C9" w:rsidRDefault="00AD27C9">
      <w:pPr>
        <w:ind w:left="108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4.</w:t>
      </w:r>
      <w:r>
        <w:rPr>
          <w:rFonts w:ascii="Arial" w:eastAsia="Arial" w:hAnsi="Arial" w:cs="Arial"/>
          <w:b/>
          <w:bCs/>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AD27C9" w:rsidRDefault="00AD27C9">
      <w:pPr>
        <w:ind w:left="108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5.</w:t>
      </w:r>
      <w:r>
        <w:rPr>
          <w:rFonts w:ascii="Arial" w:eastAsia="Arial" w:hAnsi="Arial" w:cs="Arial"/>
          <w:b/>
          <w:bCs/>
          <w:sz w:val="16"/>
          <w:szCs w:val="16"/>
        </w:rPr>
        <w:tab/>
        <w:t>I hereby acknowledge that the Modification Proposal may be rejected by the Modifications Committee and/or the Regulatory Authorities and that there is no guarantee that my Modification Proposal will be incorporated into the Code.</w:t>
      </w:r>
    </w:p>
    <w:p w:rsidR="00AD27C9" w:rsidRDefault="00AD27C9">
      <w:pPr>
        <w:rPr>
          <w:rFonts w:ascii="Arial" w:eastAsia="Arial" w:hAnsi="Arial" w:cs="Arial"/>
          <w:sz w:val="22"/>
          <w:szCs w:val="22"/>
        </w:rPr>
      </w:pPr>
    </w:p>
    <w:p w:rsidR="00AD27C9" w:rsidRDefault="00AD27C9">
      <w:pPr>
        <w:rPr>
          <w:sz w:val="20"/>
          <w:szCs w:val="20"/>
        </w:rPr>
      </w:pPr>
    </w:p>
    <w:sectPr w:rsidR="00AD27C9">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D565FD0">
      <w:start w:val="1"/>
      <w:numFmt w:val="bullet"/>
      <w:lvlText w:val=""/>
      <w:lvlJc w:val="left"/>
      <w:pPr>
        <w:ind w:left="720" w:hanging="360"/>
      </w:pPr>
      <w:rPr>
        <w:rFonts w:ascii="Symbol" w:hAnsi="Symbol"/>
        <w:b w:val="0"/>
        <w:bCs w:val="0"/>
      </w:rPr>
    </w:lvl>
    <w:lvl w:ilvl="1" w:tplc="1DF45E06">
      <w:start w:val="1"/>
      <w:numFmt w:val="bullet"/>
      <w:lvlText w:val="o"/>
      <w:lvlJc w:val="left"/>
      <w:pPr>
        <w:tabs>
          <w:tab w:val="num" w:pos="1440"/>
        </w:tabs>
        <w:ind w:left="1440" w:hanging="360"/>
      </w:pPr>
      <w:rPr>
        <w:rFonts w:ascii="Courier New" w:hAnsi="Courier New"/>
      </w:rPr>
    </w:lvl>
    <w:lvl w:ilvl="2" w:tplc="9434007C">
      <w:start w:val="1"/>
      <w:numFmt w:val="bullet"/>
      <w:lvlText w:val=""/>
      <w:lvlJc w:val="left"/>
      <w:pPr>
        <w:tabs>
          <w:tab w:val="num" w:pos="2160"/>
        </w:tabs>
        <w:ind w:left="2160" w:hanging="360"/>
      </w:pPr>
      <w:rPr>
        <w:rFonts w:ascii="Wingdings" w:hAnsi="Wingdings"/>
      </w:rPr>
    </w:lvl>
    <w:lvl w:ilvl="3" w:tplc="03BCB3BE">
      <w:start w:val="1"/>
      <w:numFmt w:val="bullet"/>
      <w:lvlText w:val=""/>
      <w:lvlJc w:val="left"/>
      <w:pPr>
        <w:tabs>
          <w:tab w:val="num" w:pos="2880"/>
        </w:tabs>
        <w:ind w:left="2880" w:hanging="360"/>
      </w:pPr>
      <w:rPr>
        <w:rFonts w:ascii="Symbol" w:hAnsi="Symbol"/>
      </w:rPr>
    </w:lvl>
    <w:lvl w:ilvl="4" w:tplc="FC68EFC4">
      <w:start w:val="1"/>
      <w:numFmt w:val="bullet"/>
      <w:lvlText w:val="o"/>
      <w:lvlJc w:val="left"/>
      <w:pPr>
        <w:tabs>
          <w:tab w:val="num" w:pos="3600"/>
        </w:tabs>
        <w:ind w:left="3600" w:hanging="360"/>
      </w:pPr>
      <w:rPr>
        <w:rFonts w:ascii="Courier New" w:hAnsi="Courier New"/>
      </w:rPr>
    </w:lvl>
    <w:lvl w:ilvl="5" w:tplc="D6FE67F6">
      <w:start w:val="1"/>
      <w:numFmt w:val="bullet"/>
      <w:lvlText w:val=""/>
      <w:lvlJc w:val="left"/>
      <w:pPr>
        <w:tabs>
          <w:tab w:val="num" w:pos="4320"/>
        </w:tabs>
        <w:ind w:left="4320" w:hanging="360"/>
      </w:pPr>
      <w:rPr>
        <w:rFonts w:ascii="Wingdings" w:hAnsi="Wingdings"/>
      </w:rPr>
    </w:lvl>
    <w:lvl w:ilvl="6" w:tplc="DC26467A">
      <w:start w:val="1"/>
      <w:numFmt w:val="bullet"/>
      <w:lvlText w:val=""/>
      <w:lvlJc w:val="left"/>
      <w:pPr>
        <w:tabs>
          <w:tab w:val="num" w:pos="5040"/>
        </w:tabs>
        <w:ind w:left="5040" w:hanging="360"/>
      </w:pPr>
      <w:rPr>
        <w:rFonts w:ascii="Symbol" w:hAnsi="Symbol"/>
      </w:rPr>
    </w:lvl>
    <w:lvl w:ilvl="7" w:tplc="093EF50A">
      <w:start w:val="1"/>
      <w:numFmt w:val="bullet"/>
      <w:lvlText w:val="o"/>
      <w:lvlJc w:val="left"/>
      <w:pPr>
        <w:tabs>
          <w:tab w:val="num" w:pos="5760"/>
        </w:tabs>
        <w:ind w:left="5760" w:hanging="360"/>
      </w:pPr>
      <w:rPr>
        <w:rFonts w:ascii="Courier New" w:hAnsi="Courier New"/>
      </w:rPr>
    </w:lvl>
    <w:lvl w:ilvl="8" w:tplc="449EBC5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44EC65AE">
      <w:start w:val="1"/>
      <w:numFmt w:val="bullet"/>
      <w:lvlText w:val=""/>
      <w:lvlJc w:val="left"/>
      <w:pPr>
        <w:ind w:left="720" w:hanging="360"/>
      </w:pPr>
      <w:rPr>
        <w:rFonts w:ascii="Symbol" w:hAnsi="Symbol"/>
        <w:b w:val="0"/>
        <w:bCs w:val="0"/>
      </w:rPr>
    </w:lvl>
    <w:lvl w:ilvl="1" w:tplc="3A56814C">
      <w:start w:val="1"/>
      <w:numFmt w:val="bullet"/>
      <w:lvlText w:val="o"/>
      <w:lvlJc w:val="left"/>
      <w:pPr>
        <w:tabs>
          <w:tab w:val="num" w:pos="1440"/>
        </w:tabs>
        <w:ind w:left="1440" w:hanging="360"/>
      </w:pPr>
      <w:rPr>
        <w:rFonts w:ascii="Courier New" w:hAnsi="Courier New"/>
      </w:rPr>
    </w:lvl>
    <w:lvl w:ilvl="2" w:tplc="C52834B0">
      <w:start w:val="1"/>
      <w:numFmt w:val="bullet"/>
      <w:lvlText w:val=""/>
      <w:lvlJc w:val="left"/>
      <w:pPr>
        <w:tabs>
          <w:tab w:val="num" w:pos="2160"/>
        </w:tabs>
        <w:ind w:left="2160" w:hanging="360"/>
      </w:pPr>
      <w:rPr>
        <w:rFonts w:ascii="Wingdings" w:hAnsi="Wingdings"/>
      </w:rPr>
    </w:lvl>
    <w:lvl w:ilvl="3" w:tplc="C854EDB0">
      <w:start w:val="1"/>
      <w:numFmt w:val="bullet"/>
      <w:lvlText w:val=""/>
      <w:lvlJc w:val="left"/>
      <w:pPr>
        <w:tabs>
          <w:tab w:val="num" w:pos="2880"/>
        </w:tabs>
        <w:ind w:left="2880" w:hanging="360"/>
      </w:pPr>
      <w:rPr>
        <w:rFonts w:ascii="Symbol" w:hAnsi="Symbol"/>
      </w:rPr>
    </w:lvl>
    <w:lvl w:ilvl="4" w:tplc="00C270DC">
      <w:start w:val="1"/>
      <w:numFmt w:val="bullet"/>
      <w:lvlText w:val="o"/>
      <w:lvlJc w:val="left"/>
      <w:pPr>
        <w:tabs>
          <w:tab w:val="num" w:pos="3600"/>
        </w:tabs>
        <w:ind w:left="3600" w:hanging="360"/>
      </w:pPr>
      <w:rPr>
        <w:rFonts w:ascii="Courier New" w:hAnsi="Courier New"/>
      </w:rPr>
    </w:lvl>
    <w:lvl w:ilvl="5" w:tplc="24B23376">
      <w:start w:val="1"/>
      <w:numFmt w:val="bullet"/>
      <w:lvlText w:val=""/>
      <w:lvlJc w:val="left"/>
      <w:pPr>
        <w:tabs>
          <w:tab w:val="num" w:pos="4320"/>
        </w:tabs>
        <w:ind w:left="4320" w:hanging="360"/>
      </w:pPr>
      <w:rPr>
        <w:rFonts w:ascii="Wingdings" w:hAnsi="Wingdings"/>
      </w:rPr>
    </w:lvl>
    <w:lvl w:ilvl="6" w:tplc="9814C2BE">
      <w:start w:val="1"/>
      <w:numFmt w:val="bullet"/>
      <w:lvlText w:val=""/>
      <w:lvlJc w:val="left"/>
      <w:pPr>
        <w:tabs>
          <w:tab w:val="num" w:pos="5040"/>
        </w:tabs>
        <w:ind w:left="5040" w:hanging="360"/>
      </w:pPr>
      <w:rPr>
        <w:rFonts w:ascii="Symbol" w:hAnsi="Symbol"/>
      </w:rPr>
    </w:lvl>
    <w:lvl w:ilvl="7" w:tplc="7D56ABE4">
      <w:start w:val="1"/>
      <w:numFmt w:val="bullet"/>
      <w:lvlText w:val="o"/>
      <w:lvlJc w:val="left"/>
      <w:pPr>
        <w:tabs>
          <w:tab w:val="num" w:pos="5760"/>
        </w:tabs>
        <w:ind w:left="5760" w:hanging="360"/>
      </w:pPr>
      <w:rPr>
        <w:rFonts w:ascii="Courier New" w:hAnsi="Courier New"/>
      </w:rPr>
    </w:lvl>
    <w:lvl w:ilvl="8" w:tplc="E3A02F8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0A8ACB58">
      <w:start w:val="1"/>
      <w:numFmt w:val="bullet"/>
      <w:lvlText w:val=""/>
      <w:lvlJc w:val="left"/>
      <w:pPr>
        <w:ind w:left="720" w:hanging="360"/>
      </w:pPr>
      <w:rPr>
        <w:rFonts w:ascii="Symbol" w:hAnsi="Symbol"/>
        <w:b w:val="0"/>
        <w:bCs w:val="0"/>
      </w:rPr>
    </w:lvl>
    <w:lvl w:ilvl="1" w:tplc="89CE2238">
      <w:start w:val="1"/>
      <w:numFmt w:val="bullet"/>
      <w:lvlText w:val="o"/>
      <w:lvlJc w:val="left"/>
      <w:pPr>
        <w:tabs>
          <w:tab w:val="num" w:pos="1440"/>
        </w:tabs>
        <w:ind w:left="1440" w:hanging="360"/>
      </w:pPr>
      <w:rPr>
        <w:rFonts w:ascii="Courier New" w:hAnsi="Courier New"/>
      </w:rPr>
    </w:lvl>
    <w:lvl w:ilvl="2" w:tplc="11763C46">
      <w:start w:val="1"/>
      <w:numFmt w:val="bullet"/>
      <w:lvlText w:val=""/>
      <w:lvlJc w:val="left"/>
      <w:pPr>
        <w:tabs>
          <w:tab w:val="num" w:pos="2160"/>
        </w:tabs>
        <w:ind w:left="2160" w:hanging="360"/>
      </w:pPr>
      <w:rPr>
        <w:rFonts w:ascii="Wingdings" w:hAnsi="Wingdings"/>
      </w:rPr>
    </w:lvl>
    <w:lvl w:ilvl="3" w:tplc="A1408AC4">
      <w:start w:val="1"/>
      <w:numFmt w:val="bullet"/>
      <w:lvlText w:val=""/>
      <w:lvlJc w:val="left"/>
      <w:pPr>
        <w:tabs>
          <w:tab w:val="num" w:pos="2880"/>
        </w:tabs>
        <w:ind w:left="2880" w:hanging="360"/>
      </w:pPr>
      <w:rPr>
        <w:rFonts w:ascii="Symbol" w:hAnsi="Symbol"/>
      </w:rPr>
    </w:lvl>
    <w:lvl w:ilvl="4" w:tplc="E8A0F87C">
      <w:start w:val="1"/>
      <w:numFmt w:val="bullet"/>
      <w:lvlText w:val="o"/>
      <w:lvlJc w:val="left"/>
      <w:pPr>
        <w:tabs>
          <w:tab w:val="num" w:pos="3600"/>
        </w:tabs>
        <w:ind w:left="3600" w:hanging="360"/>
      </w:pPr>
      <w:rPr>
        <w:rFonts w:ascii="Courier New" w:hAnsi="Courier New"/>
      </w:rPr>
    </w:lvl>
    <w:lvl w:ilvl="5" w:tplc="3AECDD56">
      <w:start w:val="1"/>
      <w:numFmt w:val="bullet"/>
      <w:lvlText w:val=""/>
      <w:lvlJc w:val="left"/>
      <w:pPr>
        <w:tabs>
          <w:tab w:val="num" w:pos="4320"/>
        </w:tabs>
        <w:ind w:left="4320" w:hanging="360"/>
      </w:pPr>
      <w:rPr>
        <w:rFonts w:ascii="Wingdings" w:hAnsi="Wingdings"/>
      </w:rPr>
    </w:lvl>
    <w:lvl w:ilvl="6" w:tplc="B372A46A">
      <w:start w:val="1"/>
      <w:numFmt w:val="bullet"/>
      <w:lvlText w:val=""/>
      <w:lvlJc w:val="left"/>
      <w:pPr>
        <w:tabs>
          <w:tab w:val="num" w:pos="5040"/>
        </w:tabs>
        <w:ind w:left="5040" w:hanging="360"/>
      </w:pPr>
      <w:rPr>
        <w:rFonts w:ascii="Symbol" w:hAnsi="Symbol"/>
      </w:rPr>
    </w:lvl>
    <w:lvl w:ilvl="7" w:tplc="2670075A">
      <w:start w:val="1"/>
      <w:numFmt w:val="bullet"/>
      <w:lvlText w:val="o"/>
      <w:lvlJc w:val="left"/>
      <w:pPr>
        <w:tabs>
          <w:tab w:val="num" w:pos="5760"/>
        </w:tabs>
        <w:ind w:left="5760" w:hanging="360"/>
      </w:pPr>
      <w:rPr>
        <w:rFonts w:ascii="Courier New" w:hAnsi="Courier New"/>
      </w:rPr>
    </w:lvl>
    <w:lvl w:ilvl="8" w:tplc="50F059C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DF80E0DC">
      <w:start w:val="1"/>
      <w:numFmt w:val="bullet"/>
      <w:lvlText w:val=""/>
      <w:lvlJc w:val="left"/>
      <w:pPr>
        <w:ind w:left="720" w:hanging="360"/>
      </w:pPr>
      <w:rPr>
        <w:rFonts w:ascii="Symbol" w:hAnsi="Symbol"/>
        <w:b w:val="0"/>
        <w:bCs w:val="0"/>
      </w:rPr>
    </w:lvl>
    <w:lvl w:ilvl="1" w:tplc="05DE5E76">
      <w:start w:val="1"/>
      <w:numFmt w:val="bullet"/>
      <w:lvlText w:val="o"/>
      <w:lvlJc w:val="left"/>
      <w:pPr>
        <w:tabs>
          <w:tab w:val="num" w:pos="1440"/>
        </w:tabs>
        <w:ind w:left="1440" w:hanging="360"/>
      </w:pPr>
      <w:rPr>
        <w:rFonts w:ascii="Courier New" w:hAnsi="Courier New"/>
      </w:rPr>
    </w:lvl>
    <w:lvl w:ilvl="2" w:tplc="2B803356">
      <w:start w:val="1"/>
      <w:numFmt w:val="bullet"/>
      <w:lvlText w:val=""/>
      <w:lvlJc w:val="left"/>
      <w:pPr>
        <w:tabs>
          <w:tab w:val="num" w:pos="2160"/>
        </w:tabs>
        <w:ind w:left="2160" w:hanging="360"/>
      </w:pPr>
      <w:rPr>
        <w:rFonts w:ascii="Wingdings" w:hAnsi="Wingdings"/>
      </w:rPr>
    </w:lvl>
    <w:lvl w:ilvl="3" w:tplc="D6C27476">
      <w:start w:val="1"/>
      <w:numFmt w:val="bullet"/>
      <w:lvlText w:val=""/>
      <w:lvlJc w:val="left"/>
      <w:pPr>
        <w:tabs>
          <w:tab w:val="num" w:pos="2880"/>
        </w:tabs>
        <w:ind w:left="2880" w:hanging="360"/>
      </w:pPr>
      <w:rPr>
        <w:rFonts w:ascii="Symbol" w:hAnsi="Symbol"/>
      </w:rPr>
    </w:lvl>
    <w:lvl w:ilvl="4" w:tplc="35BCF856">
      <w:start w:val="1"/>
      <w:numFmt w:val="bullet"/>
      <w:lvlText w:val="o"/>
      <w:lvlJc w:val="left"/>
      <w:pPr>
        <w:tabs>
          <w:tab w:val="num" w:pos="3600"/>
        </w:tabs>
        <w:ind w:left="3600" w:hanging="360"/>
      </w:pPr>
      <w:rPr>
        <w:rFonts w:ascii="Courier New" w:hAnsi="Courier New"/>
      </w:rPr>
    </w:lvl>
    <w:lvl w:ilvl="5" w:tplc="91260CB4">
      <w:start w:val="1"/>
      <w:numFmt w:val="bullet"/>
      <w:lvlText w:val=""/>
      <w:lvlJc w:val="left"/>
      <w:pPr>
        <w:tabs>
          <w:tab w:val="num" w:pos="4320"/>
        </w:tabs>
        <w:ind w:left="4320" w:hanging="360"/>
      </w:pPr>
      <w:rPr>
        <w:rFonts w:ascii="Wingdings" w:hAnsi="Wingdings"/>
      </w:rPr>
    </w:lvl>
    <w:lvl w:ilvl="6" w:tplc="A18E6A40">
      <w:start w:val="1"/>
      <w:numFmt w:val="bullet"/>
      <w:lvlText w:val=""/>
      <w:lvlJc w:val="left"/>
      <w:pPr>
        <w:tabs>
          <w:tab w:val="num" w:pos="5040"/>
        </w:tabs>
        <w:ind w:left="5040" w:hanging="360"/>
      </w:pPr>
      <w:rPr>
        <w:rFonts w:ascii="Symbol" w:hAnsi="Symbol"/>
      </w:rPr>
    </w:lvl>
    <w:lvl w:ilvl="7" w:tplc="B0948A86">
      <w:start w:val="1"/>
      <w:numFmt w:val="bullet"/>
      <w:lvlText w:val="o"/>
      <w:lvlJc w:val="left"/>
      <w:pPr>
        <w:tabs>
          <w:tab w:val="num" w:pos="5760"/>
        </w:tabs>
        <w:ind w:left="5760" w:hanging="360"/>
      </w:pPr>
      <w:rPr>
        <w:rFonts w:ascii="Courier New" w:hAnsi="Courier New"/>
      </w:rPr>
    </w:lvl>
    <w:lvl w:ilvl="8" w:tplc="DF9610F4">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9"/>
    <w:rsid w:val="000F2B85"/>
    <w:rsid w:val="001844E7"/>
    <w:rsid w:val="001D0DE4"/>
    <w:rsid w:val="002A318A"/>
    <w:rsid w:val="006F7F0B"/>
    <w:rsid w:val="007071A2"/>
    <w:rsid w:val="009B641C"/>
    <w:rsid w:val="00AD27C9"/>
    <w:rsid w:val="00AF668F"/>
    <w:rsid w:val="00D65F4A"/>
    <w:rsid w:val="00D83723"/>
    <w:rsid w:val="00DD07E0"/>
    <w:rsid w:val="00F6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BODY">
    <w:name w:val="CER BODY"/>
    <w:link w:val="CERBODYCharChar1"/>
    <w:qFormat/>
    <w:rsid w:val="001D0DE4"/>
    <w:p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1D0DE4"/>
    <w:rPr>
      <w:rFonts w:ascii="Arial" w:hAnsi="Arial"/>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BODY">
    <w:name w:val="CER BODY"/>
    <w:link w:val="CERBODYCharChar1"/>
    <w:qFormat/>
    <w:rsid w:val="001D0DE4"/>
    <w:p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1D0DE4"/>
    <w:rPr>
      <w:rFonts w:ascii="Arial"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ancingmodifications@sem-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Shiels, Karen</dc:creator>
  <cp:lastModifiedBy>Linnane, Sandra</cp:lastModifiedBy>
  <cp:revision>2</cp:revision>
  <dcterms:created xsi:type="dcterms:W3CDTF">2019-10-07T09:51:00Z</dcterms:created>
  <dcterms:modified xsi:type="dcterms:W3CDTF">2019-10-07T09:51:00Z</dcterms:modified>
</cp:coreProperties>
</file>