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05C7F0E1" w:rsidR="00564D58" w:rsidRPr="003D3D96" w:rsidRDefault="000C4F3B" w:rsidP="00E56F35">
            <w:pPr>
              <w:pStyle w:val="DocTitle"/>
            </w:pPr>
            <w:r w:rsidRPr="003D3D96">
              <w:t>Mod_</w:t>
            </w:r>
            <w:r w:rsidR="00762F0A">
              <w:t>16</w:t>
            </w:r>
            <w:r w:rsidR="00303468">
              <w:t xml:space="preserve">_19 </w:t>
            </w:r>
            <w:r w:rsidR="009E395D">
              <w:t>codification of TSO fndds methodology and system service flag for dsu settlement</w:t>
            </w:r>
          </w:p>
          <w:p w14:paraId="7EE54A32" w14:textId="77777777" w:rsidR="001D4616" w:rsidRPr="003D3D96" w:rsidRDefault="001D4616" w:rsidP="00E56F35">
            <w:pPr>
              <w:pStyle w:val="DocTitle"/>
            </w:pPr>
          </w:p>
          <w:p w14:paraId="7EE54A33" w14:textId="2F8C8444" w:rsidR="00A572DA" w:rsidRPr="003D3D96" w:rsidRDefault="00A22F6D" w:rsidP="00E56F35">
            <w:pPr>
              <w:pStyle w:val="DocTitle"/>
              <w:tabs>
                <w:tab w:val="center" w:pos="4771"/>
                <w:tab w:val="left" w:pos="6570"/>
              </w:tabs>
            </w:pPr>
            <w:r>
              <w:t>28</w:t>
            </w:r>
            <w:r w:rsidR="002F54AE">
              <w:t xml:space="preserve"> November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20AB00BE" w:rsidR="007A6999" w:rsidRPr="003D3D96" w:rsidRDefault="00A22F6D" w:rsidP="00B10A0B">
            <w:pPr>
              <w:spacing w:before="0" w:after="0" w:line="240" w:lineRule="auto"/>
              <w:rPr>
                <w:rStyle w:val="TableText"/>
              </w:rPr>
            </w:pPr>
            <w:r>
              <w:rPr>
                <w:rStyle w:val="TableText"/>
              </w:rPr>
              <w:t>28</w:t>
            </w:r>
            <w:r w:rsidR="004B6CA1">
              <w:rPr>
                <w:rStyle w:val="TableText"/>
              </w:rPr>
              <w:t xml:space="preserve"> Nov </w:t>
            </w:r>
            <w:r w:rsidR="002F54AE">
              <w:rPr>
                <w:rStyle w:val="TableText"/>
              </w:rPr>
              <w:t>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5F50B15B" w:rsidR="007A6999" w:rsidRPr="003D3D96" w:rsidRDefault="001158A2" w:rsidP="008C599B">
            <w:pPr>
              <w:spacing w:before="0" w:after="0" w:line="240" w:lineRule="auto"/>
              <w:rPr>
                <w:rStyle w:val="TableText"/>
              </w:rPr>
            </w:pPr>
            <w:r>
              <w:rPr>
                <w:rStyle w:val="TableText"/>
              </w:rPr>
              <w:t>11</w:t>
            </w:r>
            <w:r w:rsidR="000F0985">
              <w:rPr>
                <w:rStyle w:val="TableText"/>
              </w:rPr>
              <w:t xml:space="preserve"> Dec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FC4ABC"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7084EC1D" w:rsidR="00654CE6" w:rsidRPr="00FA6F14" w:rsidRDefault="00FC4ABC"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1848E99E" w:rsidR="00A23807" w:rsidRDefault="00FC4ABC" w:rsidP="00A830EF">
            <w:pPr>
              <w:spacing w:before="0" w:after="0" w:line="240" w:lineRule="auto"/>
            </w:pPr>
            <w:hyperlink r:id="rId15" w:history="1">
              <w:r w:rsidR="0084026E">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69433100" w14:textId="77777777" w:rsidR="00A22F6D"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5765639" w:history="1">
        <w:r w:rsidR="00A22F6D" w:rsidRPr="008F0173">
          <w:rPr>
            <w:rStyle w:val="Hyperlink"/>
            <w:noProof/>
            <w:lang w:eastAsia="en-GB"/>
          </w:rPr>
          <w:t>1.</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MODIFICATIONS COMMITTEE RECOMMENDATION</w:t>
        </w:r>
        <w:r w:rsidR="00A22F6D">
          <w:rPr>
            <w:noProof/>
            <w:webHidden/>
          </w:rPr>
          <w:tab/>
        </w:r>
        <w:r w:rsidR="00A22F6D">
          <w:rPr>
            <w:noProof/>
            <w:webHidden/>
          </w:rPr>
          <w:fldChar w:fldCharType="begin"/>
        </w:r>
        <w:r w:rsidR="00A22F6D">
          <w:rPr>
            <w:noProof/>
            <w:webHidden/>
          </w:rPr>
          <w:instrText xml:space="preserve"> PAGEREF _Toc25765639 \h </w:instrText>
        </w:r>
        <w:r w:rsidR="00A22F6D">
          <w:rPr>
            <w:noProof/>
            <w:webHidden/>
          </w:rPr>
        </w:r>
        <w:r w:rsidR="00A22F6D">
          <w:rPr>
            <w:noProof/>
            <w:webHidden/>
          </w:rPr>
          <w:fldChar w:fldCharType="separate"/>
        </w:r>
        <w:r w:rsidR="00A22F6D">
          <w:rPr>
            <w:noProof/>
            <w:webHidden/>
          </w:rPr>
          <w:t>3</w:t>
        </w:r>
        <w:r w:rsidR="00A22F6D">
          <w:rPr>
            <w:noProof/>
            <w:webHidden/>
          </w:rPr>
          <w:fldChar w:fldCharType="end"/>
        </w:r>
      </w:hyperlink>
    </w:p>
    <w:p w14:paraId="51BBBFA4" w14:textId="77777777" w:rsidR="00A22F6D" w:rsidRDefault="00FC4AB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5765640" w:history="1">
        <w:r w:rsidR="00A22F6D" w:rsidRPr="008F0173">
          <w:rPr>
            <w:rStyle w:val="Hyperlink"/>
            <w:b/>
            <w:bCs/>
            <w:noProof/>
            <w:spacing w:val="5"/>
          </w:rPr>
          <w:t>Recommended for approval– unanimous Vote</w:t>
        </w:r>
        <w:r w:rsidR="00A22F6D">
          <w:rPr>
            <w:noProof/>
            <w:webHidden/>
          </w:rPr>
          <w:tab/>
        </w:r>
        <w:r w:rsidR="00A22F6D">
          <w:rPr>
            <w:noProof/>
            <w:webHidden/>
          </w:rPr>
          <w:fldChar w:fldCharType="begin"/>
        </w:r>
        <w:r w:rsidR="00A22F6D">
          <w:rPr>
            <w:noProof/>
            <w:webHidden/>
          </w:rPr>
          <w:instrText xml:space="preserve"> PAGEREF _Toc25765640 \h </w:instrText>
        </w:r>
        <w:r w:rsidR="00A22F6D">
          <w:rPr>
            <w:noProof/>
            <w:webHidden/>
          </w:rPr>
        </w:r>
        <w:r w:rsidR="00A22F6D">
          <w:rPr>
            <w:noProof/>
            <w:webHidden/>
          </w:rPr>
          <w:fldChar w:fldCharType="separate"/>
        </w:r>
        <w:r w:rsidR="00A22F6D">
          <w:rPr>
            <w:noProof/>
            <w:webHidden/>
          </w:rPr>
          <w:t>3</w:t>
        </w:r>
        <w:r w:rsidR="00A22F6D">
          <w:rPr>
            <w:noProof/>
            <w:webHidden/>
          </w:rPr>
          <w:fldChar w:fldCharType="end"/>
        </w:r>
      </w:hyperlink>
    </w:p>
    <w:p w14:paraId="2AB3CCF9"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1" w:history="1">
        <w:r w:rsidR="00A22F6D" w:rsidRPr="008F0173">
          <w:rPr>
            <w:rStyle w:val="Hyperlink"/>
            <w:noProof/>
            <w:lang w:eastAsia="en-GB"/>
          </w:rPr>
          <w:t>2.</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Background</w:t>
        </w:r>
        <w:r w:rsidR="00A22F6D">
          <w:rPr>
            <w:noProof/>
            <w:webHidden/>
          </w:rPr>
          <w:tab/>
        </w:r>
        <w:r w:rsidR="00A22F6D">
          <w:rPr>
            <w:noProof/>
            <w:webHidden/>
          </w:rPr>
          <w:fldChar w:fldCharType="begin"/>
        </w:r>
        <w:r w:rsidR="00A22F6D">
          <w:rPr>
            <w:noProof/>
            <w:webHidden/>
          </w:rPr>
          <w:instrText xml:space="preserve"> PAGEREF _Toc25765641 \h </w:instrText>
        </w:r>
        <w:r w:rsidR="00A22F6D">
          <w:rPr>
            <w:noProof/>
            <w:webHidden/>
          </w:rPr>
        </w:r>
        <w:r w:rsidR="00A22F6D">
          <w:rPr>
            <w:noProof/>
            <w:webHidden/>
          </w:rPr>
          <w:fldChar w:fldCharType="separate"/>
        </w:r>
        <w:r w:rsidR="00A22F6D">
          <w:rPr>
            <w:noProof/>
            <w:webHidden/>
          </w:rPr>
          <w:t>3</w:t>
        </w:r>
        <w:r w:rsidR="00A22F6D">
          <w:rPr>
            <w:noProof/>
            <w:webHidden/>
          </w:rPr>
          <w:fldChar w:fldCharType="end"/>
        </w:r>
      </w:hyperlink>
    </w:p>
    <w:p w14:paraId="4ECB307E"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2" w:history="1">
        <w:r w:rsidR="00A22F6D" w:rsidRPr="008F0173">
          <w:rPr>
            <w:rStyle w:val="Hyperlink"/>
            <w:noProof/>
            <w:lang w:eastAsia="en-GB"/>
          </w:rPr>
          <w:t>3.</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PURPOSE OF PROPOSED MODIFICATION</w:t>
        </w:r>
        <w:r w:rsidR="00A22F6D">
          <w:rPr>
            <w:noProof/>
            <w:webHidden/>
          </w:rPr>
          <w:tab/>
        </w:r>
        <w:r w:rsidR="00A22F6D">
          <w:rPr>
            <w:noProof/>
            <w:webHidden/>
          </w:rPr>
          <w:fldChar w:fldCharType="begin"/>
        </w:r>
        <w:r w:rsidR="00A22F6D">
          <w:rPr>
            <w:noProof/>
            <w:webHidden/>
          </w:rPr>
          <w:instrText xml:space="preserve"> PAGEREF _Toc25765642 \h </w:instrText>
        </w:r>
        <w:r w:rsidR="00A22F6D">
          <w:rPr>
            <w:noProof/>
            <w:webHidden/>
          </w:rPr>
        </w:r>
        <w:r w:rsidR="00A22F6D">
          <w:rPr>
            <w:noProof/>
            <w:webHidden/>
          </w:rPr>
          <w:fldChar w:fldCharType="separate"/>
        </w:r>
        <w:r w:rsidR="00A22F6D">
          <w:rPr>
            <w:noProof/>
            <w:webHidden/>
          </w:rPr>
          <w:t>4</w:t>
        </w:r>
        <w:r w:rsidR="00A22F6D">
          <w:rPr>
            <w:noProof/>
            <w:webHidden/>
          </w:rPr>
          <w:fldChar w:fldCharType="end"/>
        </w:r>
      </w:hyperlink>
    </w:p>
    <w:p w14:paraId="641028EA" w14:textId="77777777" w:rsidR="00A22F6D" w:rsidRDefault="00FC4AB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5765643" w:history="1">
        <w:r w:rsidR="00A22F6D" w:rsidRPr="008F0173">
          <w:rPr>
            <w:rStyle w:val="Hyperlink"/>
            <w:b/>
            <w:bCs/>
            <w:caps/>
            <w:noProof/>
            <w:spacing w:val="5"/>
            <w:lang w:eastAsia="en-GB"/>
          </w:rPr>
          <w:t>3A.) justification of Modification</w:t>
        </w:r>
        <w:r w:rsidR="00A22F6D">
          <w:rPr>
            <w:noProof/>
            <w:webHidden/>
          </w:rPr>
          <w:tab/>
        </w:r>
        <w:r w:rsidR="00A22F6D">
          <w:rPr>
            <w:noProof/>
            <w:webHidden/>
          </w:rPr>
          <w:fldChar w:fldCharType="begin"/>
        </w:r>
        <w:r w:rsidR="00A22F6D">
          <w:rPr>
            <w:noProof/>
            <w:webHidden/>
          </w:rPr>
          <w:instrText xml:space="preserve"> PAGEREF _Toc25765643 \h </w:instrText>
        </w:r>
        <w:r w:rsidR="00A22F6D">
          <w:rPr>
            <w:noProof/>
            <w:webHidden/>
          </w:rPr>
        </w:r>
        <w:r w:rsidR="00A22F6D">
          <w:rPr>
            <w:noProof/>
            <w:webHidden/>
          </w:rPr>
          <w:fldChar w:fldCharType="separate"/>
        </w:r>
        <w:r w:rsidR="00A22F6D">
          <w:rPr>
            <w:noProof/>
            <w:webHidden/>
          </w:rPr>
          <w:t>4</w:t>
        </w:r>
        <w:r w:rsidR="00A22F6D">
          <w:rPr>
            <w:noProof/>
            <w:webHidden/>
          </w:rPr>
          <w:fldChar w:fldCharType="end"/>
        </w:r>
      </w:hyperlink>
    </w:p>
    <w:p w14:paraId="5AFE7C5D" w14:textId="77777777" w:rsidR="00A22F6D" w:rsidRDefault="00FC4AB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5765644" w:history="1">
        <w:r w:rsidR="00A22F6D" w:rsidRPr="008F0173">
          <w:rPr>
            <w:rStyle w:val="Hyperlink"/>
            <w:b/>
            <w:bCs/>
            <w:caps/>
            <w:noProof/>
            <w:spacing w:val="5"/>
            <w:lang w:eastAsia="en-GB"/>
          </w:rPr>
          <w:t>3B.) Impact of not Implementing a Solution</w:t>
        </w:r>
        <w:r w:rsidR="00A22F6D">
          <w:rPr>
            <w:noProof/>
            <w:webHidden/>
          </w:rPr>
          <w:tab/>
        </w:r>
        <w:r w:rsidR="00A22F6D">
          <w:rPr>
            <w:noProof/>
            <w:webHidden/>
          </w:rPr>
          <w:fldChar w:fldCharType="begin"/>
        </w:r>
        <w:r w:rsidR="00A22F6D">
          <w:rPr>
            <w:noProof/>
            <w:webHidden/>
          </w:rPr>
          <w:instrText xml:space="preserve"> PAGEREF _Toc25765644 \h </w:instrText>
        </w:r>
        <w:r w:rsidR="00A22F6D">
          <w:rPr>
            <w:noProof/>
            <w:webHidden/>
          </w:rPr>
        </w:r>
        <w:r w:rsidR="00A22F6D">
          <w:rPr>
            <w:noProof/>
            <w:webHidden/>
          </w:rPr>
          <w:fldChar w:fldCharType="separate"/>
        </w:r>
        <w:r w:rsidR="00A22F6D">
          <w:rPr>
            <w:noProof/>
            <w:webHidden/>
          </w:rPr>
          <w:t>4</w:t>
        </w:r>
        <w:r w:rsidR="00A22F6D">
          <w:rPr>
            <w:noProof/>
            <w:webHidden/>
          </w:rPr>
          <w:fldChar w:fldCharType="end"/>
        </w:r>
      </w:hyperlink>
    </w:p>
    <w:p w14:paraId="6FF5D014" w14:textId="77777777" w:rsidR="00A22F6D" w:rsidRDefault="00FC4AB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5765645" w:history="1">
        <w:r w:rsidR="00A22F6D" w:rsidRPr="008F0173">
          <w:rPr>
            <w:rStyle w:val="Hyperlink"/>
            <w:b/>
            <w:bCs/>
            <w:caps/>
            <w:noProof/>
            <w:spacing w:val="5"/>
            <w:lang w:eastAsia="en-GB"/>
          </w:rPr>
          <w:t>3c.) Impact on Code Objectives</w:t>
        </w:r>
        <w:r w:rsidR="00A22F6D">
          <w:rPr>
            <w:noProof/>
            <w:webHidden/>
          </w:rPr>
          <w:tab/>
        </w:r>
        <w:r w:rsidR="00A22F6D">
          <w:rPr>
            <w:noProof/>
            <w:webHidden/>
          </w:rPr>
          <w:fldChar w:fldCharType="begin"/>
        </w:r>
        <w:r w:rsidR="00A22F6D">
          <w:rPr>
            <w:noProof/>
            <w:webHidden/>
          </w:rPr>
          <w:instrText xml:space="preserve"> PAGEREF _Toc25765645 \h </w:instrText>
        </w:r>
        <w:r w:rsidR="00A22F6D">
          <w:rPr>
            <w:noProof/>
            <w:webHidden/>
          </w:rPr>
        </w:r>
        <w:r w:rsidR="00A22F6D">
          <w:rPr>
            <w:noProof/>
            <w:webHidden/>
          </w:rPr>
          <w:fldChar w:fldCharType="separate"/>
        </w:r>
        <w:r w:rsidR="00A22F6D">
          <w:rPr>
            <w:noProof/>
            <w:webHidden/>
          </w:rPr>
          <w:t>4</w:t>
        </w:r>
        <w:r w:rsidR="00A22F6D">
          <w:rPr>
            <w:noProof/>
            <w:webHidden/>
          </w:rPr>
          <w:fldChar w:fldCharType="end"/>
        </w:r>
      </w:hyperlink>
    </w:p>
    <w:p w14:paraId="443C765E"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6" w:history="1">
        <w:r w:rsidR="00A22F6D" w:rsidRPr="008F0173">
          <w:rPr>
            <w:rStyle w:val="Hyperlink"/>
            <w:noProof/>
            <w:lang w:eastAsia="en-GB"/>
          </w:rPr>
          <w:t>4.</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Working Group and/or Consultation</w:t>
        </w:r>
        <w:r w:rsidR="00A22F6D">
          <w:rPr>
            <w:noProof/>
            <w:webHidden/>
          </w:rPr>
          <w:tab/>
        </w:r>
        <w:r w:rsidR="00A22F6D">
          <w:rPr>
            <w:noProof/>
            <w:webHidden/>
          </w:rPr>
          <w:fldChar w:fldCharType="begin"/>
        </w:r>
        <w:r w:rsidR="00A22F6D">
          <w:rPr>
            <w:noProof/>
            <w:webHidden/>
          </w:rPr>
          <w:instrText xml:space="preserve"> PAGEREF _Toc25765646 \h </w:instrText>
        </w:r>
        <w:r w:rsidR="00A22F6D">
          <w:rPr>
            <w:noProof/>
            <w:webHidden/>
          </w:rPr>
        </w:r>
        <w:r w:rsidR="00A22F6D">
          <w:rPr>
            <w:noProof/>
            <w:webHidden/>
          </w:rPr>
          <w:fldChar w:fldCharType="separate"/>
        </w:r>
        <w:r w:rsidR="00A22F6D">
          <w:rPr>
            <w:noProof/>
            <w:webHidden/>
          </w:rPr>
          <w:t>5</w:t>
        </w:r>
        <w:r w:rsidR="00A22F6D">
          <w:rPr>
            <w:noProof/>
            <w:webHidden/>
          </w:rPr>
          <w:fldChar w:fldCharType="end"/>
        </w:r>
      </w:hyperlink>
    </w:p>
    <w:p w14:paraId="5E95CB97"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7" w:history="1">
        <w:r w:rsidR="00A22F6D" w:rsidRPr="008F0173">
          <w:rPr>
            <w:rStyle w:val="Hyperlink"/>
            <w:noProof/>
            <w:lang w:eastAsia="en-GB"/>
          </w:rPr>
          <w:t>5.</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impact on systems and resources</w:t>
        </w:r>
        <w:r w:rsidR="00A22F6D">
          <w:rPr>
            <w:noProof/>
            <w:webHidden/>
          </w:rPr>
          <w:tab/>
        </w:r>
        <w:r w:rsidR="00A22F6D">
          <w:rPr>
            <w:noProof/>
            <w:webHidden/>
          </w:rPr>
          <w:fldChar w:fldCharType="begin"/>
        </w:r>
        <w:r w:rsidR="00A22F6D">
          <w:rPr>
            <w:noProof/>
            <w:webHidden/>
          </w:rPr>
          <w:instrText xml:space="preserve"> PAGEREF _Toc25765647 \h </w:instrText>
        </w:r>
        <w:r w:rsidR="00A22F6D">
          <w:rPr>
            <w:noProof/>
            <w:webHidden/>
          </w:rPr>
        </w:r>
        <w:r w:rsidR="00A22F6D">
          <w:rPr>
            <w:noProof/>
            <w:webHidden/>
          </w:rPr>
          <w:fldChar w:fldCharType="separate"/>
        </w:r>
        <w:r w:rsidR="00A22F6D">
          <w:rPr>
            <w:noProof/>
            <w:webHidden/>
          </w:rPr>
          <w:t>5</w:t>
        </w:r>
        <w:r w:rsidR="00A22F6D">
          <w:rPr>
            <w:noProof/>
            <w:webHidden/>
          </w:rPr>
          <w:fldChar w:fldCharType="end"/>
        </w:r>
      </w:hyperlink>
    </w:p>
    <w:p w14:paraId="33B038B9"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8" w:history="1">
        <w:r w:rsidR="00A22F6D" w:rsidRPr="008F0173">
          <w:rPr>
            <w:rStyle w:val="Hyperlink"/>
            <w:noProof/>
            <w:lang w:eastAsia="en-GB"/>
          </w:rPr>
          <w:t>6.</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Impact on other Codes/Documents</w:t>
        </w:r>
        <w:r w:rsidR="00A22F6D">
          <w:rPr>
            <w:noProof/>
            <w:webHidden/>
          </w:rPr>
          <w:tab/>
        </w:r>
        <w:r w:rsidR="00A22F6D">
          <w:rPr>
            <w:noProof/>
            <w:webHidden/>
          </w:rPr>
          <w:fldChar w:fldCharType="begin"/>
        </w:r>
        <w:r w:rsidR="00A22F6D">
          <w:rPr>
            <w:noProof/>
            <w:webHidden/>
          </w:rPr>
          <w:instrText xml:space="preserve"> PAGEREF _Toc25765648 \h </w:instrText>
        </w:r>
        <w:r w:rsidR="00A22F6D">
          <w:rPr>
            <w:noProof/>
            <w:webHidden/>
          </w:rPr>
        </w:r>
        <w:r w:rsidR="00A22F6D">
          <w:rPr>
            <w:noProof/>
            <w:webHidden/>
          </w:rPr>
          <w:fldChar w:fldCharType="separate"/>
        </w:r>
        <w:r w:rsidR="00A22F6D">
          <w:rPr>
            <w:noProof/>
            <w:webHidden/>
          </w:rPr>
          <w:t>5</w:t>
        </w:r>
        <w:r w:rsidR="00A22F6D">
          <w:rPr>
            <w:noProof/>
            <w:webHidden/>
          </w:rPr>
          <w:fldChar w:fldCharType="end"/>
        </w:r>
      </w:hyperlink>
    </w:p>
    <w:p w14:paraId="0A7CD505"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49" w:history="1">
        <w:r w:rsidR="00A22F6D" w:rsidRPr="008F0173">
          <w:rPr>
            <w:rStyle w:val="Hyperlink"/>
            <w:noProof/>
            <w:lang w:eastAsia="en-GB"/>
          </w:rPr>
          <w:t>7.</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MODIFICATION COMMITTEE VIEWS</w:t>
        </w:r>
        <w:r w:rsidR="00A22F6D">
          <w:rPr>
            <w:noProof/>
            <w:webHidden/>
          </w:rPr>
          <w:tab/>
        </w:r>
        <w:r w:rsidR="00A22F6D">
          <w:rPr>
            <w:noProof/>
            <w:webHidden/>
          </w:rPr>
          <w:fldChar w:fldCharType="begin"/>
        </w:r>
        <w:r w:rsidR="00A22F6D">
          <w:rPr>
            <w:noProof/>
            <w:webHidden/>
          </w:rPr>
          <w:instrText xml:space="preserve"> PAGEREF _Toc25765649 \h </w:instrText>
        </w:r>
        <w:r w:rsidR="00A22F6D">
          <w:rPr>
            <w:noProof/>
            <w:webHidden/>
          </w:rPr>
        </w:r>
        <w:r w:rsidR="00A22F6D">
          <w:rPr>
            <w:noProof/>
            <w:webHidden/>
          </w:rPr>
          <w:fldChar w:fldCharType="separate"/>
        </w:r>
        <w:r w:rsidR="00A22F6D">
          <w:rPr>
            <w:noProof/>
            <w:webHidden/>
          </w:rPr>
          <w:t>5</w:t>
        </w:r>
        <w:r w:rsidR="00A22F6D">
          <w:rPr>
            <w:noProof/>
            <w:webHidden/>
          </w:rPr>
          <w:fldChar w:fldCharType="end"/>
        </w:r>
      </w:hyperlink>
    </w:p>
    <w:p w14:paraId="7204E30D" w14:textId="77777777" w:rsidR="00A22F6D" w:rsidRDefault="00FC4AB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5765650" w:history="1">
        <w:r w:rsidR="00A22F6D" w:rsidRPr="008F0173">
          <w:rPr>
            <w:rStyle w:val="Hyperlink"/>
            <w:b/>
            <w:bCs/>
            <w:noProof/>
            <w:spacing w:val="5"/>
          </w:rPr>
          <w:t>Meeting 94 – 24 october 2019</w:t>
        </w:r>
        <w:r w:rsidR="00A22F6D">
          <w:rPr>
            <w:noProof/>
            <w:webHidden/>
          </w:rPr>
          <w:tab/>
        </w:r>
        <w:r w:rsidR="00A22F6D">
          <w:rPr>
            <w:noProof/>
            <w:webHidden/>
          </w:rPr>
          <w:fldChar w:fldCharType="begin"/>
        </w:r>
        <w:r w:rsidR="00A22F6D">
          <w:rPr>
            <w:noProof/>
            <w:webHidden/>
          </w:rPr>
          <w:instrText xml:space="preserve"> PAGEREF _Toc25765650 \h </w:instrText>
        </w:r>
        <w:r w:rsidR="00A22F6D">
          <w:rPr>
            <w:noProof/>
            <w:webHidden/>
          </w:rPr>
        </w:r>
        <w:r w:rsidR="00A22F6D">
          <w:rPr>
            <w:noProof/>
            <w:webHidden/>
          </w:rPr>
          <w:fldChar w:fldCharType="separate"/>
        </w:r>
        <w:r w:rsidR="00A22F6D">
          <w:rPr>
            <w:noProof/>
            <w:webHidden/>
          </w:rPr>
          <w:t>5</w:t>
        </w:r>
        <w:r w:rsidR="00A22F6D">
          <w:rPr>
            <w:noProof/>
            <w:webHidden/>
          </w:rPr>
          <w:fldChar w:fldCharType="end"/>
        </w:r>
      </w:hyperlink>
    </w:p>
    <w:p w14:paraId="40875971"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51" w:history="1">
        <w:r w:rsidR="00A22F6D" w:rsidRPr="008F0173">
          <w:rPr>
            <w:rStyle w:val="Hyperlink"/>
            <w:noProof/>
            <w:lang w:eastAsia="en-GB"/>
          </w:rPr>
          <w:t>8.</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Proposed Legal Drafting</w:t>
        </w:r>
        <w:r w:rsidR="00A22F6D">
          <w:rPr>
            <w:noProof/>
            <w:webHidden/>
          </w:rPr>
          <w:tab/>
        </w:r>
        <w:r w:rsidR="00A22F6D">
          <w:rPr>
            <w:noProof/>
            <w:webHidden/>
          </w:rPr>
          <w:fldChar w:fldCharType="begin"/>
        </w:r>
        <w:r w:rsidR="00A22F6D">
          <w:rPr>
            <w:noProof/>
            <w:webHidden/>
          </w:rPr>
          <w:instrText xml:space="preserve"> PAGEREF _Toc25765651 \h </w:instrText>
        </w:r>
        <w:r w:rsidR="00A22F6D">
          <w:rPr>
            <w:noProof/>
            <w:webHidden/>
          </w:rPr>
        </w:r>
        <w:r w:rsidR="00A22F6D">
          <w:rPr>
            <w:noProof/>
            <w:webHidden/>
          </w:rPr>
          <w:fldChar w:fldCharType="separate"/>
        </w:r>
        <w:r w:rsidR="00A22F6D">
          <w:rPr>
            <w:noProof/>
            <w:webHidden/>
          </w:rPr>
          <w:t>6</w:t>
        </w:r>
        <w:r w:rsidR="00A22F6D">
          <w:rPr>
            <w:noProof/>
            <w:webHidden/>
          </w:rPr>
          <w:fldChar w:fldCharType="end"/>
        </w:r>
      </w:hyperlink>
    </w:p>
    <w:p w14:paraId="237F174C"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52" w:history="1">
        <w:r w:rsidR="00A22F6D" w:rsidRPr="008F0173">
          <w:rPr>
            <w:rStyle w:val="Hyperlink"/>
            <w:smallCaps/>
            <w:noProof/>
            <w:lang w:eastAsia="en-GB"/>
          </w:rPr>
          <w:t>9.</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smallCaps/>
            <w:noProof/>
            <w:lang w:eastAsia="en-GB"/>
          </w:rPr>
          <w:t>LEGAL REVIEW</w:t>
        </w:r>
        <w:r w:rsidR="00A22F6D">
          <w:rPr>
            <w:noProof/>
            <w:webHidden/>
          </w:rPr>
          <w:tab/>
        </w:r>
        <w:r w:rsidR="00A22F6D">
          <w:rPr>
            <w:noProof/>
            <w:webHidden/>
          </w:rPr>
          <w:fldChar w:fldCharType="begin"/>
        </w:r>
        <w:r w:rsidR="00A22F6D">
          <w:rPr>
            <w:noProof/>
            <w:webHidden/>
          </w:rPr>
          <w:instrText xml:space="preserve"> PAGEREF _Toc25765652 \h </w:instrText>
        </w:r>
        <w:r w:rsidR="00A22F6D">
          <w:rPr>
            <w:noProof/>
            <w:webHidden/>
          </w:rPr>
        </w:r>
        <w:r w:rsidR="00A22F6D">
          <w:rPr>
            <w:noProof/>
            <w:webHidden/>
          </w:rPr>
          <w:fldChar w:fldCharType="separate"/>
        </w:r>
        <w:r w:rsidR="00A22F6D">
          <w:rPr>
            <w:noProof/>
            <w:webHidden/>
          </w:rPr>
          <w:t>7</w:t>
        </w:r>
        <w:r w:rsidR="00A22F6D">
          <w:rPr>
            <w:noProof/>
            <w:webHidden/>
          </w:rPr>
          <w:fldChar w:fldCharType="end"/>
        </w:r>
      </w:hyperlink>
    </w:p>
    <w:p w14:paraId="5DAD90E1" w14:textId="77777777" w:rsidR="00A22F6D" w:rsidRDefault="00FC4ABC">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53" w:history="1">
        <w:r w:rsidR="00A22F6D" w:rsidRPr="008F0173">
          <w:rPr>
            <w:rStyle w:val="Hyperlink"/>
            <w:noProof/>
            <w:lang w:eastAsia="en-GB"/>
          </w:rPr>
          <w:t>10.</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IMPLEMENTATION TIMESCALE</w:t>
        </w:r>
        <w:r w:rsidR="00A22F6D">
          <w:rPr>
            <w:noProof/>
            <w:webHidden/>
          </w:rPr>
          <w:tab/>
        </w:r>
        <w:r w:rsidR="00A22F6D">
          <w:rPr>
            <w:noProof/>
            <w:webHidden/>
          </w:rPr>
          <w:fldChar w:fldCharType="begin"/>
        </w:r>
        <w:r w:rsidR="00A22F6D">
          <w:rPr>
            <w:noProof/>
            <w:webHidden/>
          </w:rPr>
          <w:instrText xml:space="preserve"> PAGEREF _Toc25765653 \h </w:instrText>
        </w:r>
        <w:r w:rsidR="00A22F6D">
          <w:rPr>
            <w:noProof/>
            <w:webHidden/>
          </w:rPr>
        </w:r>
        <w:r w:rsidR="00A22F6D">
          <w:rPr>
            <w:noProof/>
            <w:webHidden/>
          </w:rPr>
          <w:fldChar w:fldCharType="separate"/>
        </w:r>
        <w:r w:rsidR="00A22F6D">
          <w:rPr>
            <w:noProof/>
            <w:webHidden/>
          </w:rPr>
          <w:t>7</w:t>
        </w:r>
        <w:r w:rsidR="00A22F6D">
          <w:rPr>
            <w:noProof/>
            <w:webHidden/>
          </w:rPr>
          <w:fldChar w:fldCharType="end"/>
        </w:r>
      </w:hyperlink>
    </w:p>
    <w:p w14:paraId="669BF282" w14:textId="77777777" w:rsidR="00A22F6D" w:rsidRDefault="00FC4AB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5765654" w:history="1">
        <w:r w:rsidR="00A22F6D" w:rsidRPr="008F0173">
          <w:rPr>
            <w:rStyle w:val="Hyperlink"/>
            <w:noProof/>
            <w:lang w:eastAsia="en-GB"/>
          </w:rPr>
          <w:t>1</w:t>
        </w:r>
        <w:r w:rsidR="00A22F6D">
          <w:rPr>
            <w:rFonts w:asciiTheme="minorHAnsi" w:eastAsiaTheme="minorEastAsia" w:hAnsiTheme="minorHAnsi" w:cstheme="minorBidi"/>
            <w:b w:val="0"/>
            <w:bCs w:val="0"/>
            <w:caps w:val="0"/>
            <w:noProof/>
            <w:sz w:val="22"/>
            <w:szCs w:val="22"/>
            <w:lang w:val="en-IE" w:eastAsia="en-IE" w:bidi="ar-SA"/>
          </w:rPr>
          <w:tab/>
        </w:r>
        <w:r w:rsidR="00A22F6D" w:rsidRPr="008F0173">
          <w:rPr>
            <w:rStyle w:val="Hyperlink"/>
            <w:noProof/>
            <w:lang w:eastAsia="en-GB"/>
          </w:rPr>
          <w:t>Appendix 1: Mod_16_19 codification of tso fndds methodology and system service flag for dsu settlement</w:t>
        </w:r>
        <w:r w:rsidR="00A22F6D">
          <w:rPr>
            <w:noProof/>
            <w:webHidden/>
          </w:rPr>
          <w:tab/>
        </w:r>
        <w:r w:rsidR="00A22F6D">
          <w:rPr>
            <w:noProof/>
            <w:webHidden/>
          </w:rPr>
          <w:fldChar w:fldCharType="begin"/>
        </w:r>
        <w:r w:rsidR="00A22F6D">
          <w:rPr>
            <w:noProof/>
            <w:webHidden/>
          </w:rPr>
          <w:instrText xml:space="preserve"> PAGEREF _Toc25765654 \h </w:instrText>
        </w:r>
        <w:r w:rsidR="00A22F6D">
          <w:rPr>
            <w:noProof/>
            <w:webHidden/>
          </w:rPr>
        </w:r>
        <w:r w:rsidR="00A22F6D">
          <w:rPr>
            <w:noProof/>
            <w:webHidden/>
          </w:rPr>
          <w:fldChar w:fldCharType="separate"/>
        </w:r>
        <w:r w:rsidR="00A22F6D">
          <w:rPr>
            <w:noProof/>
            <w:webHidden/>
          </w:rPr>
          <w:t>8</w:t>
        </w:r>
        <w:r w:rsidR="00A22F6D">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5765639"/>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5765640"/>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5B603E7B" w:rsidR="0084026E" w:rsidRDefault="0084026E" w:rsidP="007234B9">
            <w:r>
              <w:t>Approve</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23477238" w:rsidR="0084026E" w:rsidRDefault="004B6CA1"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5765641"/>
      <w:r w:rsidRPr="003D3D96">
        <w:rPr>
          <w:lang w:eastAsia="en-GB"/>
        </w:rPr>
        <w:t>Background</w:t>
      </w:r>
      <w:bookmarkEnd w:id="19"/>
      <w:bookmarkEnd w:id="20"/>
      <w:bookmarkEnd w:id="21"/>
      <w:bookmarkEnd w:id="22"/>
      <w:bookmarkEnd w:id="23"/>
      <w:bookmarkEnd w:id="24"/>
      <w:bookmarkEnd w:id="25"/>
    </w:p>
    <w:p w14:paraId="3DFD781F" w14:textId="12868818" w:rsidR="00365AF8" w:rsidRDefault="00365AF8" w:rsidP="00365AF8">
      <w:pPr>
        <w:jc w:val="both"/>
        <w:rPr>
          <w:rFonts w:cs="Arial"/>
        </w:rPr>
      </w:pPr>
      <w:r w:rsidRPr="00365AF8">
        <w:rPr>
          <w:rFonts w:cs="Arial"/>
        </w:rPr>
        <w:t xml:space="preserve">This Modification </w:t>
      </w:r>
      <w:r w:rsidR="0084026E">
        <w:rPr>
          <w:rFonts w:cs="Arial"/>
        </w:rPr>
        <w:t>Proposal was raised by Electricity Exchange</w:t>
      </w:r>
      <w:r w:rsidRPr="00365AF8">
        <w:rPr>
          <w:rFonts w:cs="Arial"/>
        </w:rPr>
        <w:t xml:space="preserve"> and was received by the Secretariat on the </w:t>
      </w:r>
      <w:r w:rsidR="0084026E">
        <w:rPr>
          <w:rFonts w:cs="Arial"/>
        </w:rPr>
        <w:t>10</w:t>
      </w:r>
      <w:r w:rsidR="0084026E" w:rsidRPr="0084026E">
        <w:rPr>
          <w:rFonts w:cs="Arial"/>
          <w:vertAlign w:val="superscript"/>
        </w:rPr>
        <w:t>th</w:t>
      </w:r>
      <w:r w:rsidR="0084026E">
        <w:rPr>
          <w:rFonts w:cs="Arial"/>
        </w:rPr>
        <w:t xml:space="preserve"> October</w:t>
      </w:r>
      <w:r w:rsidR="00C87786">
        <w:rPr>
          <w:rFonts w:cs="Arial"/>
        </w:rPr>
        <w:t xml:space="preserve"> 2019. The</w:t>
      </w:r>
      <w:r w:rsidRPr="00365AF8">
        <w:rPr>
          <w:rFonts w:cs="Arial"/>
        </w:rPr>
        <w:t xml:space="preserve"> proposal was r</w:t>
      </w:r>
      <w:r w:rsidR="0084026E">
        <w:rPr>
          <w:rFonts w:cs="Arial"/>
        </w:rPr>
        <w:t>aised and voted on at Meeting 94 on 24</w:t>
      </w:r>
      <w:r w:rsidR="0084026E" w:rsidRPr="0084026E">
        <w:rPr>
          <w:rFonts w:cs="Arial"/>
          <w:vertAlign w:val="superscript"/>
        </w:rPr>
        <w:t>th</w:t>
      </w:r>
      <w:r w:rsidR="0084026E">
        <w:rPr>
          <w:rFonts w:cs="Arial"/>
        </w:rPr>
        <w:t xml:space="preserve"> October 2019.</w:t>
      </w:r>
    </w:p>
    <w:p w14:paraId="2C377064" w14:textId="77777777" w:rsidR="0084026E" w:rsidRPr="0084026E" w:rsidRDefault="0084026E" w:rsidP="0084026E">
      <w:pPr>
        <w:jc w:val="both"/>
        <w:rPr>
          <w:rFonts w:cs="Arial"/>
          <w:lang w:val="en-IE"/>
        </w:rPr>
      </w:pPr>
      <w:r w:rsidRPr="0084026E">
        <w:rPr>
          <w:rFonts w:cs="Arial"/>
          <w:lang w:val="en-IE"/>
        </w:rPr>
        <w:t xml:space="preserve">The Trading and Settlement Code contemplates a value for Demand Side Non-Delivery Percentage (FNDDS) which is submitted by the System Operators to the Market Operator (F.2.7) for use in the settlement of reliability options for demand side units (DSUs). This variable is crucial in determining the level of fulfilment of the reliability option where the strike price is exceeded and consequently, the level of difference charges due by DSUs. </w:t>
      </w:r>
    </w:p>
    <w:p w14:paraId="482C511B" w14:textId="7508CE01" w:rsidR="0084026E" w:rsidRPr="0084026E" w:rsidRDefault="0084026E" w:rsidP="0084026E">
      <w:pPr>
        <w:jc w:val="both"/>
        <w:rPr>
          <w:rFonts w:cs="Arial"/>
          <w:lang w:val="en-IE"/>
        </w:rPr>
      </w:pPr>
      <w:r w:rsidRPr="0084026E">
        <w:rPr>
          <w:rFonts w:cs="Arial"/>
          <w:lang w:val="en-IE"/>
        </w:rPr>
        <w:t>The methodology for the calculation of this variable is not outlined in t</w:t>
      </w:r>
      <w:r w:rsidR="00A22F6D">
        <w:rPr>
          <w:rFonts w:cs="Arial"/>
          <w:lang w:val="en-IE"/>
        </w:rPr>
        <w:t xml:space="preserve">he Trading and Settlement Code, </w:t>
      </w:r>
      <w:r w:rsidRPr="0084026E">
        <w:rPr>
          <w:rFonts w:cs="Arial"/>
          <w:lang w:val="en-IE"/>
        </w:rPr>
        <w:t>this constitutes a major governance concern for DSUs for a crucial variable with specific concerns being:</w:t>
      </w:r>
    </w:p>
    <w:p w14:paraId="6730593D" w14:textId="77777777" w:rsidR="0084026E" w:rsidRPr="0084026E" w:rsidRDefault="0084026E" w:rsidP="0084026E">
      <w:pPr>
        <w:pStyle w:val="ListParagraph"/>
        <w:numPr>
          <w:ilvl w:val="0"/>
          <w:numId w:val="66"/>
        </w:numPr>
        <w:overflowPunct w:val="0"/>
        <w:autoSpaceDE w:val="0"/>
        <w:autoSpaceDN w:val="0"/>
        <w:adjustRightInd w:val="0"/>
        <w:spacing w:before="0" w:after="0" w:line="240" w:lineRule="auto"/>
        <w:jc w:val="both"/>
        <w:textAlignment w:val="baseline"/>
        <w:rPr>
          <w:rFonts w:cs="Arial"/>
          <w:lang w:val="en-IE"/>
        </w:rPr>
      </w:pPr>
      <w:r w:rsidRPr="0084026E">
        <w:rPr>
          <w:rFonts w:cs="Arial"/>
          <w:lang w:val="en-IE"/>
        </w:rPr>
        <w:t>The system operator is not obliged to follow any particular methodology for calculating this under the T&amp;SC;</w:t>
      </w:r>
    </w:p>
    <w:p w14:paraId="44DC7099" w14:textId="77777777" w:rsidR="0084026E" w:rsidRPr="0084026E" w:rsidRDefault="0084026E" w:rsidP="0084026E">
      <w:pPr>
        <w:pStyle w:val="ListParagraph"/>
        <w:numPr>
          <w:ilvl w:val="0"/>
          <w:numId w:val="66"/>
        </w:numPr>
        <w:overflowPunct w:val="0"/>
        <w:autoSpaceDE w:val="0"/>
        <w:autoSpaceDN w:val="0"/>
        <w:adjustRightInd w:val="0"/>
        <w:spacing w:before="0" w:after="0" w:line="240" w:lineRule="auto"/>
        <w:jc w:val="both"/>
        <w:textAlignment w:val="baseline"/>
        <w:rPr>
          <w:rFonts w:cs="Arial"/>
          <w:lang w:val="en-IE"/>
        </w:rPr>
      </w:pPr>
      <w:r w:rsidRPr="0084026E">
        <w:rPr>
          <w:rFonts w:cs="Arial"/>
          <w:lang w:val="en-IE"/>
        </w:rPr>
        <w:t xml:space="preserve">There is no obligation of the timeline for the system operators to calculate FNDDS; </w:t>
      </w:r>
    </w:p>
    <w:p w14:paraId="57D86596" w14:textId="77777777" w:rsidR="0084026E" w:rsidRPr="0084026E" w:rsidRDefault="0084026E" w:rsidP="0084026E">
      <w:pPr>
        <w:pStyle w:val="ListParagraph"/>
        <w:numPr>
          <w:ilvl w:val="0"/>
          <w:numId w:val="66"/>
        </w:numPr>
        <w:overflowPunct w:val="0"/>
        <w:autoSpaceDE w:val="0"/>
        <w:autoSpaceDN w:val="0"/>
        <w:adjustRightInd w:val="0"/>
        <w:spacing w:before="0" w:after="0" w:line="240" w:lineRule="auto"/>
        <w:jc w:val="both"/>
        <w:textAlignment w:val="baseline"/>
        <w:rPr>
          <w:rFonts w:cs="Arial"/>
          <w:lang w:val="en-IE"/>
        </w:rPr>
      </w:pPr>
      <w:r w:rsidRPr="0084026E">
        <w:rPr>
          <w:rFonts w:cs="Arial"/>
          <w:lang w:val="en-IE"/>
        </w:rPr>
        <w:t>How resettlement is handled where the variable is not calculated prior to a settlement run; and</w:t>
      </w:r>
    </w:p>
    <w:p w14:paraId="23BE1AB0" w14:textId="77777777" w:rsidR="0084026E" w:rsidRPr="0084026E" w:rsidRDefault="0084026E" w:rsidP="0084026E">
      <w:pPr>
        <w:pStyle w:val="ListParagraph"/>
        <w:numPr>
          <w:ilvl w:val="0"/>
          <w:numId w:val="66"/>
        </w:numPr>
        <w:overflowPunct w:val="0"/>
        <w:autoSpaceDE w:val="0"/>
        <w:autoSpaceDN w:val="0"/>
        <w:adjustRightInd w:val="0"/>
        <w:spacing w:before="0" w:after="0" w:line="240" w:lineRule="auto"/>
        <w:jc w:val="both"/>
        <w:textAlignment w:val="baseline"/>
        <w:rPr>
          <w:rFonts w:cs="Arial"/>
          <w:lang w:val="en-IE"/>
        </w:rPr>
      </w:pPr>
      <w:r w:rsidRPr="0084026E">
        <w:rPr>
          <w:rFonts w:cs="Arial"/>
          <w:lang w:val="en-IE"/>
        </w:rPr>
        <w:t>There is no clear process for raising modification to the methodology.</w:t>
      </w:r>
    </w:p>
    <w:p w14:paraId="4F129AB1" w14:textId="77777777" w:rsidR="0084026E" w:rsidRPr="0084026E" w:rsidRDefault="0084026E" w:rsidP="0084026E">
      <w:pPr>
        <w:jc w:val="both"/>
        <w:rPr>
          <w:rFonts w:cs="Arial"/>
          <w:lang w:val="en-IE"/>
        </w:rPr>
      </w:pPr>
    </w:p>
    <w:p w14:paraId="17C56074" w14:textId="77777777" w:rsidR="0084026E" w:rsidRPr="0084026E" w:rsidRDefault="0084026E" w:rsidP="0084026E">
      <w:pPr>
        <w:jc w:val="both"/>
        <w:rPr>
          <w:rFonts w:cs="Arial"/>
          <w:lang w:val="en-IE"/>
        </w:rPr>
      </w:pPr>
      <w:r w:rsidRPr="0084026E">
        <w:rPr>
          <w:rFonts w:cs="Arial"/>
          <w:lang w:val="en-IE"/>
        </w:rPr>
        <w:t xml:space="preserve">Electricity Exchange note the publication of the document </w:t>
      </w:r>
      <w:hyperlink r:id="rId16" w:history="1">
        <w:r w:rsidRPr="0084026E">
          <w:rPr>
            <w:rStyle w:val="Hyperlink"/>
            <w:rFonts w:cs="Arial"/>
            <w:lang w:val="en-IE"/>
          </w:rPr>
          <w:t>Note for Participants on FNDDS Calculation Methodology</w:t>
        </w:r>
      </w:hyperlink>
      <w:r w:rsidRPr="0084026E">
        <w:rPr>
          <w:rFonts w:cs="Arial"/>
          <w:lang w:val="en-IE"/>
        </w:rPr>
        <w:t xml:space="preserve"> on the SEMO website on 30/11/2018. This document outlines a methodology for the </w:t>
      </w:r>
      <w:r w:rsidRPr="0084026E">
        <w:rPr>
          <w:rFonts w:cs="Arial"/>
          <w:lang w:val="en-IE"/>
        </w:rPr>
        <w:lastRenderedPageBreak/>
        <w:t xml:space="preserve">calculation for FNDDS which provides further clarity on the calculation which was welcomed. However, this document sits outside of the governance of the T&amp;SC and while it notes that the process is to be completed by initial settlement, it does not place an obligation on the System Operators to perform the calculation before this nor does it provide necessary clarity on resettlement is handled where the variable is not calculated prior to initial settlement. </w:t>
      </w:r>
    </w:p>
    <w:p w14:paraId="70CBA041" w14:textId="77777777" w:rsidR="0084026E" w:rsidRPr="0084026E" w:rsidRDefault="0084026E" w:rsidP="0084026E">
      <w:pPr>
        <w:jc w:val="both"/>
        <w:rPr>
          <w:rFonts w:cs="Arial"/>
          <w:lang w:val="en-IE"/>
        </w:rPr>
      </w:pPr>
      <w:r w:rsidRPr="0084026E">
        <w:rPr>
          <w:rFonts w:cs="Arial"/>
          <w:lang w:val="en-IE"/>
        </w:rPr>
        <w:t xml:space="preserve">Furthermore, it was noted as part of the actions of working group meeting 2 for Mod_32_18 that DSUs were not currently exempted from difference charges where the DSU was providing system services in the same way that other generator units are. Furthermore, there was an action from that working group to alter the FNDDS calculation to include provisions for incorporating the system service flag to reduce DSU difference charges when providing appropriate services in the same manner as other generators. </w:t>
      </w:r>
    </w:p>
    <w:p w14:paraId="44223B55" w14:textId="05C18EF9" w:rsidR="0084026E" w:rsidRPr="0084026E" w:rsidRDefault="0084026E" w:rsidP="0084026E">
      <w:pPr>
        <w:jc w:val="both"/>
        <w:rPr>
          <w:rFonts w:cs="Arial"/>
          <w:lang w:val="en-IE"/>
        </w:rPr>
      </w:pPr>
      <w:r w:rsidRPr="0084026E">
        <w:rPr>
          <w:rFonts w:cs="Arial"/>
          <w:lang w:val="en-IE"/>
        </w:rPr>
        <w:t>This modification seeks to:</w:t>
      </w:r>
    </w:p>
    <w:p w14:paraId="704B1527" w14:textId="77777777" w:rsidR="0084026E" w:rsidRPr="0084026E" w:rsidRDefault="0084026E" w:rsidP="0084026E">
      <w:pPr>
        <w:pStyle w:val="ListParagraph"/>
        <w:numPr>
          <w:ilvl w:val="0"/>
          <w:numId w:val="67"/>
        </w:numPr>
        <w:overflowPunct w:val="0"/>
        <w:autoSpaceDE w:val="0"/>
        <w:autoSpaceDN w:val="0"/>
        <w:adjustRightInd w:val="0"/>
        <w:spacing w:before="0" w:after="0"/>
        <w:jc w:val="both"/>
        <w:textAlignment w:val="baseline"/>
        <w:rPr>
          <w:rFonts w:cs="Arial"/>
          <w:lang w:val="en-IE"/>
        </w:rPr>
      </w:pPr>
      <w:r w:rsidRPr="0084026E">
        <w:rPr>
          <w:rFonts w:cs="Arial"/>
          <w:lang w:val="en-IE"/>
        </w:rPr>
        <w:t>Codify the FNDDS calculation in the T&amp;SC to clarify related obligations and governance; and</w:t>
      </w:r>
    </w:p>
    <w:p w14:paraId="7CE617D1" w14:textId="540B272E" w:rsidR="0084026E" w:rsidRDefault="0084026E" w:rsidP="0084026E">
      <w:pPr>
        <w:pStyle w:val="ListParagraph"/>
        <w:numPr>
          <w:ilvl w:val="0"/>
          <w:numId w:val="67"/>
        </w:numPr>
        <w:overflowPunct w:val="0"/>
        <w:autoSpaceDE w:val="0"/>
        <w:autoSpaceDN w:val="0"/>
        <w:adjustRightInd w:val="0"/>
        <w:spacing w:before="0" w:after="0"/>
        <w:jc w:val="both"/>
        <w:textAlignment w:val="baseline"/>
        <w:rPr>
          <w:rFonts w:cs="Arial"/>
          <w:lang w:val="en-IE"/>
        </w:rPr>
      </w:pPr>
      <w:r w:rsidRPr="0084026E">
        <w:rPr>
          <w:rFonts w:cs="Arial"/>
          <w:lang w:val="en-IE"/>
        </w:rPr>
        <w:t xml:space="preserve">Incorporate the system service flag into the FNDDS calculation. </w:t>
      </w:r>
    </w:p>
    <w:p w14:paraId="4AEAF6BD" w14:textId="77777777" w:rsidR="0084026E" w:rsidRPr="0084026E" w:rsidRDefault="0084026E" w:rsidP="0084026E">
      <w:pPr>
        <w:pStyle w:val="ListParagraph"/>
        <w:overflowPunct w:val="0"/>
        <w:autoSpaceDE w:val="0"/>
        <w:autoSpaceDN w:val="0"/>
        <w:adjustRightInd w:val="0"/>
        <w:spacing w:before="0" w:after="0" w:line="240" w:lineRule="auto"/>
        <w:jc w:val="both"/>
        <w:textAlignment w:val="baseline"/>
        <w:rPr>
          <w:rFonts w:cs="Arial"/>
          <w:lang w:val="en-IE"/>
        </w:rPr>
      </w:pPr>
    </w:p>
    <w:p w14:paraId="45415B78" w14:textId="338C96EE" w:rsidR="008E552B" w:rsidRPr="0084026E" w:rsidRDefault="0084026E" w:rsidP="0084026E">
      <w:pPr>
        <w:rPr>
          <w:rFonts w:cs="Arial"/>
          <w:lang w:val="en-IE"/>
        </w:rPr>
      </w:pPr>
      <w:r w:rsidRPr="0084026E">
        <w:rPr>
          <w:rFonts w:cs="Arial"/>
          <w:lang w:val="en-IE"/>
        </w:rPr>
        <w:t xml:space="preserve">Finally, as the values involved in calculating FNDDS are held by the Market Operator, the modification seeks to clarify the obligation as being a Market Operator obligation rather than a System Operator obligation. </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5765642"/>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5765643"/>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16E352D2" w14:textId="244B6486" w:rsidR="008D45B9" w:rsidRPr="009F1F9E" w:rsidRDefault="008D45B9" w:rsidP="008D45B9">
      <w:pPr>
        <w:jc w:val="both"/>
        <w:rPr>
          <w:rFonts w:cs="Arial"/>
          <w:lang w:val="en-IE"/>
        </w:rPr>
      </w:pPr>
      <w:bookmarkStart w:id="47" w:name="_Toc334796302"/>
      <w:r w:rsidRPr="008D45B9">
        <w:rPr>
          <w:rFonts w:cs="Arial"/>
          <w:lang w:val="en-IE"/>
        </w:rPr>
        <w:t xml:space="preserve">This modification is intended to increase transparency on the calculation of FNDDS and consequently the settlement of reliability options for DSUs. It is also intended to implement the agreed action from working group meeting 2 of Mod_32_18 to include the system service flagging arrangements in FNDDS to mirror those of non-DSU generators and thereby reduce undue discrimination against DSUs in reliability option settlement. </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5765644"/>
      <w:r w:rsidRPr="003D3D96">
        <w:rPr>
          <w:b/>
          <w:bCs/>
          <w:caps/>
          <w:smallCaps/>
          <w:color w:val="1F497D"/>
          <w:spacing w:val="5"/>
          <w:sz w:val="22"/>
          <w:szCs w:val="22"/>
          <w:u w:val="single"/>
          <w:lang w:eastAsia="en-GB" w:bidi="ar-SA"/>
        </w:rPr>
        <w:t>3B.) Impact of not Implementing a Solution</w:t>
      </w:r>
      <w:bookmarkEnd w:id="47"/>
      <w:bookmarkEnd w:id="48"/>
    </w:p>
    <w:p w14:paraId="6E7F0812" w14:textId="77777777" w:rsidR="00147222" w:rsidRPr="00147222" w:rsidRDefault="00147222" w:rsidP="00147222">
      <w:pPr>
        <w:jc w:val="both"/>
        <w:rPr>
          <w:rFonts w:cs="Arial"/>
          <w:lang w:val="en-IE"/>
        </w:rPr>
      </w:pPr>
      <w:bookmarkStart w:id="49" w:name="_Toc334796303"/>
      <w:r w:rsidRPr="00147222">
        <w:rPr>
          <w:rFonts w:cs="Arial"/>
          <w:lang w:val="en-IE"/>
        </w:rPr>
        <w:t>The modification comes in two parts:</w:t>
      </w:r>
    </w:p>
    <w:p w14:paraId="1A659772" w14:textId="321CBF4C" w:rsidR="00147222" w:rsidRPr="00147222" w:rsidRDefault="00147222" w:rsidP="00147222">
      <w:pPr>
        <w:pStyle w:val="ListParagraph"/>
        <w:numPr>
          <w:ilvl w:val="0"/>
          <w:numId w:val="68"/>
        </w:numPr>
        <w:overflowPunct w:val="0"/>
        <w:autoSpaceDE w:val="0"/>
        <w:autoSpaceDN w:val="0"/>
        <w:adjustRightInd w:val="0"/>
        <w:spacing w:before="0" w:after="0"/>
        <w:jc w:val="both"/>
        <w:textAlignment w:val="baseline"/>
        <w:rPr>
          <w:rFonts w:cs="Arial"/>
          <w:lang w:val="en-IE"/>
        </w:rPr>
      </w:pPr>
      <w:r w:rsidRPr="00147222">
        <w:rPr>
          <w:rFonts w:cs="Arial"/>
          <w:lang w:val="en-IE"/>
        </w:rPr>
        <w:t>Codify the FNDDS calculation in the T&amp;SC; and</w:t>
      </w:r>
    </w:p>
    <w:p w14:paraId="466FC276" w14:textId="77777777" w:rsidR="00147222" w:rsidRPr="00147222" w:rsidRDefault="00147222" w:rsidP="00147222">
      <w:pPr>
        <w:pStyle w:val="ListParagraph"/>
        <w:numPr>
          <w:ilvl w:val="0"/>
          <w:numId w:val="68"/>
        </w:numPr>
        <w:overflowPunct w:val="0"/>
        <w:autoSpaceDE w:val="0"/>
        <w:autoSpaceDN w:val="0"/>
        <w:adjustRightInd w:val="0"/>
        <w:spacing w:before="0" w:after="0"/>
        <w:jc w:val="both"/>
        <w:textAlignment w:val="baseline"/>
        <w:rPr>
          <w:rFonts w:cs="Arial"/>
          <w:lang w:val="en-IE"/>
        </w:rPr>
      </w:pPr>
      <w:r w:rsidRPr="00147222">
        <w:rPr>
          <w:rFonts w:cs="Arial"/>
          <w:lang w:val="en-IE"/>
        </w:rPr>
        <w:t xml:space="preserve">Incorporate the system service flag into FNDDS calculation. </w:t>
      </w:r>
    </w:p>
    <w:p w14:paraId="0AD05249" w14:textId="77777777" w:rsidR="00147222" w:rsidRPr="00147222" w:rsidRDefault="00147222" w:rsidP="00147222">
      <w:pPr>
        <w:jc w:val="both"/>
        <w:rPr>
          <w:rFonts w:cs="Arial"/>
          <w:lang w:val="en-IE"/>
        </w:rPr>
      </w:pPr>
      <w:r w:rsidRPr="00147222">
        <w:rPr>
          <w:rFonts w:cs="Arial"/>
          <w:lang w:val="en-IE"/>
        </w:rPr>
        <w:t xml:space="preserve">Failure to implement part 1 of the modification will prolong the lack of transparency for DSUs in their capacity market settlement obligations and therefore affect the ability of DSUs to accurately reflect risk in capacity market bids. As changes to FNDDS are not governed by the T&amp;SC, it would also prolong the period where DSUs are exposed to potential changes to FNDDS which do not take place in the structured manner of T&amp;SC modifications increasing risk of not just future capacity auctions but also for years where reliability options have already been issued. </w:t>
      </w:r>
    </w:p>
    <w:p w14:paraId="2E25934C" w14:textId="33497C8F" w:rsidR="00147222" w:rsidRPr="00147222" w:rsidRDefault="00147222" w:rsidP="00147222">
      <w:pPr>
        <w:jc w:val="both"/>
        <w:rPr>
          <w:rFonts w:cs="Arial"/>
          <w:lang w:val="en-IE"/>
        </w:rPr>
      </w:pPr>
      <w:r w:rsidRPr="00147222">
        <w:rPr>
          <w:rFonts w:cs="Arial"/>
          <w:lang w:val="en-IE"/>
        </w:rPr>
        <w:t>Failure to implement part 2 of this change would prolong a period of undue discrimination in reliability option settlement where exemptions to difference charges where the unit is providing appropriate system services are extended to generator units but not to DSUs.</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5765645"/>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4875D7D8" w14:textId="77777777" w:rsidR="00147222" w:rsidRPr="00147222" w:rsidRDefault="00147222" w:rsidP="00147222">
      <w:pPr>
        <w:spacing w:line="480" w:lineRule="auto"/>
        <w:jc w:val="both"/>
        <w:rPr>
          <w:rFonts w:cs="Arial"/>
          <w:lang w:val="en-IE"/>
        </w:rPr>
      </w:pPr>
      <w:r w:rsidRPr="00147222">
        <w:rPr>
          <w:rFonts w:cs="Arial"/>
          <w:lang w:val="en-IE"/>
        </w:rPr>
        <w:t>Electricity Exchange that this modification will further the following code obligations</w:t>
      </w:r>
    </w:p>
    <w:p w14:paraId="6BE65E65" w14:textId="77777777" w:rsidR="00147222" w:rsidRPr="00147222" w:rsidRDefault="00147222" w:rsidP="000D7FC6">
      <w:pPr>
        <w:ind w:left="720"/>
        <w:jc w:val="both"/>
        <w:rPr>
          <w:rFonts w:cs="Arial"/>
          <w:lang w:val="en-IE"/>
        </w:rPr>
      </w:pPr>
      <w:r w:rsidRPr="00147222">
        <w:rPr>
          <w:rFonts w:cs="Arial"/>
          <w:lang w:val="en-IE"/>
        </w:rPr>
        <w:t>(e) To provide transparency in the operation of the Single Electricity Market; and</w:t>
      </w:r>
    </w:p>
    <w:p w14:paraId="7FC03C3A" w14:textId="1FB6394E" w:rsidR="00147222" w:rsidRPr="00147222" w:rsidRDefault="00147222" w:rsidP="000D7FC6">
      <w:pPr>
        <w:ind w:left="720"/>
        <w:jc w:val="both"/>
        <w:rPr>
          <w:rFonts w:cs="Arial"/>
          <w:lang w:val="en-IE"/>
        </w:rPr>
      </w:pPr>
      <w:r w:rsidRPr="00147222">
        <w:rPr>
          <w:rFonts w:cs="Arial"/>
          <w:lang w:val="en-IE"/>
        </w:rPr>
        <w:t xml:space="preserve">(f) </w:t>
      </w:r>
      <w:r w:rsidR="000D7FC6" w:rsidRPr="00147222">
        <w:rPr>
          <w:rFonts w:cs="Arial"/>
          <w:lang w:val="en-IE"/>
        </w:rPr>
        <w:t>To</w:t>
      </w:r>
      <w:r w:rsidRPr="00147222">
        <w:rPr>
          <w:rFonts w:cs="Arial"/>
          <w:lang w:val="en-IE"/>
        </w:rPr>
        <w:t xml:space="preserve"> ensure no undue discrimination between persons who are parties to the Code.</w:t>
      </w:r>
    </w:p>
    <w:p w14:paraId="1D7CBAA0" w14:textId="1F970508" w:rsidR="00147222" w:rsidRDefault="00147222" w:rsidP="000D7FC6">
      <w:pPr>
        <w:pStyle w:val="CERLEVEL5"/>
        <w:spacing w:line="276" w:lineRule="auto"/>
        <w:rPr>
          <w:rFonts w:cs="Arial"/>
          <w:sz w:val="20"/>
          <w:szCs w:val="20"/>
          <w:lang w:val="en-IE"/>
        </w:rPr>
      </w:pPr>
      <w:r w:rsidRPr="00147222">
        <w:rPr>
          <w:rFonts w:cs="Arial"/>
          <w:sz w:val="20"/>
          <w:szCs w:val="20"/>
          <w:lang w:val="en-IE"/>
        </w:rPr>
        <w:lastRenderedPageBreak/>
        <w:t>In the case of (e) this will be furthered through the clarification in the code of how a key settlement variable is calculated and in the case of (f) this will be furthered by introduction of system service flags to DSU capacity settlement in the same manner as other Generator Units.</w:t>
      </w:r>
    </w:p>
    <w:p w14:paraId="7EE54AB8" w14:textId="77777777" w:rsidR="00425E05" w:rsidRPr="003D3D96" w:rsidRDefault="00425E05" w:rsidP="00AD60CD">
      <w:pPr>
        <w:pStyle w:val="Heading1"/>
        <w:pageBreakBefore w:val="0"/>
        <w:numPr>
          <w:ilvl w:val="0"/>
          <w:numId w:val="12"/>
        </w:numPr>
        <w:rPr>
          <w:lang w:eastAsia="en-GB"/>
        </w:rPr>
      </w:pPr>
      <w:bookmarkStart w:id="59" w:name="_Toc25765646"/>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5765647"/>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FA8B548" w14:textId="153F01C2" w:rsidR="000D7FC6" w:rsidRDefault="000D7FC6" w:rsidP="00E36447">
      <w:pPr>
        <w:jc w:val="both"/>
        <w:rPr>
          <w:rFonts w:cs="Arial"/>
          <w:lang w:val="en-IE"/>
        </w:rPr>
      </w:pPr>
      <w:r>
        <w:rPr>
          <w:rFonts w:cs="Arial"/>
          <w:lang w:val="en-IE"/>
        </w:rPr>
        <w:t>N/A</w:t>
      </w:r>
    </w:p>
    <w:p w14:paraId="7EE54ABC" w14:textId="77777777" w:rsidR="00425E05" w:rsidRPr="003D3D96" w:rsidRDefault="00425E05" w:rsidP="00AD60CD">
      <w:pPr>
        <w:pStyle w:val="Heading1"/>
        <w:pageBreakBefore w:val="0"/>
        <w:numPr>
          <w:ilvl w:val="0"/>
          <w:numId w:val="12"/>
        </w:numPr>
        <w:rPr>
          <w:lang w:eastAsia="en-GB"/>
        </w:rPr>
      </w:pPr>
      <w:bookmarkStart w:id="73" w:name="_Toc25765648"/>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5765649"/>
      <w:r w:rsidRPr="003D3D96">
        <w:rPr>
          <w:lang w:eastAsia="en-GB"/>
        </w:rPr>
        <w:t>MODIFICATION COMMITTEE VIEWS</w:t>
      </w:r>
      <w:bookmarkEnd w:id="74"/>
      <w:bookmarkEnd w:id="75"/>
      <w:bookmarkEnd w:id="76"/>
      <w:bookmarkEnd w:id="77"/>
      <w:bookmarkEnd w:id="78"/>
      <w:bookmarkEnd w:id="79"/>
      <w:bookmarkEnd w:id="80"/>
    </w:p>
    <w:p w14:paraId="11026484" w14:textId="2CDAC387" w:rsidR="0039293B" w:rsidRPr="00245346" w:rsidRDefault="0039293B" w:rsidP="0039293B">
      <w:pPr>
        <w:pStyle w:val="Heading2"/>
        <w:numPr>
          <w:ilvl w:val="0"/>
          <w:numId w:val="0"/>
        </w:numPr>
        <w:ind w:left="576" w:hanging="576"/>
        <w:rPr>
          <w:b/>
          <w:bCs/>
          <w:smallCaps/>
          <w:color w:val="1F497D"/>
          <w:spacing w:val="5"/>
          <w:u w:val="single"/>
        </w:rPr>
      </w:pPr>
      <w:bookmarkStart w:id="81" w:name="_Toc25765650"/>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94 – 24 october 2019</w:t>
      </w:r>
      <w:bookmarkEnd w:id="81"/>
    </w:p>
    <w:p w14:paraId="5F3069E8" w14:textId="77777777" w:rsidR="0091152A" w:rsidRDefault="0091152A" w:rsidP="00406860">
      <w:pPr>
        <w:pStyle w:val="Bullet1"/>
        <w:numPr>
          <w:ilvl w:val="0"/>
          <w:numId w:val="0"/>
        </w:numPr>
        <w:spacing w:before="0" w:after="0"/>
        <w:jc w:val="both"/>
      </w:pPr>
    </w:p>
    <w:p w14:paraId="1C4057B1" w14:textId="0915BF97" w:rsidR="000D7FC6" w:rsidRDefault="000D7FC6" w:rsidP="000D7FC6">
      <w:pPr>
        <w:jc w:val="both"/>
      </w:pPr>
      <w:r>
        <w:t xml:space="preserve">The proposer delivered a </w:t>
      </w:r>
      <w:hyperlink r:id="rId17" w:history="1">
        <w:r w:rsidRPr="00782E2D">
          <w:rPr>
            <w:rStyle w:val="Hyperlink"/>
          </w:rPr>
          <w:t>presentation</w:t>
        </w:r>
      </w:hyperlink>
      <w:r>
        <w:t xml:space="preserve"> detailing their proposal on Codification of the Demand Side Non-Delivery Percentage (FNDDS) calculation including a change to introduce the inclusion of System Service Flags within the calculation and also a change to make the calculation a Market Operator </w:t>
      </w:r>
      <w:r w:rsidR="00C87786">
        <w:t xml:space="preserve">obligation </w:t>
      </w:r>
      <w:r>
        <w:t>as opposed to System Operator obligation. They explained that FNDDS is a variable which is only related to Demand Side Units (DSUs) and is a key component in the calculation of their Capacity Settlement. This proposal will codify governance for the calculation and potential submission of Formal Queries or Dispute to trigger resettlement of the same if required..</w:t>
      </w:r>
    </w:p>
    <w:p w14:paraId="6B70E7F5" w14:textId="2A3DF9AD" w:rsidR="000D7FC6" w:rsidRDefault="000D7FC6" w:rsidP="000D7FC6">
      <w:pPr>
        <w:jc w:val="both"/>
      </w:pPr>
      <w:r>
        <w:t>The proposer explained that this is a non-delivery factor that is used in calculating Difference Charges for non-delivery and these are currently the only Difference Charges which apply to DSUs which are treated differently to conventional units in this regard. FNDDS is a percentage of the Obligated Capacity Quantity that was not delivered. During the development of the Trading &amp; Settlement Code Part B the approach to the calculation was not finalised so that th</w:t>
      </w:r>
      <w:r w:rsidR="00FD5CA6">
        <w:t xml:space="preserve">is was taken outside the Code. </w:t>
      </w:r>
      <w:r>
        <w:t xml:space="preserve">This was implemented </w:t>
      </w:r>
      <w:r w:rsidR="00FD5CA6">
        <w:t xml:space="preserve">as </w:t>
      </w:r>
      <w:r>
        <w:t>a System Operator obligation rather than Market Operator obligation. The document detailing the calculation methodology has been on the SEMO website since December last year but it is in a governance grey area since this methodology is not governed by the Code.</w:t>
      </w:r>
    </w:p>
    <w:p w14:paraId="657F86DB" w14:textId="77777777" w:rsidR="000D7FC6" w:rsidRDefault="000D7FC6" w:rsidP="000D7FC6">
      <w:pPr>
        <w:jc w:val="both"/>
      </w:pPr>
      <w:r>
        <w:t xml:space="preserve">It was noted that the impact of not implementing the proposed Modification is that the methodology would not be governed by the Trading &amp; Settlement Code. Another deficiency which would remain is that it would remain a System Operator obligation to calculate the parameter which uses variables the System Operator technically doesn’t have access to. </w:t>
      </w:r>
    </w:p>
    <w:p w14:paraId="68656C47" w14:textId="77777777" w:rsidR="000D7FC6" w:rsidRDefault="000D7FC6" w:rsidP="000D7FC6">
      <w:pPr>
        <w:jc w:val="both"/>
      </w:pPr>
      <w:r>
        <w:t>For the impact assessment there have been discussions with SEMO and it was confirmed that it is a manual process outside the Market Operator systems so that this Modification can be implemented without affecting Market Operator systems. The proposer noted that they had included details in the drafting so that where Strike Price is not reached the FNDDS is set to zero since it is not needed which limits the impact on the Market Operator in that it will only have to be calculated where the Imbalance Price exceeds the Strike Price.</w:t>
      </w:r>
    </w:p>
    <w:p w14:paraId="15F7CF24" w14:textId="41C59EDD" w:rsidR="000D7FC6" w:rsidRDefault="000D7FC6" w:rsidP="000D7FC6">
      <w:pPr>
        <w:jc w:val="both"/>
      </w:pPr>
      <w:r>
        <w:t>The proposer noted that required State Aid Compliance changes would mean that FNDDS is no longer used but also that the State Aid compliance change won’t happen immediately so that there is still merit in this proposal as it can be implemented virtually immediately if approved. This pro</w:t>
      </w:r>
      <w:r w:rsidR="00FD5CA6">
        <w:t>cess would be needed for approximately</w:t>
      </w:r>
      <w:r>
        <w:t xml:space="preserve"> the next 12 months. SEMO Member noted agreement with the points made in relation to the Market Operator calculating the variable if the proposal is implemented.</w:t>
      </w:r>
    </w:p>
    <w:p w14:paraId="5ED24868" w14:textId="77777777" w:rsidR="000D7FC6" w:rsidRDefault="000D7FC6" w:rsidP="000D7FC6">
      <w:pPr>
        <w:jc w:val="both"/>
      </w:pPr>
      <w:r>
        <w:lastRenderedPageBreak/>
        <w:t xml:space="preserve">The proposer noted that there were some drafting changes that were identified following submission of the proposal. Under the proposed algebra the </w:t>
      </w:r>
      <w:r w:rsidRPr="003B4133">
        <w:t>calculation</w:t>
      </w:r>
      <w:r>
        <w:t xml:space="preserve"> uses a variable QAA and this is not </w:t>
      </w:r>
      <w:r w:rsidRPr="003B4133">
        <w:t>listed in plain English under algebra</w:t>
      </w:r>
      <w:r>
        <w:t xml:space="preserve"> and should be added.</w:t>
      </w:r>
    </w:p>
    <w:p w14:paraId="454C1C26" w14:textId="3AEED349" w:rsidR="0039293B" w:rsidRPr="005817B5" w:rsidRDefault="000D7FC6" w:rsidP="000D7FC6">
      <w:pPr>
        <w:jc w:val="both"/>
      </w:pPr>
      <w:r w:rsidRPr="003B4133">
        <w:t xml:space="preserve">There was also a glossary change </w:t>
      </w:r>
      <w:r>
        <w:t>which used</w:t>
      </w:r>
      <w:r w:rsidRPr="003B4133">
        <w:t xml:space="preserve"> </w:t>
      </w:r>
      <w:r>
        <w:t xml:space="preserve">text from </w:t>
      </w:r>
      <w:r w:rsidRPr="003B4133">
        <w:t xml:space="preserve">an old version of </w:t>
      </w:r>
      <w:r>
        <w:t>C</w:t>
      </w:r>
      <w:r w:rsidRPr="003B4133">
        <w:t>ode</w:t>
      </w:r>
      <w:r>
        <w:t xml:space="preserve"> which has since been amended which should also be captured in the Final Recommendation Report. The committee agreed to move to a vote subject to the amended legal drafting discussed.</w:t>
      </w:r>
    </w:p>
    <w:p w14:paraId="7EE54ACC" w14:textId="77777777" w:rsidR="001D05B9" w:rsidRPr="003D3D96" w:rsidRDefault="00425E05" w:rsidP="00AD60CD">
      <w:pPr>
        <w:pStyle w:val="Heading1"/>
        <w:pageBreakBefore w:val="0"/>
        <w:numPr>
          <w:ilvl w:val="0"/>
          <w:numId w:val="12"/>
        </w:numPr>
        <w:rPr>
          <w:lang w:eastAsia="en-GB"/>
        </w:rPr>
      </w:pPr>
      <w:bookmarkStart w:id="88" w:name="_Toc25765651"/>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22F6EC0F" w14:textId="77777777" w:rsidR="008D6BB8" w:rsidRDefault="008D6BB8" w:rsidP="008D6BB8">
      <w:pPr>
        <w:pStyle w:val="Bullet1"/>
        <w:numPr>
          <w:ilvl w:val="0"/>
          <w:numId w:val="0"/>
        </w:numPr>
        <w:jc w:val="both"/>
        <w:rPr>
          <w:color w:val="000000"/>
        </w:rPr>
      </w:pPr>
      <w:r>
        <w:rPr>
          <w:color w:val="000000"/>
        </w:rPr>
        <w:t>The changes to the Code will be as highlighted in Appendix 1 plus the following corrections agreed at meeting 94:</w:t>
      </w:r>
    </w:p>
    <w:p w14:paraId="75CAB3F1" w14:textId="77777777" w:rsidR="008D6BB8" w:rsidRDefault="008D6BB8" w:rsidP="008D6BB8">
      <w:pPr>
        <w:pStyle w:val="Bullet1"/>
        <w:numPr>
          <w:ilvl w:val="0"/>
          <w:numId w:val="74"/>
        </w:numPr>
        <w:jc w:val="both"/>
        <w:rPr>
          <w:color w:val="000000"/>
        </w:rPr>
      </w:pPr>
      <w:r>
        <w:rPr>
          <w:color w:val="000000"/>
        </w:rPr>
        <w:t>Additional change to the text in Appendix 1:</w:t>
      </w:r>
    </w:p>
    <w:p w14:paraId="7C66231A" w14:textId="77777777" w:rsidR="008D6BB8" w:rsidRDefault="008D6BB8" w:rsidP="008D6BB8">
      <w:pPr>
        <w:pStyle w:val="Bullet1"/>
        <w:numPr>
          <w:ilvl w:val="0"/>
          <w:numId w:val="0"/>
        </w:numPr>
        <w:jc w:val="both"/>
        <w:rPr>
          <w:color w:val="000000"/>
        </w:rPr>
      </w:pPr>
    </w:p>
    <w:p w14:paraId="755D94B4" w14:textId="77777777" w:rsidR="008D6BB8" w:rsidRDefault="008D6BB8" w:rsidP="008D6BB8">
      <w:pPr>
        <w:spacing w:line="480" w:lineRule="auto"/>
      </w:pPr>
      <w:r>
        <w:rPr>
          <w:rFonts w:ascii="Calibri" w:hAnsi="Calibri" w:cs="Arial"/>
          <w:lang w:val="en-IE"/>
        </w:rPr>
        <w:t xml:space="preserve">F.2.7.2 The Market Operator shall calculate the Demand Side Non-Delivery Percentage for each Capacity Market Unit, </w:t>
      </w:r>
      <w:r w:rsidRPr="0079742B">
        <w:rPr>
          <w:sz w:val="22"/>
          <w:szCs w:val="22"/>
        </w:rPr>
        <w:t>Ω</w:t>
      </w:r>
      <w:r>
        <w:rPr>
          <w:rFonts w:ascii="Calibri" w:hAnsi="Calibri" w:cs="Arial"/>
          <w:lang w:val="en-IE"/>
        </w:rPr>
        <w:t xml:space="preserve"> which represents one or more Demand Side Units, in each Imbalance Settlement Period, </w:t>
      </w:r>
      <w:r>
        <w:t>γ, as follows:</w:t>
      </w:r>
    </w:p>
    <w:p w14:paraId="221EABC3" w14:textId="77777777" w:rsidR="008D6BB8" w:rsidRDefault="008D6BB8" w:rsidP="008D6BB8">
      <w:pPr>
        <w:spacing w:line="480" w:lineRule="auto"/>
      </w:pPr>
    </w:p>
    <w:p w14:paraId="0DB020C0" w14:textId="77777777" w:rsidR="008D6BB8" w:rsidRDefault="008D6BB8" w:rsidP="008D6BB8">
      <w:pPr>
        <w:jc w:val="both"/>
        <w:rPr>
          <w:sz w:val="22"/>
          <w:szCs w:val="22"/>
        </w:rPr>
      </w:pPr>
      <w:r w:rsidRPr="00704D30">
        <w:rPr>
          <w:sz w:val="22"/>
          <w:szCs w:val="22"/>
        </w:rPr>
        <w:t xml:space="preserve">If </w:t>
      </w:r>
      <w:r>
        <w:rPr>
          <w:sz w:val="22"/>
          <w:szCs w:val="22"/>
        </w:rPr>
        <w:t>PIMB</w:t>
      </w:r>
      <w:r w:rsidRPr="0079742B">
        <w:rPr>
          <w:sz w:val="22"/>
          <w:szCs w:val="22"/>
          <w:vertAlign w:val="subscript"/>
        </w:rPr>
        <w:t>γ</w:t>
      </w:r>
      <w:r>
        <w:rPr>
          <w:sz w:val="22"/>
          <w:szCs w:val="22"/>
        </w:rPr>
        <w:t xml:space="preserve"> ≤ PSTR</w:t>
      </w:r>
      <w:r w:rsidRPr="0079742B">
        <w:rPr>
          <w:sz w:val="22"/>
          <w:szCs w:val="22"/>
          <w:vertAlign w:val="subscript"/>
        </w:rPr>
        <w:t>m</w:t>
      </w:r>
      <w:r>
        <w:rPr>
          <w:sz w:val="22"/>
          <w:szCs w:val="22"/>
        </w:rPr>
        <w:t>, or</w:t>
      </w:r>
      <w:r w:rsidRPr="00704D30">
        <w:rPr>
          <w:sz w:val="22"/>
          <w:szCs w:val="22"/>
        </w:rPr>
        <w:t xml:space="preserve"> </w:t>
      </w:r>
      <w:r>
        <w:rPr>
          <w:sz w:val="22"/>
          <w:szCs w:val="22"/>
        </w:rPr>
        <w:t>i</w:t>
      </w:r>
      <w:r w:rsidRPr="002C07B2">
        <w:rPr>
          <w:sz w:val="22"/>
          <w:szCs w:val="22"/>
        </w:rPr>
        <w:t>f QCOB</w:t>
      </w:r>
      <w:r w:rsidRPr="002C07B2">
        <w:rPr>
          <w:sz w:val="22"/>
          <w:szCs w:val="22"/>
          <w:vertAlign w:val="subscript"/>
        </w:rPr>
        <w:t>Ωγ</w:t>
      </w:r>
      <w:r w:rsidRPr="002C07B2">
        <w:rPr>
          <w:sz w:val="22"/>
          <w:szCs w:val="22"/>
        </w:rPr>
        <w:t xml:space="preserve"> = 0, then FNDDS</w:t>
      </w:r>
      <w:r w:rsidRPr="002C07B2">
        <w:rPr>
          <w:sz w:val="22"/>
          <w:szCs w:val="22"/>
          <w:vertAlign w:val="subscript"/>
        </w:rPr>
        <w:t>Ωγ</w:t>
      </w:r>
      <w:r w:rsidRPr="002C07B2">
        <w:rPr>
          <w:sz w:val="22"/>
          <w:szCs w:val="22"/>
        </w:rPr>
        <w:t xml:space="preserve"> = 0, otherwise:</w:t>
      </w:r>
    </w:p>
    <w:p w14:paraId="38E50F1C" w14:textId="77777777" w:rsidR="008D6BB8" w:rsidRDefault="008D6BB8" w:rsidP="008D6BB8">
      <w:pPr>
        <w:jc w:val="both"/>
        <w:rPr>
          <w:sz w:val="22"/>
          <w:szCs w:val="22"/>
        </w:rPr>
      </w:pPr>
    </w:p>
    <w:p w14:paraId="46818933" w14:textId="77777777" w:rsidR="008D6BB8" w:rsidRDefault="00FC4ABC" w:rsidP="008D6BB8">
      <w:pPr>
        <w:pStyle w:val="Paranumbered"/>
        <w:rPr>
          <w:i/>
          <w:noProof/>
        </w:rPr>
      </w:pPr>
      <m:oMathPara>
        <m:oMath>
          <m:sSub>
            <m:sSubPr>
              <m:ctrlPr>
                <w:rPr>
                  <w:rFonts w:ascii="Cambria Math" w:hAnsi="Cambria Math"/>
                  <w:i/>
                  <w:noProof/>
                </w:rPr>
              </m:ctrlPr>
            </m:sSubPr>
            <m:e>
              <m:r>
                <w:rPr>
                  <w:rFonts w:ascii="Cambria Math" w:hAnsi="Cambria Math"/>
                  <w:noProof/>
                </w:rPr>
                <m:t>FNDDS</m:t>
              </m:r>
            </m:e>
            <m:sub>
              <m:r>
                <m:rPr>
                  <m:sty m:val="p"/>
                </m:rPr>
                <w:rPr>
                  <w:rFonts w:ascii="Cambria Math" w:hAnsi="Cambria Math"/>
                  <w:szCs w:val="22"/>
                  <w:vertAlign w:val="subscript"/>
                </w:rPr>
                <m:t>Ω</m:t>
              </m:r>
              <m:r>
                <w:rPr>
                  <w:rFonts w:ascii="Cambria Math" w:hAnsi="Cambria Math"/>
                  <w:noProof/>
                </w:rPr>
                <m:t>γ</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Max</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QCOB</m:t>
                      </m:r>
                    </m:e>
                    <m:sub>
                      <m:r>
                        <w:rPr>
                          <w:rFonts w:ascii="Cambria Math" w:hAnsi="Cambria Math"/>
                          <w:noProof/>
                        </w:rPr>
                        <m:t>Ωγ</m:t>
                      </m:r>
                    </m:sub>
                  </m:sSub>
                  <m:r>
                    <w:rPr>
                      <w:rFonts w:ascii="Cambria Math" w:hAnsi="Cambria Math"/>
                      <w:noProof/>
                    </w:rPr>
                    <m:t xml:space="preserve">- </m:t>
                  </m:r>
                  <m:nary>
                    <m:naryPr>
                      <m:chr m:val="∑"/>
                      <m:limLoc m:val="undOvr"/>
                      <m:supHide m:val="1"/>
                      <m:ctrlPr>
                        <w:rPr>
                          <w:rFonts w:ascii="Cambria Math" w:hAnsi="Cambria Math"/>
                          <w:i/>
                          <w:noProof/>
                        </w:rPr>
                      </m:ctrlPr>
                    </m:naryPr>
                    <m:sub>
                      <m:r>
                        <w:rPr>
                          <w:rFonts w:ascii="Cambria Math" w:hAnsi="Cambria Math"/>
                          <w:noProof/>
                        </w:rPr>
                        <m:t xml:space="preserve">u ∈ </m:t>
                      </m:r>
                      <m:r>
                        <m:rPr>
                          <m:sty m:val="p"/>
                        </m:rPr>
                        <w:rPr>
                          <w:rFonts w:ascii="Cambria Math" w:hAnsi="Cambria Math"/>
                          <w:noProof/>
                        </w:rPr>
                        <m:t>Ω</m:t>
                      </m:r>
                    </m:sub>
                    <m:sup/>
                    <m:e>
                      <m:r>
                        <w:rPr>
                          <w:rFonts w:ascii="Cambria Math" w:hAnsi="Cambria Math"/>
                          <w:noProof/>
                        </w:rPr>
                        <m:t>Max</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QDLF</m:t>
                              </m:r>
                            </m:e>
                            <m:sub>
                              <m:r>
                                <w:rPr>
                                  <w:rFonts w:ascii="Cambria Math" w:hAnsi="Cambria Math"/>
                                  <w:noProof/>
                                </w:rPr>
                                <m:t>uγ</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QEX</m:t>
                              </m:r>
                            </m:e>
                            <m:sub>
                              <m:r>
                                <w:rPr>
                                  <w:rFonts w:ascii="Cambria Math" w:hAnsi="Cambria Math"/>
                                  <w:noProof/>
                                </w:rPr>
                                <m:t>uγ</m:t>
                              </m:r>
                            </m:sub>
                          </m:sSub>
                          <m:r>
                            <w:rPr>
                              <w:rFonts w:ascii="Cambria Math" w:hAnsi="Cambria Math"/>
                              <w:noProof/>
                            </w:rPr>
                            <m:t>,</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qAA</m:t>
                                  </m:r>
                                </m:e>
                                <m:sub>
                                  <m:r>
                                    <w:rPr>
                                      <w:rFonts w:ascii="Cambria Math" w:hAnsi="Cambria Math"/>
                                      <w:noProof/>
                                    </w:rPr>
                                    <m:t>uγ</m:t>
                                  </m:r>
                                </m:sub>
                              </m:sSub>
                              <m:r>
                                <w:rPr>
                                  <w:rFonts w:ascii="Cambria Math" w:hAnsi="Cambria Math"/>
                                  <w:noProof/>
                                </w:rPr>
                                <m:t>×DISP×</m:t>
                              </m:r>
                              <m:d>
                                <m:dPr>
                                  <m:ctrlPr>
                                    <w:rPr>
                                      <w:rFonts w:ascii="Cambria Math" w:hAnsi="Cambria Math"/>
                                      <w:i/>
                                      <w:noProof/>
                                    </w:rPr>
                                  </m:ctrlPr>
                                </m:dPr>
                                <m:e>
                                  <m:r>
                                    <w:rPr>
                                      <w:rFonts w:ascii="Cambria Math" w:hAnsi="Cambria Math"/>
                                      <w:noProof/>
                                    </w:rPr>
                                    <m:t>1-</m:t>
                                  </m:r>
                                  <m:sSub>
                                    <m:sSubPr>
                                      <m:ctrlPr>
                                        <w:rPr>
                                          <w:rFonts w:ascii="Cambria Math" w:hAnsi="Cambria Math"/>
                                          <w:i/>
                                          <w:noProof/>
                                        </w:rPr>
                                      </m:ctrlPr>
                                    </m:sSubPr>
                                    <m:e>
                                      <m:r>
                                        <w:rPr>
                                          <w:rFonts w:ascii="Cambria Math" w:hAnsi="Cambria Math"/>
                                          <w:noProof/>
                                        </w:rPr>
                                        <m:t>FSS</m:t>
                                      </m:r>
                                    </m:e>
                                    <m:sub>
                                      <m:r>
                                        <w:rPr>
                                          <w:rFonts w:ascii="Cambria Math" w:hAnsi="Cambria Math"/>
                                          <w:noProof/>
                                        </w:rPr>
                                        <m:t>uγ</m:t>
                                      </m:r>
                                    </m:sub>
                                  </m:sSub>
                                </m:e>
                              </m:d>
                            </m:e>
                          </m:d>
                        </m:e>
                      </m:d>
                    </m:e>
                  </m:nary>
                  <m:r>
                    <w:rPr>
                      <w:rFonts w:ascii="Cambria Math" w:hAnsi="Cambria Math"/>
                      <w:noProof/>
                    </w:rPr>
                    <m:t>, 0</m:t>
                  </m:r>
                </m:e>
              </m:d>
            </m:num>
            <m:den>
              <m:sSub>
                <m:sSubPr>
                  <m:ctrlPr>
                    <w:rPr>
                      <w:rFonts w:ascii="Cambria Math" w:hAnsi="Cambria Math"/>
                      <w:i/>
                      <w:noProof/>
                    </w:rPr>
                  </m:ctrlPr>
                </m:sSubPr>
                <m:e>
                  <m:r>
                    <w:rPr>
                      <w:rFonts w:ascii="Cambria Math" w:hAnsi="Cambria Math"/>
                      <w:noProof/>
                    </w:rPr>
                    <m:t>QCOB</m:t>
                  </m:r>
                </m:e>
                <m:sub>
                  <m:r>
                    <w:rPr>
                      <w:rFonts w:ascii="Cambria Math" w:hAnsi="Cambria Math"/>
                      <w:noProof/>
                    </w:rPr>
                    <m:t>uγ</m:t>
                  </m:r>
                </m:sub>
              </m:sSub>
            </m:den>
          </m:f>
        </m:oMath>
      </m:oMathPara>
    </w:p>
    <w:p w14:paraId="7279562C" w14:textId="77777777" w:rsidR="008D6BB8" w:rsidRPr="0079742B" w:rsidRDefault="008D6BB8" w:rsidP="008D6BB8">
      <w:pPr>
        <w:jc w:val="both"/>
        <w:rPr>
          <w:sz w:val="22"/>
          <w:szCs w:val="22"/>
        </w:rPr>
      </w:pPr>
      <w:r w:rsidRPr="0079742B">
        <w:rPr>
          <w:sz w:val="22"/>
          <w:szCs w:val="22"/>
        </w:rPr>
        <w:t>Where:</w:t>
      </w:r>
    </w:p>
    <w:p w14:paraId="33EBBE5C" w14:textId="77777777" w:rsidR="008D6BB8" w:rsidRDefault="008D6BB8" w:rsidP="008D6BB8">
      <w:pPr>
        <w:pStyle w:val="ListParagraph"/>
        <w:numPr>
          <w:ilvl w:val="2"/>
          <w:numId w:val="70"/>
        </w:numPr>
        <w:spacing w:before="200" w:after="200"/>
        <w:rPr>
          <w:sz w:val="22"/>
          <w:szCs w:val="22"/>
        </w:rPr>
      </w:pPr>
      <w:r>
        <w:rPr>
          <w:sz w:val="22"/>
          <w:szCs w:val="22"/>
        </w:rPr>
        <w:t>QCOB</w:t>
      </w:r>
      <w:r>
        <w:rPr>
          <w:sz w:val="22"/>
          <w:szCs w:val="22"/>
          <w:vertAlign w:val="subscript"/>
        </w:rPr>
        <w:t>Ωγ</w:t>
      </w:r>
      <w:r>
        <w:rPr>
          <w:sz w:val="22"/>
          <w:szCs w:val="22"/>
        </w:rPr>
        <w:t xml:space="preserve"> is the Obligated Capacity Quantity for Capacity Market Unit, Ω, in Imbalance Settlement Period, γ;</w:t>
      </w:r>
    </w:p>
    <w:p w14:paraId="75F2AA4F" w14:textId="77777777" w:rsidR="008D6BB8" w:rsidRDefault="008D6BB8" w:rsidP="008D6BB8">
      <w:pPr>
        <w:pStyle w:val="ListParagraph"/>
        <w:numPr>
          <w:ilvl w:val="2"/>
          <w:numId w:val="70"/>
        </w:numPr>
        <w:spacing w:before="200" w:after="200"/>
        <w:rPr>
          <w:sz w:val="22"/>
          <w:szCs w:val="22"/>
        </w:rPr>
      </w:pPr>
      <w:r>
        <w:rPr>
          <w:sz w:val="22"/>
          <w:szCs w:val="22"/>
        </w:rPr>
        <w:t>QDLF</w:t>
      </w:r>
      <w:r>
        <w:rPr>
          <w:sz w:val="22"/>
          <w:szCs w:val="22"/>
          <w:vertAlign w:val="subscript"/>
        </w:rPr>
        <w:t>uγ</w:t>
      </w:r>
      <w:r>
        <w:rPr>
          <w:sz w:val="22"/>
          <w:szCs w:val="22"/>
        </w:rPr>
        <w:t xml:space="preserve"> is the Loss-Adjusted Dispatch Quantity for Generator Unit, u, in Imbalance Settlement Period, γ;</w:t>
      </w:r>
    </w:p>
    <w:p w14:paraId="797C7F33" w14:textId="77777777" w:rsidR="008D6BB8" w:rsidRDefault="008D6BB8" w:rsidP="008D6BB8">
      <w:pPr>
        <w:pStyle w:val="ListParagraph"/>
        <w:numPr>
          <w:ilvl w:val="2"/>
          <w:numId w:val="70"/>
        </w:numPr>
        <w:spacing w:before="200" w:after="200"/>
        <w:rPr>
          <w:sz w:val="22"/>
          <w:szCs w:val="22"/>
        </w:rPr>
      </w:pPr>
      <w:r>
        <w:rPr>
          <w:sz w:val="22"/>
          <w:szCs w:val="22"/>
        </w:rPr>
        <w:t>QEX</w:t>
      </w:r>
      <w:r>
        <w:rPr>
          <w:sz w:val="22"/>
          <w:szCs w:val="22"/>
          <w:vertAlign w:val="subscript"/>
        </w:rPr>
        <w:t>uγ</w:t>
      </w:r>
      <w:r>
        <w:rPr>
          <w:sz w:val="22"/>
          <w:szCs w:val="22"/>
        </w:rPr>
        <w:t xml:space="preserve"> is the Ex-Ante Quantity for Generator Unit, u, in Imbalance Settlement Period, γ;</w:t>
      </w:r>
    </w:p>
    <w:p w14:paraId="663BCD74" w14:textId="77777777" w:rsidR="002F4233" w:rsidRPr="0079742B" w:rsidRDefault="002F4233" w:rsidP="002F4233">
      <w:pPr>
        <w:pStyle w:val="ListParagraph"/>
        <w:numPr>
          <w:ilvl w:val="2"/>
          <w:numId w:val="70"/>
        </w:numPr>
        <w:spacing w:before="200" w:after="200"/>
        <w:rPr>
          <w:ins w:id="96" w:author="Author"/>
          <w:sz w:val="22"/>
          <w:szCs w:val="22"/>
        </w:rPr>
      </w:pPr>
      <w:ins w:id="97" w:author="Author">
        <w:r>
          <w:rPr>
            <w:sz w:val="22"/>
            <w:szCs w:val="22"/>
          </w:rPr>
          <w:t>qAA</w:t>
        </w:r>
        <w:r>
          <w:rPr>
            <w:sz w:val="22"/>
            <w:szCs w:val="22"/>
            <w:vertAlign w:val="subscript"/>
          </w:rPr>
          <w:t>uγ</w:t>
        </w:r>
        <w:r>
          <w:rPr>
            <w:sz w:val="22"/>
            <w:szCs w:val="22"/>
          </w:rPr>
          <w:t xml:space="preserve"> </w:t>
        </w:r>
        <w:r w:rsidRPr="0079742B">
          <w:rPr>
            <w:rFonts w:cs="Arial"/>
            <w:sz w:val="22"/>
            <w:szCs w:val="22"/>
            <w:lang w:val="en-IE"/>
          </w:rPr>
          <w:t>is the Actual Availability Quantity for Generator Unit, u, in Imbalance Settlement Period, γ;</w:t>
        </w:r>
      </w:ins>
    </w:p>
    <w:p w14:paraId="0C8C44D3" w14:textId="77777777" w:rsidR="008D6BB8" w:rsidRPr="002E411A" w:rsidRDefault="008D6BB8" w:rsidP="008D6BB8">
      <w:pPr>
        <w:pStyle w:val="ListParagraph"/>
        <w:numPr>
          <w:ilvl w:val="2"/>
          <w:numId w:val="70"/>
        </w:numPr>
        <w:overflowPunct w:val="0"/>
        <w:autoSpaceDE w:val="0"/>
        <w:autoSpaceDN w:val="0"/>
        <w:adjustRightInd w:val="0"/>
        <w:spacing w:before="0" w:after="0" w:line="240" w:lineRule="auto"/>
        <w:textAlignment w:val="baseline"/>
        <w:rPr>
          <w:sz w:val="22"/>
          <w:szCs w:val="22"/>
        </w:rPr>
      </w:pPr>
      <w:r w:rsidRPr="002E411A">
        <w:rPr>
          <w:sz w:val="22"/>
          <w:szCs w:val="22"/>
        </w:rPr>
        <w:t>PIMB</w:t>
      </w:r>
      <w:r w:rsidRPr="0079742B">
        <w:rPr>
          <w:sz w:val="22"/>
          <w:szCs w:val="22"/>
          <w:vertAlign w:val="subscript"/>
        </w:rPr>
        <w:t>γ</w:t>
      </w:r>
      <w:r w:rsidRPr="002E411A">
        <w:rPr>
          <w:sz w:val="22"/>
          <w:szCs w:val="22"/>
        </w:rPr>
        <w:t xml:space="preserve"> is the Imbalance Settlement Price in Imbalance Settlement Period, γ, calculated in accordance with Chapter E (Imbalance Pricing);</w:t>
      </w:r>
    </w:p>
    <w:p w14:paraId="7C391A6E" w14:textId="77777777" w:rsidR="008D6BB8" w:rsidRDefault="008D6BB8" w:rsidP="008D6BB8">
      <w:pPr>
        <w:pStyle w:val="ListParagraph"/>
        <w:numPr>
          <w:ilvl w:val="2"/>
          <w:numId w:val="70"/>
        </w:numPr>
        <w:spacing w:before="200" w:after="200"/>
        <w:rPr>
          <w:sz w:val="22"/>
          <w:szCs w:val="22"/>
        </w:rPr>
      </w:pPr>
      <w:r w:rsidRPr="002E411A">
        <w:rPr>
          <w:sz w:val="22"/>
          <w:szCs w:val="22"/>
        </w:rPr>
        <w:t>PSTR</w:t>
      </w:r>
      <w:r w:rsidRPr="0079742B">
        <w:rPr>
          <w:sz w:val="22"/>
          <w:szCs w:val="22"/>
          <w:vertAlign w:val="subscript"/>
        </w:rPr>
        <w:t>m</w:t>
      </w:r>
      <w:r w:rsidRPr="002E411A">
        <w:rPr>
          <w:sz w:val="22"/>
          <w:szCs w:val="22"/>
        </w:rPr>
        <w:t xml:space="preserve"> is the Strike Price for Month, m, which contains Imbalance Settlement Period, γ</w:t>
      </w:r>
      <w:r>
        <w:rPr>
          <w:sz w:val="22"/>
          <w:szCs w:val="22"/>
        </w:rPr>
        <w:t>;</w:t>
      </w:r>
    </w:p>
    <w:p w14:paraId="35B7EE9D" w14:textId="77777777" w:rsidR="008D6BB8" w:rsidRDefault="008D6BB8" w:rsidP="008D6BB8">
      <w:pPr>
        <w:pStyle w:val="ListParagraph"/>
        <w:numPr>
          <w:ilvl w:val="2"/>
          <w:numId w:val="70"/>
        </w:numPr>
        <w:spacing w:before="200" w:after="200"/>
        <w:rPr>
          <w:sz w:val="22"/>
          <w:szCs w:val="22"/>
        </w:rPr>
      </w:pPr>
      <w:r>
        <w:rPr>
          <w:sz w:val="22"/>
          <w:szCs w:val="22"/>
        </w:rPr>
        <w:t>DISP is the Imbalance Settlement Period Duration;</w:t>
      </w:r>
    </w:p>
    <w:p w14:paraId="6C49D23A" w14:textId="77777777" w:rsidR="008D6BB8" w:rsidRDefault="008D6BB8" w:rsidP="008D6BB8">
      <w:pPr>
        <w:pStyle w:val="ListParagraph"/>
        <w:numPr>
          <w:ilvl w:val="2"/>
          <w:numId w:val="70"/>
        </w:numPr>
        <w:spacing w:before="200" w:after="200"/>
        <w:rPr>
          <w:sz w:val="22"/>
          <w:szCs w:val="22"/>
        </w:rPr>
      </w:pPr>
      <w:r>
        <w:rPr>
          <w:sz w:val="22"/>
          <w:szCs w:val="22"/>
        </w:rPr>
        <w:t>FSS</w:t>
      </w:r>
      <w:r>
        <w:rPr>
          <w:sz w:val="22"/>
          <w:szCs w:val="22"/>
          <w:vertAlign w:val="subscript"/>
        </w:rPr>
        <w:t>uγ</w:t>
      </w:r>
      <w:r>
        <w:rPr>
          <w:sz w:val="22"/>
          <w:szCs w:val="22"/>
        </w:rPr>
        <w:t xml:space="preserve"> is the System Service Flag for Generator Unit, u, in Imbalance Settlement Period, γ; and</w:t>
      </w:r>
    </w:p>
    <w:p w14:paraId="6712E910" w14:textId="77777777" w:rsidR="008D6BB8" w:rsidRDefault="00FC4ABC" w:rsidP="008D6BB8">
      <w:pPr>
        <w:pStyle w:val="ListParagraph"/>
        <w:numPr>
          <w:ilvl w:val="2"/>
          <w:numId w:val="70"/>
        </w:numPr>
        <w:spacing w:before="200" w:after="200"/>
        <w:rPr>
          <w:sz w:val="22"/>
          <w:szCs w:val="22"/>
        </w:rPr>
      </w:pPr>
      <m:oMath>
        <m:nary>
          <m:naryPr>
            <m:chr m:val="∑"/>
            <m:limLoc m:val="undOvr"/>
            <m:supHide m:val="1"/>
            <m:ctrlPr>
              <w:rPr>
                <w:rFonts w:ascii="Cambria Math" w:hAnsi="Cambria Math"/>
                <w:i/>
                <w:noProof/>
                <w:sz w:val="24"/>
                <w:lang w:val="en-IE"/>
              </w:rPr>
            </m:ctrlPr>
          </m:naryPr>
          <m:sub>
            <m:r>
              <w:rPr>
                <w:rFonts w:ascii="Cambria Math" w:hAnsi="Cambria Math"/>
                <w:noProof/>
              </w:rPr>
              <m:t xml:space="preserve">u ∈ </m:t>
            </m:r>
            <m:r>
              <m:rPr>
                <m:sty m:val="p"/>
              </m:rPr>
              <w:rPr>
                <w:rFonts w:ascii="Cambria Math" w:hAnsi="Cambria Math"/>
                <w:noProof/>
              </w:rPr>
              <m:t>Ω</m:t>
            </m:r>
          </m:sub>
          <m:sup/>
          <m:e>
            <m:r>
              <w:rPr>
                <w:rFonts w:ascii="Cambria Math" w:hAnsi="Cambria Math"/>
                <w:noProof/>
              </w:rPr>
              <m:t xml:space="preserve"> </m:t>
            </m:r>
          </m:e>
        </m:nary>
      </m:oMath>
      <w:r w:rsidR="008D6BB8">
        <w:rPr>
          <w:sz w:val="22"/>
          <w:szCs w:val="22"/>
        </w:rPr>
        <w:t xml:space="preserve">is a summation over all Generator Units, u, which comprise the Capacity Market Unit, </w:t>
      </w:r>
      <w:r w:rsidR="008D6BB8">
        <w:rPr>
          <w:rFonts w:ascii="Calibri" w:hAnsi="Calibri" w:cs="Calibri"/>
          <w:sz w:val="22"/>
          <w:szCs w:val="22"/>
        </w:rPr>
        <w:t>Ω</w:t>
      </w:r>
      <w:r w:rsidR="008D6BB8">
        <w:rPr>
          <w:sz w:val="22"/>
          <w:szCs w:val="22"/>
        </w:rPr>
        <w:t>.</w:t>
      </w:r>
    </w:p>
    <w:p w14:paraId="5B83FD87" w14:textId="77777777" w:rsidR="008D6BB8" w:rsidRDefault="008D6BB8" w:rsidP="008D6BB8">
      <w:pPr>
        <w:spacing w:before="200" w:after="200"/>
      </w:pPr>
    </w:p>
    <w:p w14:paraId="71A20167" w14:textId="77777777" w:rsidR="008D6BB8" w:rsidRPr="00C35AC5" w:rsidRDefault="008D6BB8" w:rsidP="008D6BB8">
      <w:pPr>
        <w:spacing w:before="200" w:after="200"/>
        <w:rPr>
          <w:sz w:val="22"/>
          <w:szCs w:val="22"/>
        </w:rPr>
      </w:pPr>
      <w:r>
        <w:t>B) changes applied to the lates version of the Code as Appendix 1 is based on a previous version of the Code:</w:t>
      </w: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8D6BB8" w:rsidRPr="004C2445" w14:paraId="0412E227" w14:textId="77777777" w:rsidTr="004B6CA1">
        <w:tc>
          <w:tcPr>
            <w:tcW w:w="1229" w:type="dxa"/>
          </w:tcPr>
          <w:p w14:paraId="6F1CB2B1" w14:textId="77777777" w:rsidR="008D6BB8" w:rsidRPr="004C2445" w:rsidRDefault="008D6BB8" w:rsidP="004B6CA1">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Variable</w:t>
            </w:r>
          </w:p>
        </w:tc>
        <w:tc>
          <w:tcPr>
            <w:tcW w:w="2569" w:type="dxa"/>
          </w:tcPr>
          <w:p w14:paraId="3B002E42" w14:textId="77777777" w:rsidR="008D6BB8" w:rsidRPr="004C2445" w:rsidRDefault="008D6BB8" w:rsidP="004B6CA1">
            <w:pPr>
              <w:spacing w:before="120" w:after="120"/>
              <w:rPr>
                <w:rFonts w:asciiTheme="majorHAnsi" w:hAnsiTheme="majorHAnsi" w:cstheme="majorHAnsi"/>
                <w:color w:val="000000"/>
                <w:szCs w:val="24"/>
                <w:vertAlign w:val="subscript"/>
                <w:lang w:eastAsia="en-IE"/>
              </w:rPr>
            </w:pPr>
            <w:r w:rsidRPr="004C2445">
              <w:rPr>
                <w:rFonts w:asciiTheme="majorHAnsi" w:hAnsiTheme="majorHAnsi" w:cstheme="majorHAnsi"/>
                <w:color w:val="000000"/>
                <w:szCs w:val="24"/>
                <w:lang w:eastAsia="en-IE"/>
              </w:rPr>
              <w:t>FNDDS</w:t>
            </w:r>
            <w:r w:rsidRPr="004C2445">
              <w:rPr>
                <w:rFonts w:asciiTheme="majorHAnsi" w:hAnsiTheme="majorHAnsi" w:cstheme="majorHAnsi"/>
                <w:color w:val="000000"/>
                <w:szCs w:val="24"/>
                <w:vertAlign w:val="subscript"/>
                <w:lang w:eastAsia="en-IE"/>
              </w:rPr>
              <w:t>Ωγ</w:t>
            </w:r>
          </w:p>
        </w:tc>
        <w:tc>
          <w:tcPr>
            <w:tcW w:w="1710" w:type="dxa"/>
          </w:tcPr>
          <w:p w14:paraId="10FB5A7E" w14:textId="77777777" w:rsidR="008D6BB8" w:rsidRPr="004C2445" w:rsidRDefault="008D6BB8" w:rsidP="004B6CA1">
            <w:pPr>
              <w:spacing w:before="120" w:after="120"/>
              <w:rPr>
                <w:rFonts w:asciiTheme="majorHAnsi" w:hAnsiTheme="majorHAnsi" w:cstheme="majorHAnsi"/>
                <w:color w:val="000000"/>
                <w:szCs w:val="24"/>
                <w:lang w:eastAsia="en-IE"/>
              </w:rPr>
            </w:pPr>
            <w:r w:rsidRPr="004C2445">
              <w:rPr>
                <w:rFonts w:asciiTheme="majorHAnsi" w:hAnsiTheme="majorHAnsi" w:cstheme="majorHAnsi"/>
                <w:color w:val="000000"/>
                <w:szCs w:val="24"/>
                <w:lang w:eastAsia="en-IE"/>
              </w:rPr>
              <w:t>Demand Side Non-Delivery Percentage</w:t>
            </w:r>
          </w:p>
        </w:tc>
        <w:tc>
          <w:tcPr>
            <w:tcW w:w="2790" w:type="dxa"/>
          </w:tcPr>
          <w:p w14:paraId="15CB5650" w14:textId="77777777" w:rsidR="008D6BB8" w:rsidRPr="004C2445" w:rsidRDefault="008D6BB8" w:rsidP="004B6CA1">
            <w:pPr>
              <w:spacing w:before="120" w:after="120"/>
              <w:rPr>
                <w:rFonts w:asciiTheme="majorHAnsi" w:hAnsiTheme="majorHAnsi" w:cstheme="majorHAnsi"/>
                <w:color w:val="000000"/>
                <w:szCs w:val="24"/>
                <w:lang w:eastAsia="en-IE"/>
              </w:rPr>
            </w:pPr>
            <w:r>
              <w:rPr>
                <w:rFonts w:asciiTheme="majorHAnsi" w:hAnsiTheme="majorHAnsi" w:cstheme="majorHAnsi"/>
                <w:color w:val="000000"/>
                <w:szCs w:val="24"/>
                <w:lang w:eastAsia="en-IE"/>
              </w:rPr>
              <w:t xml:space="preserve">The Demand Site Non-Delivery Percentage for a Capacity Market Unit, </w:t>
            </w:r>
            <w:r w:rsidRPr="00B5512F">
              <w:rPr>
                <w:rFonts w:asciiTheme="majorHAnsi" w:hAnsiTheme="majorHAnsi" w:cstheme="majorHAnsi"/>
                <w:color w:val="000000"/>
                <w:szCs w:val="24"/>
                <w:lang w:eastAsia="en-IE"/>
              </w:rPr>
              <w:t>Ω</w:t>
            </w:r>
            <w:r>
              <w:rPr>
                <w:rFonts w:asciiTheme="majorHAnsi" w:hAnsiTheme="majorHAnsi" w:cstheme="majorHAnsi"/>
                <w:color w:val="000000"/>
                <w:szCs w:val="24"/>
                <w:lang w:eastAsia="en-IE"/>
              </w:rPr>
              <w:t xml:space="preserve">, which represents one or more Generator Units, u, that are Demand Side Units, in an Imbalance Settlement Period, γ, representing the extent to which the relevant </w:t>
            </w:r>
            <w:del w:id="98" w:author="Author">
              <w:r w:rsidDel="00EA26BF">
                <w:rPr>
                  <w:rFonts w:asciiTheme="majorHAnsi" w:hAnsiTheme="majorHAnsi" w:cstheme="majorHAnsi"/>
                  <w:color w:val="000000"/>
                  <w:szCs w:val="24"/>
                  <w:lang w:eastAsia="en-IE"/>
                </w:rPr>
                <w:delText xml:space="preserve">System </w:delText>
              </w:r>
            </w:del>
            <w:ins w:id="99" w:author="Author">
              <w:r>
                <w:rPr>
                  <w:rFonts w:asciiTheme="majorHAnsi" w:hAnsiTheme="majorHAnsi" w:cstheme="majorHAnsi"/>
                  <w:color w:val="000000"/>
                  <w:szCs w:val="24"/>
                  <w:lang w:eastAsia="en-IE"/>
                </w:rPr>
                <w:t xml:space="preserve">Market </w:t>
              </w:r>
            </w:ins>
            <w:r>
              <w:rPr>
                <w:rFonts w:asciiTheme="majorHAnsi" w:hAnsiTheme="majorHAnsi" w:cstheme="majorHAnsi"/>
                <w:color w:val="000000"/>
                <w:szCs w:val="24"/>
                <w:lang w:eastAsia="en-IE"/>
              </w:rPr>
              <w:t>Operator determines that the Obligated Capacity Quantity was not delivered</w:t>
            </w:r>
            <w:ins w:id="100" w:author="Author">
              <w:r>
                <w:rPr>
                  <w:rFonts w:asciiTheme="majorHAnsi" w:hAnsiTheme="majorHAnsi" w:cstheme="majorHAnsi"/>
                  <w:color w:val="000000"/>
                  <w:szCs w:val="24"/>
                  <w:lang w:eastAsia="en-IE"/>
                </w:rPr>
                <w:t xml:space="preserve"> </w:t>
              </w:r>
              <w:r w:rsidRPr="00EA26BF">
                <w:rPr>
                  <w:rFonts w:asciiTheme="majorHAnsi" w:hAnsiTheme="majorHAnsi" w:cstheme="majorHAnsi"/>
                  <w:color w:val="000000"/>
                  <w:szCs w:val="24"/>
                  <w:lang w:eastAsia="en-IE"/>
                </w:rPr>
                <w:t>in accordance with F.2.7.2</w:t>
              </w:r>
            </w:ins>
            <w:r>
              <w:rPr>
                <w:rFonts w:asciiTheme="majorHAnsi" w:hAnsiTheme="majorHAnsi" w:cstheme="majorHAnsi"/>
                <w:color w:val="000000"/>
                <w:szCs w:val="24"/>
                <w:lang w:eastAsia="en-IE"/>
              </w:rPr>
              <w:t>.</w:t>
            </w:r>
          </w:p>
        </w:tc>
        <w:tc>
          <w:tcPr>
            <w:tcW w:w="990" w:type="dxa"/>
          </w:tcPr>
          <w:p w14:paraId="34BAF9EE" w14:textId="77777777" w:rsidR="008D6BB8" w:rsidRPr="004C2445" w:rsidRDefault="008D6BB8" w:rsidP="004B6CA1">
            <w:pPr>
              <w:spacing w:before="120" w:after="120"/>
              <w:rPr>
                <w:rFonts w:asciiTheme="majorHAnsi" w:hAnsiTheme="majorHAnsi" w:cstheme="majorHAnsi"/>
              </w:rPr>
            </w:pPr>
            <w:r w:rsidRPr="004C2445">
              <w:rPr>
                <w:rFonts w:asciiTheme="majorHAnsi" w:hAnsiTheme="majorHAnsi" w:cstheme="majorHAnsi"/>
              </w:rPr>
              <w:t>Factor</w:t>
            </w:r>
          </w:p>
        </w:tc>
      </w:tr>
    </w:tbl>
    <w:p w14:paraId="637A989B" w14:textId="77777777" w:rsidR="008D6BB8" w:rsidRDefault="008D6BB8" w:rsidP="008D6BB8">
      <w:pPr>
        <w:pStyle w:val="Bullet1"/>
        <w:numPr>
          <w:ilvl w:val="0"/>
          <w:numId w:val="0"/>
        </w:numPr>
        <w:jc w:val="both"/>
        <w:rPr>
          <w:color w:val="000000"/>
        </w:rPr>
      </w:pPr>
    </w:p>
    <w:p w14:paraId="713D531D" w14:textId="77777777" w:rsidR="008D6BB8" w:rsidRDefault="008D6BB8" w:rsidP="008D6BB8">
      <w:pPr>
        <w:pStyle w:val="Bullet1"/>
        <w:numPr>
          <w:ilvl w:val="0"/>
          <w:numId w:val="0"/>
        </w:numPr>
        <w:jc w:val="both"/>
        <w:rPr>
          <w:color w:val="000000"/>
        </w:rPr>
      </w:pPr>
    </w:p>
    <w:p w14:paraId="7EE54ACE" w14:textId="77777777" w:rsidR="00132649" w:rsidRPr="003D3D96" w:rsidRDefault="00132649" w:rsidP="00AD60CD">
      <w:pPr>
        <w:pStyle w:val="Heading1"/>
        <w:pageBreakBefore w:val="0"/>
        <w:numPr>
          <w:ilvl w:val="0"/>
          <w:numId w:val="12"/>
        </w:numPr>
        <w:rPr>
          <w:bCs w:val="0"/>
          <w:smallCaps/>
          <w:lang w:eastAsia="en-GB"/>
        </w:rPr>
      </w:pPr>
      <w:bookmarkStart w:id="101" w:name="_Toc25765652"/>
      <w:r w:rsidRPr="003D3D96">
        <w:rPr>
          <w:bCs w:val="0"/>
          <w:smallCaps/>
          <w:lang w:eastAsia="en-GB"/>
        </w:rPr>
        <w:t>LEGAL REVIEW</w:t>
      </w:r>
      <w:bookmarkEnd w:id="89"/>
      <w:bookmarkEnd w:id="90"/>
      <w:bookmarkEnd w:id="91"/>
      <w:bookmarkEnd w:id="92"/>
      <w:bookmarkEnd w:id="93"/>
      <w:bookmarkEnd w:id="94"/>
      <w:bookmarkEnd w:id="95"/>
      <w:bookmarkEnd w:id="101"/>
    </w:p>
    <w:p w14:paraId="0D257736" w14:textId="77777777" w:rsidR="0079742B" w:rsidRDefault="0079742B" w:rsidP="009C65C6">
      <w:pPr>
        <w:pStyle w:val="Bullet1"/>
        <w:numPr>
          <w:ilvl w:val="0"/>
          <w:numId w:val="0"/>
        </w:numPr>
        <w:jc w:val="both"/>
        <w:rPr>
          <w:color w:val="000000"/>
        </w:rPr>
      </w:pPr>
    </w:p>
    <w:p w14:paraId="5891A3B6" w14:textId="5D5CAB22" w:rsidR="0079742B" w:rsidRPr="003D3D96" w:rsidRDefault="008D6BB8"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2" w:name="_Toc313526641"/>
      <w:bookmarkStart w:id="103" w:name="_Toc313526782"/>
      <w:bookmarkStart w:id="104" w:name="_Toc313526836"/>
      <w:bookmarkStart w:id="105" w:name="_Toc313526922"/>
      <w:bookmarkStart w:id="106" w:name="_Toc313527011"/>
      <w:bookmarkStart w:id="107" w:name="_Toc313527121"/>
      <w:bookmarkStart w:id="108" w:name="_Toc25765653"/>
      <w:r w:rsidRPr="003D3D96">
        <w:rPr>
          <w:lang w:eastAsia="en-GB"/>
        </w:rPr>
        <w:t>IMPLEMENTATION TIMESCALE</w:t>
      </w:r>
      <w:bookmarkEnd w:id="102"/>
      <w:bookmarkEnd w:id="103"/>
      <w:bookmarkEnd w:id="104"/>
      <w:bookmarkEnd w:id="105"/>
      <w:bookmarkEnd w:id="106"/>
      <w:bookmarkEnd w:id="107"/>
      <w:bookmarkEnd w:id="108"/>
    </w:p>
    <w:p w14:paraId="7EE54AD2" w14:textId="5CCB1054"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 and on a S</w:t>
      </w:r>
      <w:r w:rsidR="00D02B50">
        <w:rPr>
          <w:rFonts w:cs="Arial"/>
          <w:color w:val="000000"/>
        </w:rPr>
        <w:t>ettlement</w:t>
      </w:r>
      <w:r w:rsidRPr="00D02B50">
        <w:rPr>
          <w:rFonts w:cs="Arial"/>
          <w:color w:val="000000"/>
        </w:rPr>
        <w:t xml:space="preserve"> day following receipt of the RA Decision.</w:t>
      </w:r>
    </w:p>
    <w:p w14:paraId="7EE54AD3" w14:textId="56455F4A" w:rsidR="00AF6434" w:rsidRDefault="00AF6434" w:rsidP="00A334ED">
      <w:pPr>
        <w:pStyle w:val="Heading1"/>
        <w:pBdr>
          <w:left w:val="single" w:sz="24" w:space="8" w:color="4F81BD"/>
          <w:right w:val="single" w:sz="24" w:space="13" w:color="4F81BD"/>
        </w:pBdr>
        <w:rPr>
          <w:lang w:eastAsia="en-GB"/>
        </w:rPr>
      </w:pPr>
      <w:bookmarkStart w:id="109" w:name="_Toc359934986"/>
      <w:bookmarkStart w:id="110" w:name="_Toc380138275"/>
      <w:bookmarkStart w:id="111" w:name="_Toc472669023"/>
      <w:bookmarkStart w:id="112" w:name="_Toc522090845"/>
      <w:bookmarkStart w:id="113" w:name="_Toc25765654"/>
      <w:r w:rsidRPr="003B0E38">
        <w:rPr>
          <w:lang w:eastAsia="en-GB"/>
        </w:rPr>
        <w:lastRenderedPageBreak/>
        <w:t xml:space="preserve">Appendix 1: </w:t>
      </w:r>
      <w:bookmarkEnd w:id="109"/>
      <w:bookmarkEnd w:id="110"/>
      <w:r w:rsidRPr="00E45BBF">
        <w:rPr>
          <w:lang w:eastAsia="en-GB"/>
        </w:rPr>
        <w:t>Mod_</w:t>
      </w:r>
      <w:bookmarkEnd w:id="111"/>
      <w:bookmarkEnd w:id="112"/>
      <w:r w:rsidR="000D7FC6">
        <w:rPr>
          <w:lang w:eastAsia="en-GB"/>
        </w:rPr>
        <w:t>16</w:t>
      </w:r>
      <w:r w:rsidR="00FD7E26">
        <w:rPr>
          <w:lang w:eastAsia="en-GB"/>
        </w:rPr>
        <w:t xml:space="preserve">_19 </w:t>
      </w:r>
      <w:r w:rsidR="00FE67E9">
        <w:rPr>
          <w:lang w:eastAsia="en-GB"/>
        </w:rPr>
        <w:t>codification of tso fndds methodology and system service flag for dsu settlement</w:t>
      </w:r>
      <w:bookmarkEnd w:id="113"/>
      <w:r w:rsidR="00A22F6D">
        <w:rPr>
          <w:lang w:eastAsia="en-GB"/>
        </w:rPr>
        <w:t xml:space="preserve">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678"/>
        <w:gridCol w:w="1247"/>
        <w:gridCol w:w="1064"/>
        <w:gridCol w:w="2536"/>
      </w:tblGrid>
      <w:tr w:rsidR="000D7FC6" w:rsidRPr="004C53E7" w14:paraId="1AF0B7CA" w14:textId="77777777" w:rsidTr="000D7FC6">
        <w:tc>
          <w:tcPr>
            <w:tcW w:w="9540" w:type="dxa"/>
            <w:gridSpan w:val="6"/>
            <w:shd w:val="clear" w:color="auto" w:fill="548DD4"/>
            <w:vAlign w:val="center"/>
          </w:tcPr>
          <w:p w14:paraId="72EC3057" w14:textId="77777777" w:rsidR="000D7FC6" w:rsidRPr="004C53E7" w:rsidRDefault="000D7FC6" w:rsidP="00B658FD">
            <w:pPr>
              <w:jc w:val="center"/>
              <w:rPr>
                <w:rFonts w:ascii="Calibri" w:hAnsi="Calibri" w:cs="Arial"/>
                <w:lang w:val="en-IE"/>
              </w:rPr>
            </w:pPr>
          </w:p>
          <w:p w14:paraId="6A0772B0" w14:textId="77777777" w:rsidR="000D7FC6" w:rsidRPr="004C53E7" w:rsidRDefault="000D7FC6" w:rsidP="00B658FD">
            <w:pPr>
              <w:jc w:val="center"/>
              <w:rPr>
                <w:rFonts w:ascii="Calibri" w:hAnsi="Calibri" w:cs="Arial"/>
                <w:lang w:val="en-IE"/>
              </w:rPr>
            </w:pPr>
            <w:r w:rsidRPr="004C53E7">
              <w:rPr>
                <w:rFonts w:ascii="Calibri" w:hAnsi="Calibri" w:cs="Arial"/>
                <w:b/>
                <w:lang w:val="en-IE"/>
              </w:rPr>
              <w:t>MODIFICATION PROPOSAL FORM</w:t>
            </w:r>
          </w:p>
          <w:p w14:paraId="3AC7B828" w14:textId="77777777" w:rsidR="000D7FC6" w:rsidRPr="004C53E7" w:rsidRDefault="000D7FC6" w:rsidP="00B658FD">
            <w:pPr>
              <w:jc w:val="center"/>
              <w:rPr>
                <w:rFonts w:ascii="Calibri" w:hAnsi="Calibri" w:cs="Arial"/>
                <w:lang w:val="en-IE"/>
              </w:rPr>
            </w:pPr>
          </w:p>
        </w:tc>
      </w:tr>
      <w:tr w:rsidR="000D7FC6" w:rsidRPr="004C53E7" w14:paraId="2BF39CDE" w14:textId="77777777" w:rsidTr="000D7FC6">
        <w:tc>
          <w:tcPr>
            <w:tcW w:w="2160" w:type="dxa"/>
            <w:vAlign w:val="center"/>
          </w:tcPr>
          <w:p w14:paraId="1FC79162" w14:textId="77777777" w:rsidR="000D7FC6" w:rsidRPr="004C53E7" w:rsidRDefault="000D7FC6" w:rsidP="00B658FD">
            <w:pPr>
              <w:jc w:val="center"/>
              <w:rPr>
                <w:rFonts w:cs="Arial"/>
                <w:b/>
                <w:bCs/>
                <w:sz w:val="18"/>
                <w:szCs w:val="18"/>
                <w:lang w:val="en-IE"/>
              </w:rPr>
            </w:pPr>
            <w:r w:rsidRPr="004C53E7">
              <w:rPr>
                <w:rFonts w:cs="Arial"/>
                <w:b/>
                <w:bCs/>
                <w:sz w:val="18"/>
                <w:szCs w:val="18"/>
                <w:lang w:val="en-IE"/>
              </w:rPr>
              <w:t>Proposer</w:t>
            </w:r>
          </w:p>
          <w:p w14:paraId="46211DA4" w14:textId="77777777" w:rsidR="000D7FC6" w:rsidRPr="004C53E7" w:rsidRDefault="000D7FC6" w:rsidP="00B658FD">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7F7AE987"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Date of receipt</w:t>
            </w:r>
          </w:p>
          <w:p w14:paraId="295DCECA" w14:textId="77777777" w:rsidR="000D7FC6" w:rsidRPr="004C53E7" w:rsidRDefault="000D7FC6" w:rsidP="00B658FD">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0ED2E0D8"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Type of Proposal</w:t>
            </w:r>
          </w:p>
          <w:p w14:paraId="4B08808E" w14:textId="77777777" w:rsidR="000D7FC6" w:rsidRPr="004C53E7" w:rsidRDefault="000D7FC6" w:rsidP="00B658FD">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2038A95F" w14:textId="77777777" w:rsidR="000D7FC6" w:rsidRPr="004C53E7" w:rsidRDefault="000D7FC6" w:rsidP="00B658FD">
            <w:pPr>
              <w:jc w:val="center"/>
              <w:rPr>
                <w:rFonts w:ascii="Calibri" w:hAnsi="Calibri" w:cs="Arial"/>
                <w:color w:val="000000"/>
                <w:lang w:val="en-IE"/>
              </w:rPr>
            </w:pPr>
            <w:r w:rsidRPr="004C53E7">
              <w:rPr>
                <w:rFonts w:ascii="Calibri" w:hAnsi="Calibri" w:cs="Arial"/>
                <w:b/>
                <w:bCs/>
                <w:color w:val="000000"/>
                <w:lang w:val="en-IE"/>
              </w:rPr>
              <w:t>Modification Proposal ID</w:t>
            </w:r>
          </w:p>
          <w:p w14:paraId="38C65690" w14:textId="77777777" w:rsidR="000D7FC6" w:rsidRPr="004C53E7" w:rsidRDefault="000D7FC6" w:rsidP="00B658FD">
            <w:pPr>
              <w:jc w:val="center"/>
              <w:rPr>
                <w:rFonts w:ascii="Calibri" w:hAnsi="Calibri" w:cs="Arial"/>
                <w:lang w:val="en-IE"/>
              </w:rPr>
            </w:pPr>
            <w:r w:rsidRPr="004C53E7">
              <w:rPr>
                <w:rFonts w:ascii="Calibri" w:hAnsi="Calibri" w:cs="Arial"/>
                <w:i/>
                <w:lang w:val="en-IE"/>
              </w:rPr>
              <w:t>(assigned by Secretariat)</w:t>
            </w:r>
          </w:p>
        </w:tc>
      </w:tr>
      <w:tr w:rsidR="000D7FC6" w:rsidRPr="004C53E7" w14:paraId="290F894B" w14:textId="77777777" w:rsidTr="000D7FC6">
        <w:tc>
          <w:tcPr>
            <w:tcW w:w="2160" w:type="dxa"/>
            <w:vAlign w:val="center"/>
          </w:tcPr>
          <w:p w14:paraId="3BD5C039" w14:textId="77777777" w:rsidR="000D7FC6" w:rsidRPr="004C53E7" w:rsidRDefault="000D7FC6" w:rsidP="00B658FD">
            <w:pPr>
              <w:jc w:val="center"/>
              <w:rPr>
                <w:rFonts w:ascii="Calibri" w:hAnsi="Calibri" w:cs="Arial"/>
                <w:b/>
                <w:lang w:val="en-IE"/>
              </w:rPr>
            </w:pPr>
            <w:r>
              <w:rPr>
                <w:rFonts w:ascii="Calibri" w:hAnsi="Calibri" w:cs="Arial"/>
                <w:b/>
                <w:lang w:val="en-IE"/>
              </w:rPr>
              <w:t>Electricity Exchange</w:t>
            </w:r>
          </w:p>
        </w:tc>
        <w:tc>
          <w:tcPr>
            <w:tcW w:w="2533" w:type="dxa"/>
            <w:gridSpan w:val="2"/>
            <w:vAlign w:val="center"/>
          </w:tcPr>
          <w:p w14:paraId="123C20CE" w14:textId="77777777" w:rsidR="000D7FC6" w:rsidRPr="004C53E7" w:rsidRDefault="000D7FC6" w:rsidP="00B658FD">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27C32700" w14:textId="77777777" w:rsidR="000D7FC6" w:rsidRDefault="000D7FC6" w:rsidP="00B658FD">
            <w:pPr>
              <w:jc w:val="center"/>
              <w:rPr>
                <w:rFonts w:ascii="Calibri" w:hAnsi="Calibri" w:cs="Arial"/>
                <w:b/>
                <w:lang w:val="en-IE"/>
              </w:rPr>
            </w:pPr>
          </w:p>
          <w:p w14:paraId="04BBEC44" w14:textId="77777777" w:rsidR="000D7FC6" w:rsidRPr="004C53E7" w:rsidRDefault="000D7FC6" w:rsidP="00B658FD">
            <w:pPr>
              <w:jc w:val="center"/>
              <w:rPr>
                <w:rFonts w:ascii="Calibri" w:hAnsi="Calibri" w:cs="Arial"/>
                <w:b/>
                <w:lang w:val="en-IE"/>
              </w:rPr>
            </w:pPr>
            <w:r>
              <w:rPr>
                <w:rFonts w:ascii="Calibri" w:hAnsi="Calibri" w:cs="Arial"/>
                <w:b/>
                <w:lang w:val="en-IE"/>
              </w:rPr>
              <w:t>Standard</w:t>
            </w:r>
          </w:p>
          <w:p w14:paraId="3863A832" w14:textId="77777777" w:rsidR="000D7FC6" w:rsidRPr="004C53E7" w:rsidRDefault="000D7FC6" w:rsidP="00B658FD">
            <w:pPr>
              <w:jc w:val="center"/>
              <w:rPr>
                <w:rFonts w:ascii="Calibri" w:hAnsi="Calibri" w:cs="Arial"/>
                <w:b/>
                <w:lang w:val="en-IE"/>
              </w:rPr>
            </w:pPr>
          </w:p>
        </w:tc>
        <w:tc>
          <w:tcPr>
            <w:tcW w:w="2536" w:type="dxa"/>
            <w:vAlign w:val="center"/>
          </w:tcPr>
          <w:p w14:paraId="6238688B" w14:textId="77777777" w:rsidR="000D7FC6" w:rsidRPr="004C53E7" w:rsidRDefault="000D7FC6" w:rsidP="00B658FD">
            <w:pPr>
              <w:jc w:val="center"/>
              <w:rPr>
                <w:rFonts w:ascii="Calibri" w:hAnsi="Calibri" w:cs="Arial"/>
                <w:b/>
                <w:lang w:val="en-IE"/>
              </w:rPr>
            </w:pPr>
            <w:r>
              <w:rPr>
                <w:rFonts w:ascii="Calibri" w:hAnsi="Calibri" w:cs="Arial"/>
                <w:b/>
                <w:lang w:val="en-IE"/>
              </w:rPr>
              <w:t>Mod_16_19</w:t>
            </w:r>
          </w:p>
        </w:tc>
      </w:tr>
      <w:tr w:rsidR="000D7FC6" w:rsidRPr="004C53E7" w14:paraId="71169ABB" w14:textId="77777777" w:rsidTr="000D7FC6">
        <w:trPr>
          <w:trHeight w:val="467"/>
        </w:trPr>
        <w:tc>
          <w:tcPr>
            <w:tcW w:w="9540" w:type="dxa"/>
            <w:gridSpan w:val="6"/>
            <w:shd w:val="clear" w:color="auto" w:fill="C6D9F1"/>
            <w:vAlign w:val="center"/>
          </w:tcPr>
          <w:p w14:paraId="5412D232" w14:textId="77777777" w:rsidR="000D7FC6" w:rsidRPr="004C53E7" w:rsidRDefault="000D7FC6" w:rsidP="00B658FD">
            <w:pPr>
              <w:jc w:val="center"/>
              <w:rPr>
                <w:rFonts w:ascii="Calibri" w:hAnsi="Calibri" w:cs="Arial"/>
                <w:lang w:val="en-IE"/>
              </w:rPr>
            </w:pPr>
            <w:r w:rsidRPr="004C53E7">
              <w:rPr>
                <w:rFonts w:ascii="Calibri" w:hAnsi="Calibri" w:cs="Arial"/>
                <w:b/>
                <w:bCs/>
                <w:lang w:val="en-IE"/>
              </w:rPr>
              <w:t>Contact Details for Modification Proposal Originator</w:t>
            </w:r>
          </w:p>
        </w:tc>
      </w:tr>
      <w:tr w:rsidR="000D7FC6" w:rsidRPr="004C53E7" w14:paraId="52F1C79D" w14:textId="77777777" w:rsidTr="000D7FC6">
        <w:tc>
          <w:tcPr>
            <w:tcW w:w="3015" w:type="dxa"/>
            <w:gridSpan w:val="2"/>
            <w:vAlign w:val="center"/>
          </w:tcPr>
          <w:p w14:paraId="0B3AFE95" w14:textId="77777777" w:rsidR="000D7FC6" w:rsidRPr="004C53E7" w:rsidRDefault="000D7FC6" w:rsidP="00B658F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1455D56" w14:textId="77777777" w:rsidR="000D7FC6" w:rsidRPr="004C53E7" w:rsidRDefault="000D7FC6" w:rsidP="00B658FD">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0D1AA9D3" w14:textId="77777777" w:rsidR="000D7FC6" w:rsidRPr="004C53E7" w:rsidRDefault="000D7FC6" w:rsidP="00B658FD">
            <w:pPr>
              <w:jc w:val="center"/>
              <w:rPr>
                <w:rFonts w:ascii="Calibri" w:hAnsi="Calibri" w:cs="Arial"/>
                <w:lang w:val="en-IE"/>
              </w:rPr>
            </w:pPr>
            <w:r w:rsidRPr="004C53E7">
              <w:rPr>
                <w:rFonts w:ascii="Calibri" w:hAnsi="Calibri" w:cs="Arial"/>
                <w:b/>
                <w:bCs/>
                <w:lang w:val="en-IE"/>
              </w:rPr>
              <w:t>Email address</w:t>
            </w:r>
          </w:p>
        </w:tc>
      </w:tr>
      <w:tr w:rsidR="000D7FC6" w:rsidRPr="004C53E7" w14:paraId="57322CD1" w14:textId="77777777" w:rsidTr="000D7FC6">
        <w:tc>
          <w:tcPr>
            <w:tcW w:w="3015" w:type="dxa"/>
            <w:gridSpan w:val="2"/>
            <w:vAlign w:val="center"/>
          </w:tcPr>
          <w:p w14:paraId="2083A236" w14:textId="77777777" w:rsidR="000D7FC6" w:rsidRPr="004C53E7" w:rsidRDefault="000D7FC6" w:rsidP="00B658FD">
            <w:pPr>
              <w:rPr>
                <w:rFonts w:ascii="Calibri" w:hAnsi="Calibri" w:cs="Arial"/>
                <w:b/>
                <w:lang w:val="en-IE"/>
              </w:rPr>
            </w:pPr>
            <w:r>
              <w:rPr>
                <w:rFonts w:ascii="Calibri" w:hAnsi="Calibri" w:cs="Arial"/>
                <w:b/>
                <w:lang w:val="en-IE"/>
              </w:rPr>
              <w:t>Robert Mc Carthy</w:t>
            </w:r>
          </w:p>
        </w:tc>
        <w:tc>
          <w:tcPr>
            <w:tcW w:w="2925" w:type="dxa"/>
            <w:gridSpan w:val="2"/>
            <w:vAlign w:val="center"/>
          </w:tcPr>
          <w:p w14:paraId="74F2B2BA" w14:textId="77777777" w:rsidR="000D7FC6" w:rsidRPr="00CA274A" w:rsidRDefault="000D7FC6" w:rsidP="000D7FC6">
            <w:pPr>
              <w:pStyle w:val="ListParagraph"/>
              <w:numPr>
                <w:ilvl w:val="0"/>
                <w:numId w:val="69"/>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9696700</w:t>
            </w:r>
          </w:p>
        </w:tc>
        <w:tc>
          <w:tcPr>
            <w:tcW w:w="3600" w:type="dxa"/>
            <w:gridSpan w:val="2"/>
            <w:vAlign w:val="center"/>
          </w:tcPr>
          <w:p w14:paraId="1DBF83DB" w14:textId="77777777" w:rsidR="000D7FC6" w:rsidRPr="004C53E7" w:rsidRDefault="000D7FC6" w:rsidP="00B658FD">
            <w:pPr>
              <w:rPr>
                <w:rFonts w:ascii="Calibri" w:hAnsi="Calibri" w:cs="Arial"/>
                <w:b/>
                <w:lang w:val="en-IE"/>
              </w:rPr>
            </w:pPr>
            <w:r>
              <w:rPr>
                <w:rFonts w:ascii="Calibri" w:hAnsi="Calibri" w:cs="Arial"/>
                <w:b/>
                <w:lang w:val="en-IE"/>
              </w:rPr>
              <w:t>robertmccarthy@capturedcarbon.ie</w:t>
            </w:r>
          </w:p>
        </w:tc>
      </w:tr>
      <w:tr w:rsidR="000D7FC6" w:rsidRPr="004C53E7" w14:paraId="6032DC72" w14:textId="77777777" w:rsidTr="000D7FC6">
        <w:trPr>
          <w:trHeight w:val="327"/>
        </w:trPr>
        <w:tc>
          <w:tcPr>
            <w:tcW w:w="9540" w:type="dxa"/>
            <w:gridSpan w:val="6"/>
            <w:shd w:val="clear" w:color="auto" w:fill="C6D9F1"/>
            <w:vAlign w:val="center"/>
          </w:tcPr>
          <w:p w14:paraId="3AEE39F9"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Modification Proposal Title</w:t>
            </w:r>
          </w:p>
        </w:tc>
      </w:tr>
      <w:tr w:rsidR="000D7FC6" w:rsidRPr="004C53E7" w14:paraId="23E143B4" w14:textId="77777777" w:rsidTr="000D7FC6">
        <w:trPr>
          <w:trHeight w:val="323"/>
        </w:trPr>
        <w:tc>
          <w:tcPr>
            <w:tcW w:w="9540" w:type="dxa"/>
            <w:gridSpan w:val="6"/>
            <w:vAlign w:val="center"/>
          </w:tcPr>
          <w:p w14:paraId="1A3FFD33" w14:textId="77777777" w:rsidR="000D7FC6" w:rsidRPr="004C53E7" w:rsidRDefault="000D7FC6" w:rsidP="00B658FD">
            <w:pPr>
              <w:spacing w:line="480" w:lineRule="auto"/>
              <w:rPr>
                <w:rFonts w:ascii="Calibri" w:hAnsi="Calibri" w:cs="Arial"/>
                <w:b/>
                <w:bCs/>
                <w:color w:val="000000"/>
                <w:lang w:val="en-IE"/>
              </w:rPr>
            </w:pPr>
            <w:r>
              <w:rPr>
                <w:rFonts w:ascii="Calibri" w:hAnsi="Calibri" w:cs="Arial"/>
                <w:b/>
                <w:bCs/>
                <w:color w:val="000000"/>
                <w:lang w:val="en-IE"/>
              </w:rPr>
              <w:t>Codification of TSO FNDDS Methodology and System Service Flag for DSU Settlement</w:t>
            </w:r>
          </w:p>
        </w:tc>
      </w:tr>
      <w:tr w:rsidR="000D7FC6" w:rsidRPr="004C53E7" w14:paraId="1EB14791" w14:textId="77777777" w:rsidTr="000D7FC6">
        <w:tc>
          <w:tcPr>
            <w:tcW w:w="3015" w:type="dxa"/>
            <w:gridSpan w:val="2"/>
            <w:shd w:val="clear" w:color="auto" w:fill="C6D9F1"/>
            <w:vAlign w:val="center"/>
          </w:tcPr>
          <w:p w14:paraId="13EF1062"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Documents affected</w:t>
            </w:r>
          </w:p>
          <w:p w14:paraId="555437B9" w14:textId="77777777" w:rsidR="000D7FC6" w:rsidRPr="004C53E7" w:rsidRDefault="000D7FC6" w:rsidP="00B658F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AEA8FEC" w14:textId="77777777" w:rsidR="000D7FC6" w:rsidRPr="004C53E7" w:rsidRDefault="000D7FC6" w:rsidP="00B658FD">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33A010CD" w14:textId="77777777" w:rsidR="000D7FC6" w:rsidRPr="004C53E7" w:rsidRDefault="000D7FC6" w:rsidP="00B658FD">
            <w:pPr>
              <w:jc w:val="center"/>
              <w:rPr>
                <w:rStyle w:val="IntenseEmphasis"/>
                <w:lang w:val="en-IE"/>
              </w:rPr>
            </w:pPr>
            <w:r w:rsidRPr="004C53E7">
              <w:rPr>
                <w:rFonts w:ascii="Calibri" w:hAnsi="Calibri" w:cs="Arial"/>
                <w:b/>
                <w:lang w:val="en-IE"/>
              </w:rPr>
              <w:t>Version number of T&amp;SC or AP used in Drafting</w:t>
            </w:r>
          </w:p>
        </w:tc>
      </w:tr>
      <w:tr w:rsidR="000D7FC6" w:rsidRPr="004C53E7" w14:paraId="41676B47" w14:textId="77777777" w:rsidTr="000D7FC6">
        <w:tc>
          <w:tcPr>
            <w:tcW w:w="3015" w:type="dxa"/>
            <w:gridSpan w:val="2"/>
            <w:shd w:val="clear" w:color="auto" w:fill="FFFFFF"/>
            <w:vAlign w:val="center"/>
          </w:tcPr>
          <w:p w14:paraId="121336E8" w14:textId="77777777" w:rsidR="000D7FC6" w:rsidRPr="004C53E7" w:rsidDel="00476388" w:rsidRDefault="000D7FC6" w:rsidP="00B658FD">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 &amp; Glossary</w:t>
            </w:r>
          </w:p>
        </w:tc>
        <w:tc>
          <w:tcPr>
            <w:tcW w:w="2925" w:type="dxa"/>
            <w:gridSpan w:val="2"/>
            <w:vAlign w:val="center"/>
          </w:tcPr>
          <w:p w14:paraId="062E22B9" w14:textId="77777777" w:rsidR="000D7FC6" w:rsidRPr="004C53E7" w:rsidRDefault="000D7FC6" w:rsidP="00B658FD">
            <w:pPr>
              <w:jc w:val="center"/>
              <w:rPr>
                <w:rFonts w:ascii="Calibri" w:hAnsi="Calibri" w:cs="Arial"/>
                <w:b/>
                <w:lang w:val="en-IE"/>
              </w:rPr>
            </w:pPr>
            <w:r>
              <w:rPr>
                <w:rFonts w:ascii="Calibri" w:hAnsi="Calibri" w:cs="Arial"/>
                <w:b/>
                <w:lang w:val="en-IE"/>
              </w:rPr>
              <w:t>F.2</w:t>
            </w:r>
            <w:ins w:id="114" w:author="Author">
              <w:r>
                <w:rPr>
                  <w:rFonts w:ascii="Calibri" w:hAnsi="Calibri" w:cs="Arial"/>
                  <w:b/>
                  <w:lang w:val="en-IE"/>
                </w:rPr>
                <w:t>.</w:t>
              </w:r>
            </w:ins>
            <w:r>
              <w:rPr>
                <w:rFonts w:ascii="Calibri" w:hAnsi="Calibri" w:cs="Arial"/>
                <w:b/>
                <w:lang w:val="en-IE"/>
              </w:rPr>
              <w:t>7</w:t>
            </w:r>
          </w:p>
        </w:tc>
        <w:tc>
          <w:tcPr>
            <w:tcW w:w="3600" w:type="dxa"/>
            <w:gridSpan w:val="2"/>
            <w:vAlign w:val="center"/>
          </w:tcPr>
          <w:p w14:paraId="32F6CEC7" w14:textId="77777777" w:rsidR="000D7FC6" w:rsidRPr="004C53E7" w:rsidRDefault="000D7FC6" w:rsidP="00B658FD">
            <w:pPr>
              <w:jc w:val="center"/>
              <w:rPr>
                <w:rFonts w:ascii="Calibri" w:hAnsi="Calibri" w:cs="Arial"/>
                <w:b/>
                <w:lang w:val="en-IE"/>
              </w:rPr>
            </w:pPr>
          </w:p>
        </w:tc>
      </w:tr>
      <w:tr w:rsidR="000D7FC6" w:rsidRPr="004C53E7" w14:paraId="66F7C86B" w14:textId="77777777" w:rsidTr="000D7FC6">
        <w:trPr>
          <w:trHeight w:val="375"/>
        </w:trPr>
        <w:tc>
          <w:tcPr>
            <w:tcW w:w="9540" w:type="dxa"/>
            <w:gridSpan w:val="6"/>
            <w:shd w:val="clear" w:color="auto" w:fill="C6D9F1"/>
            <w:vAlign w:val="center"/>
          </w:tcPr>
          <w:p w14:paraId="378B6B78"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Explanation of Proposed Change</w:t>
            </w:r>
          </w:p>
          <w:p w14:paraId="7AA6AAEA" w14:textId="77777777" w:rsidR="000D7FC6" w:rsidRPr="004C53E7" w:rsidRDefault="000D7FC6" w:rsidP="00B658FD">
            <w:pPr>
              <w:jc w:val="center"/>
              <w:rPr>
                <w:rFonts w:ascii="Calibri" w:hAnsi="Calibri" w:cs="Arial"/>
                <w:lang w:val="en-IE"/>
              </w:rPr>
            </w:pPr>
            <w:r w:rsidRPr="004C53E7">
              <w:rPr>
                <w:rFonts w:ascii="Calibri" w:hAnsi="Calibri"/>
                <w:i/>
                <w:spacing w:val="-3"/>
                <w:lang w:val="en-IE"/>
              </w:rPr>
              <w:t>(mandatory by originator)</w:t>
            </w:r>
          </w:p>
        </w:tc>
      </w:tr>
      <w:tr w:rsidR="000D7FC6" w:rsidRPr="00022A4D" w14:paraId="064FDC4B" w14:textId="77777777" w:rsidTr="000D7FC6">
        <w:trPr>
          <w:trHeight w:val="467"/>
        </w:trPr>
        <w:tc>
          <w:tcPr>
            <w:tcW w:w="9540" w:type="dxa"/>
            <w:gridSpan w:val="6"/>
            <w:vAlign w:val="center"/>
          </w:tcPr>
          <w:p w14:paraId="4AD0A2FD" w14:textId="77777777" w:rsidR="000D7FC6" w:rsidRDefault="000D7FC6" w:rsidP="00B658FD">
            <w:pPr>
              <w:jc w:val="both"/>
              <w:rPr>
                <w:rFonts w:ascii="Calibri" w:hAnsi="Calibri" w:cs="Arial"/>
                <w:lang w:val="en-IE"/>
              </w:rPr>
            </w:pPr>
            <w:r>
              <w:rPr>
                <w:rFonts w:ascii="Calibri" w:hAnsi="Calibri" w:cs="Arial"/>
                <w:lang w:val="en-IE"/>
              </w:rPr>
              <w:t xml:space="preserve">The Trading and Settlement Code contemplates a value for Demand Side Non-Delivery Percentage (FNDDS) which is submitted by the System Operators to the Market Operator (F.2.7) for use in the settlement of reliability options for demand side units (DSUs). This variable is crucial in determining the level of fulfilment of the reliability option where the strike price is exceeded and consequently, the level of difference charges due by DSUs. </w:t>
            </w:r>
          </w:p>
          <w:p w14:paraId="41098FE3" w14:textId="77777777" w:rsidR="000D7FC6" w:rsidRDefault="000D7FC6" w:rsidP="00B658FD">
            <w:pPr>
              <w:jc w:val="both"/>
              <w:rPr>
                <w:rFonts w:ascii="Calibri" w:hAnsi="Calibri" w:cs="Arial"/>
                <w:lang w:val="en-IE"/>
              </w:rPr>
            </w:pPr>
          </w:p>
          <w:p w14:paraId="26E1D859" w14:textId="77777777" w:rsidR="000D7FC6" w:rsidRDefault="000D7FC6" w:rsidP="00B658FD">
            <w:pPr>
              <w:jc w:val="both"/>
              <w:rPr>
                <w:rFonts w:ascii="Calibri" w:hAnsi="Calibri" w:cs="Arial"/>
                <w:lang w:val="en-IE"/>
              </w:rPr>
            </w:pPr>
            <w:r>
              <w:rPr>
                <w:rFonts w:ascii="Calibri" w:hAnsi="Calibri" w:cs="Arial"/>
                <w:lang w:val="en-IE"/>
              </w:rPr>
              <w:t>The methodology for the calculation of this variable is not outlined in the Trading and Settlement Code, this constitutes a major governance concern for DSUs for a crucial variable with specific concerns being:</w:t>
            </w:r>
          </w:p>
          <w:p w14:paraId="4135A2DA" w14:textId="77777777" w:rsidR="000D7FC6" w:rsidRDefault="000D7FC6" w:rsidP="00B658FD">
            <w:pPr>
              <w:jc w:val="both"/>
              <w:rPr>
                <w:rFonts w:ascii="Calibri" w:hAnsi="Calibri" w:cs="Arial"/>
                <w:lang w:val="en-IE"/>
              </w:rPr>
            </w:pPr>
          </w:p>
          <w:p w14:paraId="41B55AD7" w14:textId="77777777" w:rsidR="000D7FC6" w:rsidRDefault="000D7FC6" w:rsidP="000D7FC6">
            <w:pPr>
              <w:pStyle w:val="ListParagraph"/>
              <w:numPr>
                <w:ilvl w:val="0"/>
                <w:numId w:val="66"/>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The system operator is not obliged to follow any particular methodology for calculating this under the T&amp;SC;</w:t>
            </w:r>
          </w:p>
          <w:p w14:paraId="656AB52F" w14:textId="77777777" w:rsidR="000D7FC6" w:rsidRDefault="000D7FC6" w:rsidP="000D7FC6">
            <w:pPr>
              <w:pStyle w:val="ListParagraph"/>
              <w:numPr>
                <w:ilvl w:val="0"/>
                <w:numId w:val="66"/>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 xml:space="preserve">There is no obligation of the timeline for the system operators to calculate FNDDS; </w:t>
            </w:r>
          </w:p>
          <w:p w14:paraId="49B5A610" w14:textId="77777777" w:rsidR="000D7FC6" w:rsidRDefault="000D7FC6" w:rsidP="000D7FC6">
            <w:pPr>
              <w:pStyle w:val="ListParagraph"/>
              <w:numPr>
                <w:ilvl w:val="0"/>
                <w:numId w:val="66"/>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How resettlement is handled where the variable is not calculated prior to a settlement run; and</w:t>
            </w:r>
          </w:p>
          <w:p w14:paraId="58B0936B" w14:textId="77777777" w:rsidR="000D7FC6" w:rsidRDefault="000D7FC6" w:rsidP="000D7FC6">
            <w:pPr>
              <w:pStyle w:val="ListParagraph"/>
              <w:numPr>
                <w:ilvl w:val="0"/>
                <w:numId w:val="66"/>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There is no clear process for raising modification to the methodology.</w:t>
            </w:r>
          </w:p>
          <w:p w14:paraId="09146763" w14:textId="77777777" w:rsidR="000D7FC6" w:rsidRDefault="000D7FC6" w:rsidP="00B658FD">
            <w:pPr>
              <w:jc w:val="both"/>
              <w:rPr>
                <w:rFonts w:ascii="Calibri" w:hAnsi="Calibri" w:cs="Arial"/>
                <w:lang w:val="en-IE"/>
              </w:rPr>
            </w:pPr>
          </w:p>
          <w:p w14:paraId="6ECEE993" w14:textId="77777777" w:rsidR="000D7FC6" w:rsidRDefault="000D7FC6" w:rsidP="00B658FD">
            <w:pPr>
              <w:jc w:val="both"/>
              <w:rPr>
                <w:rFonts w:ascii="Calibri" w:hAnsi="Calibri" w:cs="Arial"/>
                <w:lang w:val="en-IE"/>
              </w:rPr>
            </w:pPr>
            <w:r>
              <w:rPr>
                <w:rFonts w:ascii="Calibri" w:hAnsi="Calibri" w:cs="Arial"/>
                <w:lang w:val="en-IE"/>
              </w:rPr>
              <w:lastRenderedPageBreak/>
              <w:t xml:space="preserve">Electricity Exchange note the publication of the document </w:t>
            </w:r>
            <w:hyperlink r:id="rId18" w:history="1">
              <w:r w:rsidRPr="00022A4D">
                <w:rPr>
                  <w:rStyle w:val="Hyperlink"/>
                  <w:rFonts w:ascii="Calibri" w:hAnsi="Calibri" w:cs="Arial"/>
                  <w:lang w:val="en-IE"/>
                </w:rPr>
                <w:t>Note for Participants on FNDDS Calculation Methodology</w:t>
              </w:r>
            </w:hyperlink>
            <w:r>
              <w:rPr>
                <w:rFonts w:ascii="Calibri" w:hAnsi="Calibri" w:cs="Arial"/>
                <w:lang w:val="en-IE"/>
              </w:rPr>
              <w:t xml:space="preserve"> on the SEMO website on 30/11/2018. This document outlines a methodology for the calculation for FNDDS which provides further clarity on the calculation which was welcomed. However, this document sits outside of the governance of the T&amp;SC and while it notes that the process is to be completed by initial settlement, it does not place an obligation on the System Operators to perform the calculation before this nor does it provide necessary clarity on resettlement is handled where the variable is not calculated prior to initial settlement. </w:t>
            </w:r>
          </w:p>
          <w:p w14:paraId="12E3977A" w14:textId="77777777" w:rsidR="000D7FC6" w:rsidRDefault="000D7FC6" w:rsidP="00B658FD">
            <w:pPr>
              <w:jc w:val="both"/>
              <w:rPr>
                <w:rFonts w:ascii="Calibri" w:hAnsi="Calibri" w:cs="Arial"/>
                <w:lang w:val="en-IE"/>
              </w:rPr>
            </w:pPr>
          </w:p>
          <w:p w14:paraId="4036EC87" w14:textId="77777777" w:rsidR="000D7FC6" w:rsidRDefault="000D7FC6" w:rsidP="00B658FD">
            <w:pPr>
              <w:jc w:val="both"/>
              <w:rPr>
                <w:rFonts w:ascii="Calibri" w:hAnsi="Calibri" w:cs="Arial"/>
                <w:lang w:val="en-IE"/>
              </w:rPr>
            </w:pPr>
            <w:r>
              <w:rPr>
                <w:rFonts w:ascii="Calibri" w:hAnsi="Calibri" w:cs="Arial"/>
                <w:lang w:val="en-IE"/>
              </w:rPr>
              <w:t xml:space="preserve">Furthermore, it was noted as part of the actions of working group meeting 2 for Mod_32_18 that DSUs were not currently exempted from difference charges where the DSU was providing system services in the same way that other generator units are. Furthermore, there was an action from that working group to alter the FNDDS calculation to include provisions for incorporating the system service flag to reduce DSU difference charges when providing appropriate services in the same manner as other generators. </w:t>
            </w:r>
          </w:p>
          <w:p w14:paraId="161CBC48" w14:textId="77777777" w:rsidR="000D7FC6" w:rsidRDefault="000D7FC6" w:rsidP="00B658FD">
            <w:pPr>
              <w:jc w:val="both"/>
              <w:rPr>
                <w:rFonts w:ascii="Calibri" w:hAnsi="Calibri" w:cs="Arial"/>
                <w:lang w:val="en-IE"/>
              </w:rPr>
            </w:pPr>
          </w:p>
          <w:p w14:paraId="676FC356" w14:textId="77777777" w:rsidR="000D7FC6" w:rsidRDefault="000D7FC6" w:rsidP="00B658FD">
            <w:pPr>
              <w:jc w:val="both"/>
              <w:rPr>
                <w:rFonts w:ascii="Calibri" w:hAnsi="Calibri" w:cs="Arial"/>
                <w:lang w:val="en-IE"/>
              </w:rPr>
            </w:pPr>
            <w:r>
              <w:rPr>
                <w:rFonts w:ascii="Calibri" w:hAnsi="Calibri" w:cs="Arial"/>
                <w:lang w:val="en-IE"/>
              </w:rPr>
              <w:t>This modification seeks to:</w:t>
            </w:r>
          </w:p>
          <w:p w14:paraId="45A5A863" w14:textId="77777777" w:rsidR="000D7FC6" w:rsidRDefault="000D7FC6" w:rsidP="00B658FD">
            <w:pPr>
              <w:jc w:val="both"/>
              <w:rPr>
                <w:rFonts w:ascii="Calibri" w:hAnsi="Calibri" w:cs="Arial"/>
                <w:lang w:val="en-IE"/>
              </w:rPr>
            </w:pPr>
          </w:p>
          <w:p w14:paraId="7F39B840" w14:textId="77777777" w:rsidR="000D7FC6" w:rsidRDefault="000D7FC6" w:rsidP="000D7FC6">
            <w:pPr>
              <w:pStyle w:val="ListParagraph"/>
              <w:numPr>
                <w:ilvl w:val="0"/>
                <w:numId w:val="67"/>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Codify the FNDDS calculation in the T&amp;SC to clarify related obligations and governance; and</w:t>
            </w:r>
          </w:p>
          <w:p w14:paraId="645E6ABB" w14:textId="77777777" w:rsidR="000D7FC6" w:rsidRDefault="000D7FC6" w:rsidP="000D7FC6">
            <w:pPr>
              <w:pStyle w:val="ListParagraph"/>
              <w:numPr>
                <w:ilvl w:val="0"/>
                <w:numId w:val="67"/>
              </w:numPr>
              <w:overflowPunct w:val="0"/>
              <w:autoSpaceDE w:val="0"/>
              <w:autoSpaceDN w:val="0"/>
              <w:adjustRightInd w:val="0"/>
              <w:spacing w:before="0" w:after="0" w:line="240" w:lineRule="auto"/>
              <w:jc w:val="both"/>
              <w:textAlignment w:val="baseline"/>
              <w:rPr>
                <w:rFonts w:ascii="Calibri" w:hAnsi="Calibri" w:cs="Arial"/>
                <w:lang w:val="en-IE"/>
              </w:rPr>
            </w:pPr>
            <w:r>
              <w:rPr>
                <w:rFonts w:ascii="Calibri" w:hAnsi="Calibri" w:cs="Arial"/>
                <w:lang w:val="en-IE"/>
              </w:rPr>
              <w:t xml:space="preserve">Incorporate the system service flag into the FNDDS calculation. </w:t>
            </w:r>
          </w:p>
          <w:p w14:paraId="15316EF7" w14:textId="77777777" w:rsidR="000D7FC6" w:rsidRDefault="000D7FC6" w:rsidP="00B658FD">
            <w:pPr>
              <w:rPr>
                <w:rFonts w:ascii="Calibri" w:hAnsi="Calibri" w:cs="Arial"/>
                <w:lang w:val="en-IE"/>
              </w:rPr>
            </w:pPr>
          </w:p>
          <w:p w14:paraId="247AA3D8" w14:textId="77777777" w:rsidR="000D7FC6" w:rsidRPr="00536441" w:rsidRDefault="000D7FC6" w:rsidP="00B658FD">
            <w:pPr>
              <w:rPr>
                <w:rFonts w:ascii="Calibri" w:hAnsi="Calibri" w:cs="Arial"/>
                <w:lang w:val="en-IE"/>
              </w:rPr>
            </w:pPr>
            <w:r>
              <w:rPr>
                <w:rFonts w:ascii="Calibri" w:hAnsi="Calibri" w:cs="Arial"/>
                <w:lang w:val="en-IE"/>
              </w:rPr>
              <w:t xml:space="preserve">Finally, as the values involved in calculating FNDDS are held by the Market Operator, the modification seeks to clarify the obligation as being a Market Operator obligation rather than a System Operator obligation. </w:t>
            </w:r>
          </w:p>
          <w:p w14:paraId="0FEC4C18" w14:textId="77777777" w:rsidR="000D7FC6" w:rsidRDefault="000D7FC6" w:rsidP="00B658FD">
            <w:pPr>
              <w:rPr>
                <w:rFonts w:ascii="Calibri" w:hAnsi="Calibri" w:cs="Arial"/>
                <w:lang w:val="en-IE"/>
              </w:rPr>
            </w:pPr>
          </w:p>
          <w:p w14:paraId="772FF827" w14:textId="77777777" w:rsidR="000D7FC6" w:rsidRPr="00022A4D" w:rsidRDefault="000D7FC6" w:rsidP="00B658FD">
            <w:pPr>
              <w:rPr>
                <w:rFonts w:ascii="Calibri" w:hAnsi="Calibri" w:cs="Arial"/>
                <w:lang w:val="en-IE"/>
              </w:rPr>
            </w:pPr>
          </w:p>
        </w:tc>
      </w:tr>
      <w:tr w:rsidR="000D7FC6" w:rsidRPr="004C53E7" w:rsidDel="00404964" w14:paraId="76369900" w14:textId="77777777" w:rsidTr="000D7FC6">
        <w:tc>
          <w:tcPr>
            <w:tcW w:w="9540" w:type="dxa"/>
            <w:gridSpan w:val="6"/>
            <w:shd w:val="clear" w:color="auto" w:fill="C6D9F1"/>
            <w:vAlign w:val="center"/>
          </w:tcPr>
          <w:p w14:paraId="40C2E0EB" w14:textId="77777777" w:rsidR="000D7FC6" w:rsidRPr="004C53E7" w:rsidRDefault="000D7FC6" w:rsidP="00B658FD">
            <w:pPr>
              <w:jc w:val="center"/>
              <w:rPr>
                <w:rFonts w:ascii="Calibri" w:hAnsi="Calibri" w:cs="Arial"/>
                <w:iCs/>
                <w:lang w:val="en-IE"/>
              </w:rPr>
            </w:pPr>
            <w:r w:rsidRPr="004C53E7">
              <w:rPr>
                <w:rFonts w:ascii="Calibri" w:hAnsi="Calibri" w:cs="Arial"/>
                <w:b/>
                <w:bCs/>
                <w:iCs/>
                <w:lang w:val="en-IE"/>
              </w:rPr>
              <w:lastRenderedPageBreak/>
              <w:t>Legal Drafting Change</w:t>
            </w:r>
          </w:p>
          <w:p w14:paraId="0F3B6FA4" w14:textId="77777777" w:rsidR="000D7FC6" w:rsidRPr="004C53E7" w:rsidDel="00404964" w:rsidRDefault="000D7FC6" w:rsidP="00B658F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D7FC6" w:rsidRPr="004C53E7" w:rsidDel="00404964" w14:paraId="0A0234AC" w14:textId="77777777" w:rsidTr="000D7FC6">
        <w:tc>
          <w:tcPr>
            <w:tcW w:w="9540" w:type="dxa"/>
            <w:gridSpan w:val="6"/>
            <w:vAlign w:val="center"/>
          </w:tcPr>
          <w:p w14:paraId="27989E92" w14:textId="77777777" w:rsidR="000D7FC6" w:rsidRPr="009D2D9E" w:rsidRDefault="000D7FC6" w:rsidP="00B658FD">
            <w:pPr>
              <w:pStyle w:val="CERLEVEL3"/>
              <w:rPr>
                <w:lang w:val="en-IE"/>
              </w:rPr>
            </w:pPr>
            <w:bookmarkStart w:id="115" w:name="_Toc535942911"/>
            <w:bookmarkStart w:id="116" w:name="_Toc23421825"/>
            <w:bookmarkStart w:id="117" w:name="_Toc25765655"/>
            <w:r>
              <w:rPr>
                <w:lang w:val="en-IE"/>
              </w:rPr>
              <w:lastRenderedPageBreak/>
              <w:t xml:space="preserve">F.2.7 </w:t>
            </w:r>
            <w:r w:rsidRPr="009D2D9E">
              <w:rPr>
                <w:lang w:val="en-IE"/>
              </w:rPr>
              <w:t>Capacity Market Data</w:t>
            </w:r>
            <w:bookmarkEnd w:id="115"/>
            <w:bookmarkEnd w:id="116"/>
            <w:bookmarkEnd w:id="117"/>
          </w:p>
          <w:p w14:paraId="25080D66" w14:textId="77777777" w:rsidR="000D7FC6" w:rsidRPr="009D2D9E" w:rsidRDefault="000D7FC6" w:rsidP="00B658FD">
            <w:pPr>
              <w:pStyle w:val="CERLEVEL4"/>
              <w:rPr>
                <w:rFonts w:cs="Arial"/>
              </w:rPr>
            </w:pPr>
            <w:r>
              <w:t xml:space="preserve">F.2.7.1 </w:t>
            </w: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40F6CB09" w14:textId="77777777" w:rsidR="000D7FC6" w:rsidRPr="009D2D9E" w:rsidDel="00EC6183" w:rsidRDefault="000D7FC6" w:rsidP="000D7FC6">
            <w:pPr>
              <w:pStyle w:val="CERLEVEL5"/>
              <w:numPr>
                <w:ilvl w:val="4"/>
                <w:numId w:val="41"/>
              </w:numPr>
              <w:rPr>
                <w:del w:id="118" w:author="Author"/>
                <w:lang w:val="en-IE"/>
              </w:rPr>
            </w:pPr>
            <w:del w:id="119" w:author="Author">
              <w:r w:rsidRPr="009D2D9E" w:rsidDel="00EC6183">
                <w:rPr>
                  <w:lang w:val="en-IE"/>
                </w:rPr>
                <w:delText>The Demand Side Non-Delivery Percentage (FNDDS</w:delText>
              </w:r>
              <w:r w:rsidRPr="009D2D9E" w:rsidDel="00EC6183">
                <w:rPr>
                  <w:rFonts w:cs="Arial"/>
                  <w:vertAlign w:val="subscript"/>
                  <w:lang w:val="en-IE"/>
                </w:rPr>
                <w:delText>Ω</w:delText>
              </w:r>
              <w:r w:rsidRPr="009D2D9E" w:rsidDel="00EC6183">
                <w:rPr>
                  <w:vertAlign w:val="subscript"/>
                  <w:lang w:val="en-IE"/>
                </w:rPr>
                <w:delText>γ</w:delText>
              </w:r>
              <w:r w:rsidRPr="009D2D9E" w:rsidDel="00EC6183">
                <w:rPr>
                  <w:lang w:val="en-IE"/>
                </w:rPr>
                <w:delText xml:space="preserve">) for each Capacity Market Unit, </w:delText>
              </w:r>
              <w:r w:rsidRPr="009D2D9E" w:rsidDel="00EC6183">
                <w:rPr>
                  <w:rFonts w:cs="Arial"/>
                  <w:lang w:val="en-IE"/>
                </w:rPr>
                <w:delText>Ω</w:delText>
              </w:r>
              <w:r w:rsidRPr="009D2D9E" w:rsidDel="00EC6183">
                <w:rPr>
                  <w:lang w:val="en-IE"/>
                </w:rPr>
                <w:delText>, which represents one or more Generator Units, u, that are Demand Site Units;</w:delText>
              </w:r>
            </w:del>
          </w:p>
          <w:p w14:paraId="56D7EEF6" w14:textId="77777777" w:rsidR="000D7FC6" w:rsidRPr="009D2D9E" w:rsidRDefault="000D7FC6" w:rsidP="000D7FC6">
            <w:pPr>
              <w:pStyle w:val="CERLEVEL5"/>
              <w:numPr>
                <w:ilvl w:val="4"/>
                <w:numId w:val="41"/>
              </w:numPr>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14:paraId="34F73347" w14:textId="77777777" w:rsidR="000D7FC6" w:rsidRPr="009D2D9E" w:rsidRDefault="000D7FC6" w:rsidP="000D7FC6">
            <w:pPr>
              <w:pStyle w:val="CERLEVEL5"/>
              <w:numPr>
                <w:ilvl w:val="4"/>
                <w:numId w:val="41"/>
              </w:numPr>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14:paraId="0A76F174" w14:textId="77777777" w:rsidR="000D7FC6" w:rsidRPr="009D2D9E" w:rsidRDefault="000D7FC6" w:rsidP="000D7FC6">
            <w:pPr>
              <w:pStyle w:val="CERLEVEL5"/>
              <w:numPr>
                <w:ilvl w:val="4"/>
                <w:numId w:val="41"/>
              </w:numPr>
              <w:rPr>
                <w:lang w:val="en-IE"/>
              </w:rPr>
            </w:pPr>
            <w:r w:rsidRPr="009D2D9E">
              <w:rPr>
                <w:lang w:val="en-IE"/>
              </w:rPr>
              <w:t>The De-Rating Factor (FDERATE</w:t>
            </w:r>
            <w:r w:rsidRPr="009D2D9E">
              <w:rPr>
                <w:rFonts w:cs="Arial"/>
                <w:vertAlign w:val="subscript"/>
                <w:lang w:val="en-IE"/>
              </w:rPr>
              <w:t>Ω</w:t>
            </w:r>
            <w:r w:rsidRPr="009D2D9E">
              <w:rPr>
                <w:lang w:val="en-IE"/>
              </w:rPr>
              <w:t>);</w:t>
            </w:r>
          </w:p>
          <w:p w14:paraId="1019ADA2" w14:textId="77777777" w:rsidR="000D7FC6" w:rsidRPr="009D2D9E" w:rsidRDefault="000D7FC6" w:rsidP="000D7FC6">
            <w:pPr>
              <w:pStyle w:val="CERLEVEL5"/>
              <w:numPr>
                <w:ilvl w:val="4"/>
                <w:numId w:val="41"/>
              </w:numPr>
              <w:rPr>
                <w:lang w:val="en-IE"/>
              </w:rPr>
            </w:pPr>
            <w:r w:rsidRPr="009D2D9E">
              <w:rPr>
                <w:lang w:val="en-IE"/>
              </w:rPr>
              <w:t>The Gross De-Rated Capacity Quantity (qCDERATEG</w:t>
            </w:r>
            <w:r w:rsidRPr="009D2D9E">
              <w:rPr>
                <w:vertAlign w:val="subscript"/>
                <w:lang w:val="en-IE"/>
              </w:rPr>
              <w:t>Ωγ</w:t>
            </w:r>
            <w:r w:rsidRPr="009D2D9E">
              <w:rPr>
                <w:lang w:val="en-IE"/>
              </w:rPr>
              <w:t>);</w:t>
            </w:r>
          </w:p>
          <w:p w14:paraId="4426E60F" w14:textId="77777777" w:rsidR="000D7FC6" w:rsidRPr="009D2D9E" w:rsidRDefault="000D7FC6" w:rsidP="000D7FC6">
            <w:pPr>
              <w:pStyle w:val="CERLEVEL5"/>
              <w:numPr>
                <w:ilvl w:val="4"/>
                <w:numId w:val="41"/>
              </w:numPr>
              <w:rPr>
                <w:lang w:val="en-IE"/>
              </w:rPr>
            </w:pPr>
            <w:r w:rsidRPr="009D2D9E">
              <w:rPr>
                <w:lang w:val="en-IE"/>
              </w:rPr>
              <w:t>The Annual Stop-Loss Limit Factor (FSLLA</w:t>
            </w:r>
            <w:r w:rsidRPr="009D2D9E">
              <w:rPr>
                <w:vertAlign w:val="subscript"/>
                <w:lang w:val="en-IE"/>
              </w:rPr>
              <w:t>n</w:t>
            </w:r>
            <w:r w:rsidRPr="009D2D9E">
              <w:rPr>
                <w:lang w:val="en-IE"/>
              </w:rPr>
              <w:t>);</w:t>
            </w:r>
          </w:p>
          <w:p w14:paraId="2354AEDC" w14:textId="77777777" w:rsidR="000D7FC6" w:rsidRPr="009D2D9E" w:rsidRDefault="000D7FC6" w:rsidP="000D7FC6">
            <w:pPr>
              <w:pStyle w:val="CERLEVEL5"/>
              <w:numPr>
                <w:ilvl w:val="4"/>
                <w:numId w:val="41"/>
              </w:numPr>
              <w:rPr>
                <w:lang w:val="en-IE"/>
              </w:rPr>
            </w:pPr>
            <w:r w:rsidRPr="009D2D9E">
              <w:rPr>
                <w:lang w:val="en-IE"/>
              </w:rPr>
              <w:t>The Billing Period Stop-Loss Factor (FSLLB</w:t>
            </w:r>
            <w:r w:rsidRPr="009D2D9E">
              <w:rPr>
                <w:vertAlign w:val="subscript"/>
                <w:lang w:val="en-IE"/>
              </w:rPr>
              <w:t>n</w:t>
            </w:r>
            <w:r w:rsidRPr="009D2D9E">
              <w:rPr>
                <w:lang w:val="en-IE"/>
              </w:rPr>
              <w:t>);</w:t>
            </w:r>
          </w:p>
          <w:p w14:paraId="02C4E67F" w14:textId="77777777" w:rsidR="000D7FC6" w:rsidRPr="009D2D9E" w:rsidRDefault="000D7FC6" w:rsidP="000D7FC6">
            <w:pPr>
              <w:pStyle w:val="CERLEVEL5"/>
              <w:numPr>
                <w:ilvl w:val="4"/>
                <w:numId w:val="41"/>
              </w:numPr>
              <w:rPr>
                <w:lang w:val="en-IE"/>
              </w:rPr>
            </w:pPr>
            <w:r w:rsidRPr="009D2D9E">
              <w:rPr>
                <w:lang w:val="en-IE"/>
              </w:rPr>
              <w:t>The Capacity Payment Price (PCP</w:t>
            </w:r>
            <w:r w:rsidRPr="009D2D9E">
              <w:rPr>
                <w:vertAlign w:val="subscript"/>
                <w:lang w:val="en-IE"/>
              </w:rPr>
              <w:t>Ωn</w:t>
            </w:r>
            <w:r w:rsidRPr="009D2D9E">
              <w:rPr>
                <w:lang w:val="en-IE"/>
              </w:rPr>
              <w:t>); and</w:t>
            </w:r>
          </w:p>
          <w:p w14:paraId="56CB4EEE" w14:textId="77777777" w:rsidR="000D7FC6" w:rsidRPr="009D2D9E" w:rsidRDefault="000D7FC6" w:rsidP="000D7FC6">
            <w:pPr>
              <w:pStyle w:val="CERLEVEL5"/>
              <w:numPr>
                <w:ilvl w:val="4"/>
                <w:numId w:val="41"/>
              </w:numPr>
              <w:rPr>
                <w:lang w:val="en-IE"/>
              </w:rPr>
            </w:pPr>
            <w:r w:rsidRPr="009D2D9E">
              <w:rPr>
                <w:lang w:val="en-IE"/>
              </w:rPr>
              <w:t>The Capacity Duration Exchange Rate (XRCD</w:t>
            </w:r>
            <w:r w:rsidRPr="009D2D9E">
              <w:rPr>
                <w:vertAlign w:val="subscript"/>
                <w:lang w:val="en-IE"/>
              </w:rPr>
              <w:t>n</w:t>
            </w:r>
            <w:r w:rsidRPr="009D2D9E">
              <w:rPr>
                <w:lang w:val="en-IE"/>
              </w:rPr>
              <w:t>).</w:t>
            </w:r>
          </w:p>
          <w:p w14:paraId="509FF487" w14:textId="77777777" w:rsidR="000D7FC6" w:rsidRDefault="000D7FC6" w:rsidP="00B658FD">
            <w:pPr>
              <w:pStyle w:val="CERLEVEL4"/>
            </w:pPr>
          </w:p>
          <w:p w14:paraId="2374B763" w14:textId="77777777" w:rsidR="000D7FC6" w:rsidRPr="009D2D9E" w:rsidDel="00EC6183" w:rsidRDefault="000D7FC6" w:rsidP="00B658FD">
            <w:pPr>
              <w:pStyle w:val="CERLEVEL4"/>
              <w:rPr>
                <w:del w:id="120" w:author="Author"/>
              </w:rPr>
            </w:pPr>
            <w:del w:id="121" w:author="Author">
              <w:r w:rsidDel="00EC6183">
                <w:delText xml:space="preserve">F.2.72 </w:delText>
              </w:r>
              <w:r w:rsidRPr="009D2D9E" w:rsidDel="00EC6183">
                <w:delText>If the Market Operator has not received values of the Demand Side Non-Delivery Percentage from the System Operators by the time it is required to carry out the Settlement calculations, the value of the Demand Side Non-Delivery Percentage (FNDDS</w:delText>
              </w:r>
              <w:r w:rsidRPr="009D2D9E" w:rsidDel="00EC6183">
                <w:rPr>
                  <w:vertAlign w:val="subscript"/>
                </w:rPr>
                <w:delText>Ωγ</w:delText>
              </w:r>
              <w:r w:rsidRPr="009D2D9E" w:rsidDel="00EC6183">
                <w:delText>) for each Capacity Market Unit, Ω, which represents one or more Generator Units, u, that are Demand Side Units, in each Imbalance Settlement Period, γ, shall be deemed to be zero.</w:delText>
              </w:r>
            </w:del>
          </w:p>
          <w:p w14:paraId="4FAC0A5C" w14:textId="77777777" w:rsidR="000D7FC6" w:rsidDel="00EC6183" w:rsidRDefault="000D7FC6" w:rsidP="00B658FD">
            <w:pPr>
              <w:spacing w:line="480" w:lineRule="auto"/>
              <w:rPr>
                <w:del w:id="122" w:author="Author"/>
                <w:rFonts w:ascii="Calibri" w:hAnsi="Calibri" w:cs="Arial"/>
                <w:lang w:val="en-IE"/>
              </w:rPr>
            </w:pPr>
          </w:p>
          <w:p w14:paraId="16164A82" w14:textId="77777777" w:rsidR="000D7FC6" w:rsidDel="00EC6183" w:rsidRDefault="000D7FC6" w:rsidP="00B658FD">
            <w:pPr>
              <w:spacing w:line="480" w:lineRule="auto"/>
              <w:rPr>
                <w:del w:id="123" w:author="Author"/>
                <w:rFonts w:ascii="Calibri" w:hAnsi="Calibri" w:cs="Arial"/>
                <w:lang w:val="en-IE"/>
              </w:rPr>
            </w:pPr>
          </w:p>
          <w:p w14:paraId="703523F5" w14:textId="77777777" w:rsidR="000D7FC6" w:rsidRDefault="000D7FC6" w:rsidP="00B658FD">
            <w:pPr>
              <w:spacing w:line="480" w:lineRule="auto"/>
              <w:rPr>
                <w:rFonts w:ascii="Calibri" w:hAnsi="Calibri" w:cs="Arial"/>
                <w:lang w:val="en-IE"/>
              </w:rPr>
            </w:pPr>
          </w:p>
          <w:p w14:paraId="41B159D3" w14:textId="77777777" w:rsidR="000D7FC6" w:rsidRDefault="000D7FC6" w:rsidP="00B658FD">
            <w:pPr>
              <w:spacing w:line="480" w:lineRule="auto"/>
              <w:rPr>
                <w:ins w:id="124" w:author="Author"/>
              </w:rPr>
            </w:pPr>
            <w:ins w:id="125" w:author="Author">
              <w:r>
                <w:rPr>
                  <w:rFonts w:ascii="Calibri" w:hAnsi="Calibri" w:cs="Arial"/>
                  <w:lang w:val="en-IE"/>
                </w:rPr>
                <w:t xml:space="preserve">F.2.7.2 The Market Operator shall calculate the Demand Side Non-Delivery Percentage for each Capacity Market Unit, </w:t>
              </w:r>
              <w:r w:rsidRPr="000D7FC6">
                <w:rPr>
                  <w:sz w:val="22"/>
                  <w:szCs w:val="22"/>
                  <w:rPrChange w:id="126" w:author="Author">
                    <w:rPr>
                      <w:sz w:val="22"/>
                      <w:szCs w:val="22"/>
                      <w:vertAlign w:val="subscript"/>
                    </w:rPr>
                  </w:rPrChange>
                </w:rPr>
                <w:t>Ω</w:t>
              </w:r>
              <w:r>
                <w:rPr>
                  <w:rFonts w:ascii="Calibri" w:hAnsi="Calibri" w:cs="Arial"/>
                  <w:lang w:val="en-IE"/>
                </w:rPr>
                <w:t xml:space="preserve"> which represents one or more Demand Side Units, in each Imbalance Settlement Period, </w:t>
              </w:r>
              <w:r>
                <w:t>γ, as follows:</w:t>
              </w:r>
            </w:ins>
          </w:p>
          <w:p w14:paraId="4BCFDC2D" w14:textId="77777777" w:rsidR="000D7FC6" w:rsidRDefault="000D7FC6" w:rsidP="00B658FD">
            <w:pPr>
              <w:spacing w:line="480" w:lineRule="auto"/>
              <w:rPr>
                <w:ins w:id="127" w:author="Author"/>
              </w:rPr>
            </w:pPr>
          </w:p>
          <w:p w14:paraId="003E931A" w14:textId="77777777" w:rsidR="000D7FC6" w:rsidRDefault="000D7FC6" w:rsidP="00B658FD">
            <w:pPr>
              <w:jc w:val="both"/>
              <w:rPr>
                <w:ins w:id="128" w:author="Author"/>
                <w:sz w:val="22"/>
                <w:szCs w:val="22"/>
              </w:rPr>
            </w:pPr>
            <w:ins w:id="129" w:author="Author">
              <w:r w:rsidRPr="00704D30">
                <w:rPr>
                  <w:sz w:val="22"/>
                  <w:szCs w:val="22"/>
                </w:rPr>
                <w:t xml:space="preserve">If </w:t>
              </w:r>
              <w:r>
                <w:rPr>
                  <w:sz w:val="22"/>
                  <w:szCs w:val="22"/>
                </w:rPr>
                <w:t>PIMB</w:t>
              </w:r>
              <w:r w:rsidRPr="000D7FC6">
                <w:rPr>
                  <w:sz w:val="22"/>
                  <w:szCs w:val="22"/>
                  <w:vertAlign w:val="subscript"/>
                  <w:rPrChange w:id="130" w:author="Author">
                    <w:rPr>
                      <w:sz w:val="22"/>
                      <w:szCs w:val="22"/>
                    </w:rPr>
                  </w:rPrChange>
                </w:rPr>
                <w:t>γ</w:t>
              </w:r>
              <w:r>
                <w:rPr>
                  <w:sz w:val="22"/>
                  <w:szCs w:val="22"/>
                </w:rPr>
                <w:t xml:space="preserve"> ≤ PSTR</w:t>
              </w:r>
              <w:r w:rsidRPr="000D7FC6">
                <w:rPr>
                  <w:sz w:val="22"/>
                  <w:szCs w:val="22"/>
                  <w:vertAlign w:val="subscript"/>
                  <w:rPrChange w:id="131" w:author="Author">
                    <w:rPr>
                      <w:sz w:val="22"/>
                      <w:szCs w:val="22"/>
                    </w:rPr>
                  </w:rPrChange>
                </w:rPr>
                <w:t>m</w:t>
              </w:r>
              <w:r>
                <w:rPr>
                  <w:sz w:val="22"/>
                  <w:szCs w:val="22"/>
                </w:rPr>
                <w:t>, or</w:t>
              </w:r>
              <w:r w:rsidRPr="00704D30">
                <w:rPr>
                  <w:sz w:val="22"/>
                  <w:szCs w:val="22"/>
                </w:rPr>
                <w:t xml:space="preserve"> </w:t>
              </w:r>
              <w:del w:id="132" w:author="Author">
                <w:r w:rsidRPr="002C07B2" w:rsidDel="00704D30">
                  <w:rPr>
                    <w:sz w:val="22"/>
                    <w:szCs w:val="22"/>
                  </w:rPr>
                  <w:delText>I</w:delText>
                </w:r>
              </w:del>
              <w:r>
                <w:rPr>
                  <w:sz w:val="22"/>
                  <w:szCs w:val="22"/>
                </w:rPr>
                <w:t>i</w:t>
              </w:r>
              <w:r w:rsidRPr="002C07B2">
                <w:rPr>
                  <w:sz w:val="22"/>
                  <w:szCs w:val="22"/>
                </w:rPr>
                <w:t>f QCOB</w:t>
              </w:r>
              <w:r w:rsidRPr="002C07B2">
                <w:rPr>
                  <w:sz w:val="22"/>
                  <w:szCs w:val="22"/>
                  <w:vertAlign w:val="subscript"/>
                </w:rPr>
                <w:t>Ωγ</w:t>
              </w:r>
              <w:r w:rsidRPr="002C07B2">
                <w:rPr>
                  <w:sz w:val="22"/>
                  <w:szCs w:val="22"/>
                </w:rPr>
                <w:t xml:space="preserve"> = 0, then FNDDS</w:t>
              </w:r>
              <w:r w:rsidRPr="002C07B2">
                <w:rPr>
                  <w:sz w:val="22"/>
                  <w:szCs w:val="22"/>
                  <w:vertAlign w:val="subscript"/>
                </w:rPr>
                <w:t>Ωγ</w:t>
              </w:r>
              <w:r w:rsidRPr="002C07B2">
                <w:rPr>
                  <w:sz w:val="22"/>
                  <w:szCs w:val="22"/>
                </w:rPr>
                <w:t xml:space="preserve"> = 0, otherwise:</w:t>
              </w:r>
            </w:ins>
          </w:p>
          <w:p w14:paraId="7B9DFD5F" w14:textId="77777777" w:rsidR="000D7FC6" w:rsidRDefault="000D7FC6" w:rsidP="00B658FD">
            <w:pPr>
              <w:jc w:val="both"/>
              <w:rPr>
                <w:ins w:id="133" w:author="Author"/>
                <w:sz w:val="22"/>
                <w:szCs w:val="22"/>
              </w:rPr>
            </w:pPr>
          </w:p>
          <w:p w14:paraId="770E16CD" w14:textId="77777777" w:rsidR="000D7FC6" w:rsidRDefault="00FC4ABC" w:rsidP="00B658FD">
            <w:pPr>
              <w:pStyle w:val="Paranumbered"/>
              <w:rPr>
                <w:ins w:id="134" w:author="Author"/>
                <w:i/>
                <w:noProof/>
              </w:rPr>
            </w:pPr>
            <m:oMathPara>
              <m:oMath>
                <m:sSub>
                  <m:sSubPr>
                    <m:ctrlPr>
                      <w:ins w:id="135" w:author="Author">
                        <w:rPr>
                          <w:rFonts w:ascii="Cambria Math" w:hAnsi="Cambria Math"/>
                          <w:i/>
                          <w:noProof/>
                        </w:rPr>
                      </w:ins>
                    </m:ctrlPr>
                  </m:sSubPr>
                  <m:e>
                    <m:r>
                      <w:ins w:id="136" w:author="Author">
                        <w:rPr>
                          <w:rFonts w:ascii="Cambria Math" w:hAnsi="Cambria Math"/>
                          <w:noProof/>
                        </w:rPr>
                        <m:t>FNDDS</m:t>
                      </w:ins>
                    </m:r>
                  </m:e>
                  <m:sub>
                    <m:r>
                      <w:ins w:id="137" w:author="Author">
                        <m:rPr>
                          <m:sty m:val="p"/>
                        </m:rPr>
                        <w:rPr>
                          <w:rFonts w:ascii="Cambria Math" w:hAnsi="Cambria Math"/>
                          <w:szCs w:val="22"/>
                          <w:vertAlign w:val="subscript"/>
                        </w:rPr>
                        <m:t>Ω</m:t>
                      </w:ins>
                    </m:r>
                    <m:r>
                      <w:ins w:id="138" w:author="Author">
                        <w:rPr>
                          <w:rFonts w:ascii="Cambria Math" w:hAnsi="Cambria Math"/>
                          <w:noProof/>
                        </w:rPr>
                        <m:t>γ</m:t>
                      </w:ins>
                    </m:r>
                  </m:sub>
                </m:sSub>
                <m:r>
                  <w:ins w:id="139" w:author="Author">
                    <w:rPr>
                      <w:rFonts w:ascii="Cambria Math" w:hAnsi="Cambria Math"/>
                      <w:noProof/>
                    </w:rPr>
                    <m:t xml:space="preserve">= </m:t>
                  </w:ins>
                </m:r>
                <m:f>
                  <m:fPr>
                    <m:ctrlPr>
                      <w:ins w:id="140" w:author="Author">
                        <w:rPr>
                          <w:rFonts w:ascii="Cambria Math" w:hAnsi="Cambria Math"/>
                          <w:i/>
                          <w:noProof/>
                        </w:rPr>
                      </w:ins>
                    </m:ctrlPr>
                  </m:fPr>
                  <m:num>
                    <m:r>
                      <w:ins w:id="141" w:author="Author">
                        <w:rPr>
                          <w:rFonts w:ascii="Cambria Math" w:hAnsi="Cambria Math"/>
                          <w:noProof/>
                        </w:rPr>
                        <m:t>Max</m:t>
                      </w:ins>
                    </m:r>
                    <m:d>
                      <m:dPr>
                        <m:ctrlPr>
                          <w:ins w:id="142" w:author="Author">
                            <w:rPr>
                              <w:rFonts w:ascii="Cambria Math" w:hAnsi="Cambria Math"/>
                              <w:i/>
                              <w:noProof/>
                            </w:rPr>
                          </w:ins>
                        </m:ctrlPr>
                      </m:dPr>
                      <m:e>
                        <m:sSub>
                          <m:sSubPr>
                            <m:ctrlPr>
                              <w:ins w:id="143" w:author="Author">
                                <w:rPr>
                                  <w:rFonts w:ascii="Cambria Math" w:hAnsi="Cambria Math"/>
                                  <w:i/>
                                  <w:noProof/>
                                </w:rPr>
                              </w:ins>
                            </m:ctrlPr>
                          </m:sSubPr>
                          <m:e>
                            <m:r>
                              <w:ins w:id="144" w:author="Author">
                                <w:rPr>
                                  <w:rFonts w:ascii="Cambria Math" w:hAnsi="Cambria Math"/>
                                  <w:noProof/>
                                </w:rPr>
                                <m:t>QCOB</m:t>
                              </w:ins>
                            </m:r>
                          </m:e>
                          <m:sub>
                            <m:r>
                              <w:ins w:id="145" w:author="Author">
                                <w:rPr>
                                  <w:rFonts w:ascii="Cambria Math" w:hAnsi="Cambria Math"/>
                                  <w:noProof/>
                                </w:rPr>
                                <m:t>Ωγ</m:t>
                              </w:ins>
                            </m:r>
                          </m:sub>
                        </m:sSub>
                        <m:r>
                          <w:ins w:id="146" w:author="Author">
                            <w:rPr>
                              <w:rFonts w:ascii="Cambria Math" w:hAnsi="Cambria Math"/>
                              <w:noProof/>
                            </w:rPr>
                            <m:t xml:space="preserve">- </m:t>
                          </w:ins>
                        </m:r>
                        <m:nary>
                          <m:naryPr>
                            <m:chr m:val="∑"/>
                            <m:limLoc m:val="undOvr"/>
                            <m:supHide m:val="1"/>
                            <m:ctrlPr>
                              <w:ins w:id="147" w:author="Author">
                                <w:rPr>
                                  <w:rFonts w:ascii="Cambria Math" w:hAnsi="Cambria Math"/>
                                  <w:i/>
                                  <w:noProof/>
                                </w:rPr>
                              </w:ins>
                            </m:ctrlPr>
                          </m:naryPr>
                          <m:sub>
                            <m:r>
                              <w:ins w:id="148" w:author="Author">
                                <w:rPr>
                                  <w:rFonts w:ascii="Cambria Math" w:hAnsi="Cambria Math"/>
                                  <w:noProof/>
                                </w:rPr>
                                <m:t xml:space="preserve">u ∈ </m:t>
                              </w:ins>
                            </m:r>
                            <m:r>
                              <w:ins w:id="149" w:author="Author">
                                <m:rPr>
                                  <m:sty m:val="p"/>
                                </m:rPr>
                                <w:rPr>
                                  <w:rFonts w:ascii="Cambria Math" w:hAnsi="Cambria Math"/>
                                  <w:noProof/>
                                </w:rPr>
                                <m:t>Ω</m:t>
                              </w:ins>
                            </m:r>
                          </m:sub>
                          <m:sup/>
                          <m:e>
                            <m:r>
                              <w:ins w:id="150" w:author="Author">
                                <w:rPr>
                                  <w:rFonts w:ascii="Cambria Math" w:hAnsi="Cambria Math"/>
                                  <w:noProof/>
                                </w:rPr>
                                <m:t>Max</m:t>
                              </w:ins>
                            </m:r>
                            <m:d>
                              <m:dPr>
                                <m:ctrlPr>
                                  <w:ins w:id="151" w:author="Author">
                                    <w:rPr>
                                      <w:rFonts w:ascii="Cambria Math" w:hAnsi="Cambria Math"/>
                                      <w:i/>
                                      <w:noProof/>
                                    </w:rPr>
                                  </w:ins>
                                </m:ctrlPr>
                              </m:dPr>
                              <m:e>
                                <m:sSub>
                                  <m:sSubPr>
                                    <m:ctrlPr>
                                      <w:ins w:id="152" w:author="Author">
                                        <w:rPr>
                                          <w:rFonts w:ascii="Cambria Math" w:hAnsi="Cambria Math"/>
                                          <w:i/>
                                          <w:noProof/>
                                        </w:rPr>
                                      </w:ins>
                                    </m:ctrlPr>
                                  </m:sSubPr>
                                  <m:e>
                                    <m:r>
                                      <w:ins w:id="153" w:author="Author">
                                        <w:rPr>
                                          <w:rFonts w:ascii="Cambria Math" w:hAnsi="Cambria Math"/>
                                          <w:noProof/>
                                        </w:rPr>
                                        <m:t>QDLF</m:t>
                                      </w:ins>
                                    </m:r>
                                  </m:e>
                                  <m:sub>
                                    <m:r>
                                      <w:ins w:id="154" w:author="Author">
                                        <w:rPr>
                                          <w:rFonts w:ascii="Cambria Math" w:hAnsi="Cambria Math"/>
                                          <w:noProof/>
                                        </w:rPr>
                                        <m:t>uγ</m:t>
                                      </w:ins>
                                    </m:r>
                                  </m:sub>
                                </m:sSub>
                                <m:r>
                                  <w:ins w:id="155" w:author="Author">
                                    <w:rPr>
                                      <w:rFonts w:ascii="Cambria Math" w:hAnsi="Cambria Math"/>
                                      <w:noProof/>
                                    </w:rPr>
                                    <m:t xml:space="preserve">, </m:t>
                                  </w:ins>
                                </m:r>
                                <m:sSub>
                                  <m:sSubPr>
                                    <m:ctrlPr>
                                      <w:ins w:id="156" w:author="Author">
                                        <w:rPr>
                                          <w:rFonts w:ascii="Cambria Math" w:hAnsi="Cambria Math"/>
                                          <w:i/>
                                          <w:noProof/>
                                        </w:rPr>
                                      </w:ins>
                                    </m:ctrlPr>
                                  </m:sSubPr>
                                  <m:e>
                                    <m:r>
                                      <w:ins w:id="157" w:author="Author">
                                        <w:rPr>
                                          <w:rFonts w:ascii="Cambria Math" w:hAnsi="Cambria Math"/>
                                          <w:noProof/>
                                        </w:rPr>
                                        <m:t>QEX</m:t>
                                      </w:ins>
                                    </m:r>
                                  </m:e>
                                  <m:sub>
                                    <m:r>
                                      <w:ins w:id="158" w:author="Author">
                                        <w:rPr>
                                          <w:rFonts w:ascii="Cambria Math" w:hAnsi="Cambria Math"/>
                                          <w:noProof/>
                                        </w:rPr>
                                        <m:t>uγ</m:t>
                                      </w:ins>
                                    </m:r>
                                  </m:sub>
                                </m:sSub>
                                <m:r>
                                  <w:ins w:id="159" w:author="Author">
                                    <w:rPr>
                                      <w:rFonts w:ascii="Cambria Math" w:hAnsi="Cambria Math"/>
                                      <w:noProof/>
                                    </w:rPr>
                                    <m:t>,</m:t>
                                  </w:ins>
                                </m:r>
                                <m:d>
                                  <m:dPr>
                                    <m:ctrlPr>
                                      <w:ins w:id="160" w:author="Author">
                                        <w:rPr>
                                          <w:rFonts w:ascii="Cambria Math" w:hAnsi="Cambria Math"/>
                                          <w:i/>
                                          <w:noProof/>
                                        </w:rPr>
                                      </w:ins>
                                    </m:ctrlPr>
                                  </m:dPr>
                                  <m:e>
                                    <m:sSub>
                                      <m:sSubPr>
                                        <m:ctrlPr>
                                          <w:ins w:id="161" w:author="Author">
                                            <w:rPr>
                                              <w:rFonts w:ascii="Cambria Math" w:hAnsi="Cambria Math"/>
                                              <w:i/>
                                              <w:noProof/>
                                            </w:rPr>
                                          </w:ins>
                                        </m:ctrlPr>
                                      </m:sSubPr>
                                      <m:e>
                                        <m:r>
                                          <w:ins w:id="162" w:author="Author">
                                            <w:rPr>
                                              <w:rFonts w:ascii="Cambria Math" w:hAnsi="Cambria Math"/>
                                              <w:noProof/>
                                            </w:rPr>
                                            <m:t>qAA</m:t>
                                          </w:ins>
                                        </m:r>
                                      </m:e>
                                      <m:sub>
                                        <m:r>
                                          <w:ins w:id="163" w:author="Author">
                                            <w:rPr>
                                              <w:rFonts w:ascii="Cambria Math" w:hAnsi="Cambria Math"/>
                                              <w:noProof/>
                                            </w:rPr>
                                            <m:t>uγ</m:t>
                                          </w:ins>
                                        </m:r>
                                      </m:sub>
                                    </m:sSub>
                                    <m:r>
                                      <w:ins w:id="164" w:author="Author">
                                        <w:rPr>
                                          <w:rFonts w:ascii="Cambria Math" w:hAnsi="Cambria Math"/>
                                          <w:noProof/>
                                        </w:rPr>
                                        <m:t>×DISP×</m:t>
                                      </w:ins>
                                    </m:r>
                                    <m:d>
                                      <m:dPr>
                                        <m:ctrlPr>
                                          <w:ins w:id="165" w:author="Author">
                                            <w:rPr>
                                              <w:rFonts w:ascii="Cambria Math" w:hAnsi="Cambria Math"/>
                                              <w:i/>
                                              <w:noProof/>
                                            </w:rPr>
                                          </w:ins>
                                        </m:ctrlPr>
                                      </m:dPr>
                                      <m:e>
                                        <m:r>
                                          <w:ins w:id="166" w:author="Author">
                                            <w:rPr>
                                              <w:rFonts w:ascii="Cambria Math" w:hAnsi="Cambria Math"/>
                                              <w:noProof/>
                                            </w:rPr>
                                            <m:t>1-</m:t>
                                          </w:ins>
                                        </m:r>
                                        <m:sSub>
                                          <m:sSubPr>
                                            <m:ctrlPr>
                                              <w:ins w:id="167" w:author="Author">
                                                <w:rPr>
                                                  <w:rFonts w:ascii="Cambria Math" w:hAnsi="Cambria Math"/>
                                                  <w:i/>
                                                  <w:noProof/>
                                                </w:rPr>
                                              </w:ins>
                                            </m:ctrlPr>
                                          </m:sSubPr>
                                          <m:e>
                                            <m:r>
                                              <w:ins w:id="168" w:author="Author">
                                                <w:rPr>
                                                  <w:rFonts w:ascii="Cambria Math" w:hAnsi="Cambria Math"/>
                                                  <w:noProof/>
                                                </w:rPr>
                                                <m:t>FSS</m:t>
                                              </w:ins>
                                            </m:r>
                                          </m:e>
                                          <m:sub>
                                            <m:r>
                                              <w:ins w:id="169" w:author="Author">
                                                <w:rPr>
                                                  <w:rFonts w:ascii="Cambria Math" w:hAnsi="Cambria Math"/>
                                                  <w:noProof/>
                                                </w:rPr>
                                                <m:t>uγ</m:t>
                                              </w:ins>
                                            </m:r>
                                          </m:sub>
                                        </m:sSub>
                                      </m:e>
                                    </m:d>
                                  </m:e>
                                </m:d>
                              </m:e>
                            </m:d>
                          </m:e>
                        </m:nary>
                        <m:r>
                          <w:ins w:id="170" w:author="Author">
                            <w:rPr>
                              <w:rFonts w:ascii="Cambria Math" w:hAnsi="Cambria Math"/>
                              <w:noProof/>
                            </w:rPr>
                            <m:t>, 0</m:t>
                          </w:ins>
                        </m:r>
                      </m:e>
                    </m:d>
                  </m:num>
                  <m:den>
                    <m:sSub>
                      <m:sSubPr>
                        <m:ctrlPr>
                          <w:ins w:id="171" w:author="Author">
                            <w:rPr>
                              <w:rFonts w:ascii="Cambria Math" w:hAnsi="Cambria Math"/>
                              <w:i/>
                              <w:noProof/>
                            </w:rPr>
                          </w:ins>
                        </m:ctrlPr>
                      </m:sSubPr>
                      <m:e>
                        <m:r>
                          <w:ins w:id="172" w:author="Author">
                            <w:rPr>
                              <w:rFonts w:ascii="Cambria Math" w:hAnsi="Cambria Math"/>
                              <w:noProof/>
                            </w:rPr>
                            <m:t>QCOB</m:t>
                          </w:ins>
                        </m:r>
                      </m:e>
                      <m:sub>
                        <m:r>
                          <w:ins w:id="173" w:author="Author">
                            <w:rPr>
                              <w:rFonts w:ascii="Cambria Math" w:hAnsi="Cambria Math"/>
                              <w:noProof/>
                            </w:rPr>
                            <m:t>uγ</m:t>
                          </w:ins>
                        </m:r>
                      </m:sub>
                    </m:sSub>
                  </m:den>
                </m:f>
              </m:oMath>
            </m:oMathPara>
          </w:p>
          <w:p w14:paraId="728DB746" w14:textId="77777777" w:rsidR="000D7FC6" w:rsidDel="002E411A" w:rsidRDefault="000D7FC6" w:rsidP="00B658FD">
            <w:pPr>
              <w:jc w:val="both"/>
              <w:rPr>
                <w:ins w:id="174" w:author="Author"/>
                <w:del w:id="175" w:author="Author"/>
                <w:sz w:val="22"/>
                <w:szCs w:val="22"/>
              </w:rPr>
            </w:pPr>
          </w:p>
          <w:p w14:paraId="41BCDB8F" w14:textId="77777777" w:rsidR="000D7FC6" w:rsidRPr="000D7FC6" w:rsidRDefault="000D7FC6">
            <w:pPr>
              <w:jc w:val="both"/>
              <w:rPr>
                <w:ins w:id="176" w:author="Author"/>
                <w:sz w:val="22"/>
                <w:szCs w:val="22"/>
                <w:rPrChange w:id="177" w:author="Author">
                  <w:rPr>
                    <w:ins w:id="178" w:author="Author"/>
                  </w:rPr>
                </w:rPrChange>
              </w:rPr>
              <w:pPrChange w:id="179" w:author="Author">
                <w:pPr>
                  <w:pStyle w:val="ListParagraph"/>
                  <w:numPr>
                    <w:ilvl w:val="1"/>
                    <w:numId w:val="7"/>
                  </w:numPr>
                  <w:tabs>
                    <w:tab w:val="num" w:pos="-1049"/>
                  </w:tabs>
                  <w:ind w:left="-1049" w:hanging="709"/>
                  <w:jc w:val="both"/>
                </w:pPr>
              </w:pPrChange>
            </w:pPr>
            <w:ins w:id="180" w:author="Author">
              <w:r w:rsidRPr="000D7FC6">
                <w:rPr>
                  <w:sz w:val="22"/>
                  <w:szCs w:val="22"/>
                  <w:rPrChange w:id="181" w:author="Author">
                    <w:rPr/>
                  </w:rPrChange>
                </w:rPr>
                <w:t>Where:</w:t>
              </w:r>
            </w:ins>
          </w:p>
          <w:p w14:paraId="053FE2C8" w14:textId="77777777" w:rsidR="000D7FC6" w:rsidRDefault="000D7FC6">
            <w:pPr>
              <w:pStyle w:val="ListParagraph"/>
              <w:numPr>
                <w:ilvl w:val="2"/>
                <w:numId w:val="70"/>
              </w:numPr>
              <w:spacing w:before="200" w:after="200"/>
              <w:rPr>
                <w:ins w:id="182" w:author="Author"/>
                <w:sz w:val="22"/>
                <w:szCs w:val="22"/>
              </w:rPr>
              <w:pPrChange w:id="183" w:author="Author">
                <w:pPr>
                  <w:pStyle w:val="ListParagraph"/>
                  <w:numPr>
                    <w:ilvl w:val="2"/>
                    <w:numId w:val="7"/>
                  </w:numPr>
                  <w:tabs>
                    <w:tab w:val="num" w:pos="-1038"/>
                  </w:tabs>
                  <w:spacing w:before="200" w:after="200"/>
                  <w:ind w:left="-2019" w:firstLine="261"/>
                </w:pPr>
              </w:pPrChange>
            </w:pPr>
            <w:ins w:id="184" w:author="Author">
              <w:r>
                <w:rPr>
                  <w:sz w:val="22"/>
                  <w:szCs w:val="22"/>
                </w:rPr>
                <w:lastRenderedPageBreak/>
                <w:t>QCOB</w:t>
              </w:r>
              <w:r>
                <w:rPr>
                  <w:sz w:val="22"/>
                  <w:szCs w:val="22"/>
                  <w:vertAlign w:val="subscript"/>
                </w:rPr>
                <w:t>Ωγ</w:t>
              </w:r>
              <w:r>
                <w:rPr>
                  <w:sz w:val="22"/>
                  <w:szCs w:val="22"/>
                </w:rPr>
                <w:t xml:space="preserve"> is the Obligated Capacity Quantity for Capacity Market Unit, Ω, in Imbalance Settlement Period, γ;</w:t>
              </w:r>
            </w:ins>
          </w:p>
          <w:p w14:paraId="7EEBC05C" w14:textId="77777777" w:rsidR="000D7FC6" w:rsidRDefault="000D7FC6">
            <w:pPr>
              <w:pStyle w:val="ListParagraph"/>
              <w:numPr>
                <w:ilvl w:val="2"/>
                <w:numId w:val="70"/>
              </w:numPr>
              <w:spacing w:before="200" w:after="200"/>
              <w:rPr>
                <w:ins w:id="185" w:author="Author"/>
                <w:sz w:val="22"/>
                <w:szCs w:val="22"/>
              </w:rPr>
              <w:pPrChange w:id="186" w:author="Author">
                <w:pPr>
                  <w:pStyle w:val="ListParagraph"/>
                  <w:numPr>
                    <w:ilvl w:val="2"/>
                    <w:numId w:val="7"/>
                  </w:numPr>
                  <w:tabs>
                    <w:tab w:val="num" w:pos="-1038"/>
                  </w:tabs>
                  <w:spacing w:before="200" w:after="200"/>
                  <w:ind w:left="-2019" w:firstLine="261"/>
                </w:pPr>
              </w:pPrChange>
            </w:pPr>
            <w:ins w:id="187" w:author="Author">
              <w:r>
                <w:rPr>
                  <w:sz w:val="22"/>
                  <w:szCs w:val="22"/>
                </w:rPr>
                <w:t>QDLF</w:t>
              </w:r>
              <w:r>
                <w:rPr>
                  <w:sz w:val="22"/>
                  <w:szCs w:val="22"/>
                  <w:vertAlign w:val="subscript"/>
                </w:rPr>
                <w:t>uγ</w:t>
              </w:r>
              <w:r>
                <w:rPr>
                  <w:sz w:val="22"/>
                  <w:szCs w:val="22"/>
                </w:rPr>
                <w:t xml:space="preserve"> is the Loss-Adjusted Dispatch Quantity for Generator Unit, u, in Imbalance Settlement Period, γ;</w:t>
              </w:r>
            </w:ins>
          </w:p>
          <w:p w14:paraId="353F81FC" w14:textId="77777777" w:rsidR="000D7FC6" w:rsidRDefault="000D7FC6">
            <w:pPr>
              <w:pStyle w:val="ListParagraph"/>
              <w:numPr>
                <w:ilvl w:val="2"/>
                <w:numId w:val="70"/>
              </w:numPr>
              <w:spacing w:before="200" w:after="200"/>
              <w:rPr>
                <w:ins w:id="188" w:author="Author"/>
                <w:sz w:val="22"/>
                <w:szCs w:val="22"/>
              </w:rPr>
              <w:pPrChange w:id="189" w:author="Author">
                <w:pPr>
                  <w:pStyle w:val="ListParagraph"/>
                  <w:numPr>
                    <w:ilvl w:val="2"/>
                    <w:numId w:val="7"/>
                  </w:numPr>
                  <w:tabs>
                    <w:tab w:val="num" w:pos="-1038"/>
                  </w:tabs>
                  <w:spacing w:before="200" w:after="200"/>
                  <w:ind w:left="-2019" w:firstLine="261"/>
                </w:pPr>
              </w:pPrChange>
            </w:pPr>
            <w:ins w:id="190" w:author="Author">
              <w:r>
                <w:rPr>
                  <w:sz w:val="22"/>
                  <w:szCs w:val="22"/>
                </w:rPr>
                <w:t>QEX</w:t>
              </w:r>
              <w:r>
                <w:rPr>
                  <w:sz w:val="22"/>
                  <w:szCs w:val="22"/>
                  <w:vertAlign w:val="subscript"/>
                </w:rPr>
                <w:t>uγ</w:t>
              </w:r>
              <w:r>
                <w:rPr>
                  <w:sz w:val="22"/>
                  <w:szCs w:val="22"/>
                </w:rPr>
                <w:t xml:space="preserve"> is the Ex-Ante Quantity for Generator Unit, u, in Imbalance Settlement Period, γ;</w:t>
              </w:r>
            </w:ins>
          </w:p>
          <w:p w14:paraId="606A5E10" w14:textId="77777777" w:rsidR="000D7FC6" w:rsidRPr="002E411A" w:rsidRDefault="000D7FC6" w:rsidP="000D7FC6">
            <w:pPr>
              <w:pStyle w:val="ListParagraph"/>
              <w:numPr>
                <w:ilvl w:val="2"/>
                <w:numId w:val="70"/>
              </w:numPr>
              <w:overflowPunct w:val="0"/>
              <w:autoSpaceDE w:val="0"/>
              <w:autoSpaceDN w:val="0"/>
              <w:adjustRightInd w:val="0"/>
              <w:spacing w:before="0" w:after="0" w:line="240" w:lineRule="auto"/>
              <w:textAlignment w:val="baseline"/>
              <w:rPr>
                <w:ins w:id="191" w:author="Author"/>
                <w:sz w:val="22"/>
                <w:szCs w:val="22"/>
              </w:rPr>
            </w:pPr>
            <w:ins w:id="192" w:author="Author">
              <w:r w:rsidRPr="002E411A">
                <w:rPr>
                  <w:sz w:val="22"/>
                  <w:szCs w:val="22"/>
                </w:rPr>
                <w:t>PIMB</w:t>
              </w:r>
              <w:r w:rsidRPr="000D7FC6">
                <w:rPr>
                  <w:sz w:val="22"/>
                  <w:szCs w:val="22"/>
                  <w:vertAlign w:val="subscript"/>
                  <w:rPrChange w:id="193" w:author="Author">
                    <w:rPr>
                      <w:sz w:val="22"/>
                      <w:szCs w:val="22"/>
                    </w:rPr>
                  </w:rPrChange>
                </w:rPr>
                <w:t>γ</w:t>
              </w:r>
              <w:r w:rsidRPr="002E411A">
                <w:rPr>
                  <w:sz w:val="22"/>
                  <w:szCs w:val="22"/>
                </w:rPr>
                <w:t xml:space="preserve"> is the Imbalance Settlement Price in Imbalance Settlement Period, γ, calculated in accordance with Chapter E (Imbalance Pricing);</w:t>
              </w:r>
            </w:ins>
          </w:p>
          <w:p w14:paraId="6BA76A85" w14:textId="77777777" w:rsidR="000D7FC6" w:rsidRDefault="000D7FC6">
            <w:pPr>
              <w:pStyle w:val="ListParagraph"/>
              <w:numPr>
                <w:ilvl w:val="2"/>
                <w:numId w:val="70"/>
              </w:numPr>
              <w:spacing w:before="200" w:after="200"/>
              <w:rPr>
                <w:ins w:id="194" w:author="Author"/>
                <w:sz w:val="22"/>
                <w:szCs w:val="22"/>
              </w:rPr>
              <w:pPrChange w:id="195" w:author="Author">
                <w:pPr>
                  <w:pStyle w:val="ListParagraph"/>
                  <w:numPr>
                    <w:ilvl w:val="2"/>
                    <w:numId w:val="7"/>
                  </w:numPr>
                  <w:tabs>
                    <w:tab w:val="num" w:pos="-1038"/>
                  </w:tabs>
                  <w:spacing w:before="200" w:after="200"/>
                  <w:ind w:left="-2019" w:firstLine="261"/>
                </w:pPr>
              </w:pPrChange>
            </w:pPr>
            <w:ins w:id="196" w:author="Author">
              <w:r w:rsidRPr="002E411A">
                <w:rPr>
                  <w:sz w:val="22"/>
                  <w:szCs w:val="22"/>
                </w:rPr>
                <w:t>PSTR</w:t>
              </w:r>
              <w:r w:rsidRPr="000D7FC6">
                <w:rPr>
                  <w:sz w:val="22"/>
                  <w:szCs w:val="22"/>
                  <w:vertAlign w:val="subscript"/>
                  <w:rPrChange w:id="197" w:author="Author">
                    <w:rPr>
                      <w:sz w:val="22"/>
                      <w:szCs w:val="22"/>
                    </w:rPr>
                  </w:rPrChange>
                </w:rPr>
                <w:t>m</w:t>
              </w:r>
              <w:r w:rsidRPr="002E411A">
                <w:rPr>
                  <w:sz w:val="22"/>
                  <w:szCs w:val="22"/>
                </w:rPr>
                <w:t xml:space="preserve"> is the Strike Price for Month, m, which contains Imbalance Settlement Period, γ</w:t>
              </w:r>
              <w:r>
                <w:rPr>
                  <w:sz w:val="22"/>
                  <w:szCs w:val="22"/>
                </w:rPr>
                <w:t>;</w:t>
              </w:r>
            </w:ins>
          </w:p>
          <w:p w14:paraId="10AE60F0" w14:textId="77777777" w:rsidR="000D7FC6" w:rsidRDefault="000D7FC6">
            <w:pPr>
              <w:pStyle w:val="ListParagraph"/>
              <w:numPr>
                <w:ilvl w:val="2"/>
                <w:numId w:val="70"/>
              </w:numPr>
              <w:spacing w:before="200" w:after="200"/>
              <w:rPr>
                <w:ins w:id="198" w:author="Author"/>
                <w:sz w:val="22"/>
                <w:szCs w:val="22"/>
              </w:rPr>
              <w:pPrChange w:id="199" w:author="Author">
                <w:pPr>
                  <w:pStyle w:val="ListParagraph"/>
                  <w:numPr>
                    <w:ilvl w:val="2"/>
                    <w:numId w:val="7"/>
                  </w:numPr>
                  <w:tabs>
                    <w:tab w:val="num" w:pos="-1038"/>
                  </w:tabs>
                  <w:spacing w:before="200" w:after="200"/>
                  <w:ind w:left="-2019" w:firstLine="261"/>
                </w:pPr>
              </w:pPrChange>
            </w:pPr>
            <w:ins w:id="200" w:author="Author">
              <w:r>
                <w:rPr>
                  <w:sz w:val="22"/>
                  <w:szCs w:val="22"/>
                </w:rPr>
                <w:t>DISP is the Imbalance Settlement Period Duration;</w:t>
              </w:r>
            </w:ins>
          </w:p>
          <w:p w14:paraId="0CC98AF7" w14:textId="77777777" w:rsidR="000D7FC6" w:rsidRDefault="000D7FC6">
            <w:pPr>
              <w:pStyle w:val="ListParagraph"/>
              <w:numPr>
                <w:ilvl w:val="2"/>
                <w:numId w:val="70"/>
              </w:numPr>
              <w:spacing w:before="200" w:after="200"/>
              <w:rPr>
                <w:ins w:id="201" w:author="Author"/>
                <w:sz w:val="22"/>
                <w:szCs w:val="22"/>
              </w:rPr>
              <w:pPrChange w:id="202" w:author="Author">
                <w:pPr>
                  <w:pStyle w:val="ListParagraph"/>
                  <w:numPr>
                    <w:ilvl w:val="2"/>
                    <w:numId w:val="7"/>
                  </w:numPr>
                  <w:tabs>
                    <w:tab w:val="num" w:pos="-1038"/>
                  </w:tabs>
                  <w:spacing w:before="200" w:after="200"/>
                  <w:ind w:left="-2019" w:firstLine="261"/>
                </w:pPr>
              </w:pPrChange>
            </w:pPr>
            <w:ins w:id="203" w:author="Author">
              <w:r>
                <w:rPr>
                  <w:sz w:val="22"/>
                  <w:szCs w:val="22"/>
                </w:rPr>
                <w:t>FSS</w:t>
              </w:r>
              <w:r>
                <w:rPr>
                  <w:sz w:val="22"/>
                  <w:szCs w:val="22"/>
                  <w:vertAlign w:val="subscript"/>
                </w:rPr>
                <w:t>uγ</w:t>
              </w:r>
              <w:r>
                <w:rPr>
                  <w:sz w:val="22"/>
                  <w:szCs w:val="22"/>
                </w:rPr>
                <w:t xml:space="preserve"> is the System Service Flag for Generator Unit, u, in Imbalance Settlement Period, γ; and</w:t>
              </w:r>
            </w:ins>
          </w:p>
          <w:p w14:paraId="2AE4ECEA" w14:textId="77777777" w:rsidR="000D7FC6" w:rsidRDefault="00FC4ABC">
            <w:pPr>
              <w:pStyle w:val="ListParagraph"/>
              <w:numPr>
                <w:ilvl w:val="2"/>
                <w:numId w:val="70"/>
              </w:numPr>
              <w:spacing w:before="200" w:after="200"/>
              <w:rPr>
                <w:ins w:id="204" w:author="Author"/>
                <w:sz w:val="22"/>
                <w:szCs w:val="22"/>
              </w:rPr>
              <w:pPrChange w:id="205" w:author="Author">
                <w:pPr>
                  <w:pStyle w:val="ListParagraph"/>
                  <w:numPr>
                    <w:ilvl w:val="2"/>
                    <w:numId w:val="7"/>
                  </w:numPr>
                  <w:tabs>
                    <w:tab w:val="num" w:pos="-1038"/>
                  </w:tabs>
                  <w:spacing w:before="200" w:after="200"/>
                  <w:ind w:left="-2019" w:firstLine="261"/>
                </w:pPr>
              </w:pPrChange>
            </w:pPr>
            <m:oMath>
              <m:nary>
                <m:naryPr>
                  <m:chr m:val="∑"/>
                  <m:limLoc m:val="undOvr"/>
                  <m:supHide m:val="1"/>
                  <m:ctrlPr>
                    <w:ins w:id="206" w:author="Author">
                      <w:rPr>
                        <w:rFonts w:ascii="Cambria Math" w:hAnsi="Cambria Math"/>
                        <w:i/>
                        <w:noProof/>
                        <w:sz w:val="24"/>
                        <w:lang w:val="en-IE"/>
                      </w:rPr>
                    </w:ins>
                  </m:ctrlPr>
                </m:naryPr>
                <m:sub>
                  <m:r>
                    <w:ins w:id="207" w:author="Author">
                      <w:rPr>
                        <w:rFonts w:ascii="Cambria Math" w:hAnsi="Cambria Math"/>
                        <w:noProof/>
                      </w:rPr>
                      <m:t xml:space="preserve">u ∈ </m:t>
                    </w:ins>
                  </m:r>
                  <m:r>
                    <w:ins w:id="208" w:author="Author">
                      <m:rPr>
                        <m:sty m:val="p"/>
                      </m:rPr>
                      <w:rPr>
                        <w:rFonts w:ascii="Cambria Math" w:hAnsi="Cambria Math"/>
                        <w:noProof/>
                      </w:rPr>
                      <m:t>Ω</m:t>
                    </w:ins>
                  </m:r>
                </m:sub>
                <m:sup/>
                <m:e>
                  <m:r>
                    <w:ins w:id="209" w:author="Author">
                      <w:rPr>
                        <w:rFonts w:ascii="Cambria Math" w:hAnsi="Cambria Math"/>
                        <w:noProof/>
                      </w:rPr>
                      <m:t xml:space="preserve"> </m:t>
                    </w:ins>
                  </m:r>
                </m:e>
              </m:nary>
            </m:oMath>
            <w:ins w:id="210" w:author="Author">
              <w:r w:rsidR="000D7FC6">
                <w:rPr>
                  <w:sz w:val="22"/>
                  <w:szCs w:val="22"/>
                </w:rPr>
                <w:t xml:space="preserve">is a summation over all Generator Units, u, which comprise the Capacity Market Unit, </w:t>
              </w:r>
              <w:r w:rsidR="000D7FC6">
                <w:rPr>
                  <w:rFonts w:ascii="Calibri" w:hAnsi="Calibri" w:cs="Calibri"/>
                  <w:sz w:val="22"/>
                  <w:szCs w:val="22"/>
                </w:rPr>
                <w:t>Ω</w:t>
              </w:r>
              <w:r w:rsidR="000D7FC6">
                <w:rPr>
                  <w:sz w:val="22"/>
                  <w:szCs w:val="22"/>
                </w:rPr>
                <w:t>.</w:t>
              </w:r>
            </w:ins>
          </w:p>
          <w:p w14:paraId="2B6195EA" w14:textId="77777777" w:rsidR="000D7FC6" w:rsidRDefault="000D7FC6" w:rsidP="00B658FD">
            <w:pPr>
              <w:jc w:val="both"/>
              <w:rPr>
                <w:sz w:val="22"/>
                <w:szCs w:val="22"/>
                <w:lang w:val="en-IE"/>
              </w:rPr>
            </w:pPr>
          </w:p>
          <w:p w14:paraId="59C101BB" w14:textId="77777777" w:rsidR="000D7FC6" w:rsidRDefault="000D7FC6" w:rsidP="00B658FD">
            <w:pPr>
              <w:jc w:val="both"/>
              <w:rPr>
                <w:sz w:val="22"/>
                <w:szCs w:val="22"/>
                <w:lang w:val="en-IE"/>
              </w:rPr>
            </w:pPr>
            <w:r>
              <w:rPr>
                <w:sz w:val="22"/>
                <w:szCs w:val="22"/>
                <w:lang w:val="en-IE"/>
              </w:rPr>
              <w:t>Glossary (excerpt):</w:t>
            </w:r>
          </w:p>
          <w:p w14:paraId="5C6C46F6" w14:textId="77777777" w:rsidR="000D7FC6" w:rsidRDefault="000D7FC6" w:rsidP="00B658FD">
            <w:pPr>
              <w:jc w:val="both"/>
              <w:rPr>
                <w:sz w:val="22"/>
                <w:szCs w:val="22"/>
                <w:lang w:val="en-IE"/>
              </w:rPr>
            </w:pPr>
          </w:p>
          <w:tbl>
            <w:tblPr>
              <w:tblStyle w:val="TableGrid"/>
              <w:tblW w:w="0" w:type="auto"/>
              <w:tblLayout w:type="fixed"/>
              <w:tblLook w:val="04A0" w:firstRow="1" w:lastRow="0" w:firstColumn="1" w:lastColumn="0" w:noHBand="0" w:noVBand="1"/>
            </w:tblPr>
            <w:tblGrid>
              <w:gridCol w:w="1802"/>
              <w:gridCol w:w="1802"/>
              <w:gridCol w:w="1802"/>
              <w:gridCol w:w="1803"/>
              <w:gridCol w:w="1803"/>
            </w:tblGrid>
            <w:tr w:rsidR="000D7FC6" w14:paraId="61A9EC96" w14:textId="77777777" w:rsidTr="00B658FD">
              <w:tc>
                <w:tcPr>
                  <w:tcW w:w="1802" w:type="dxa"/>
                </w:tcPr>
                <w:p w14:paraId="40EB3803" w14:textId="77777777" w:rsidR="000D7FC6" w:rsidRDefault="000D7FC6" w:rsidP="00B658FD">
                  <w:pPr>
                    <w:jc w:val="both"/>
                    <w:rPr>
                      <w:sz w:val="22"/>
                      <w:szCs w:val="22"/>
                      <w:lang w:val="en-IE"/>
                    </w:rPr>
                  </w:pPr>
                  <w:r>
                    <w:rPr>
                      <w:sz w:val="22"/>
                      <w:szCs w:val="22"/>
                      <w:lang w:val="en-IE"/>
                    </w:rPr>
                    <w:t>Variable</w:t>
                  </w:r>
                </w:p>
              </w:tc>
              <w:tc>
                <w:tcPr>
                  <w:tcW w:w="1802" w:type="dxa"/>
                </w:tcPr>
                <w:p w14:paraId="1AD0B378" w14:textId="77777777" w:rsidR="000D7FC6" w:rsidRDefault="00FC4ABC" w:rsidP="00B658FD">
                  <w:pPr>
                    <w:jc w:val="both"/>
                    <w:rPr>
                      <w:sz w:val="22"/>
                      <w:szCs w:val="22"/>
                      <w:lang w:val="en-IE"/>
                    </w:rPr>
                  </w:pPr>
                  <m:oMathPara>
                    <m:oMath>
                      <m:sSub>
                        <m:sSubPr>
                          <m:ctrlPr>
                            <w:rPr>
                              <w:rFonts w:ascii="Cambria Math" w:hAnsi="Cambria Math"/>
                              <w:i/>
                              <w:noProof/>
                              <w:sz w:val="22"/>
                              <w:lang w:val="en-IE" w:eastAsia="en-IE"/>
                            </w:rPr>
                          </m:ctrlPr>
                        </m:sSubPr>
                        <m:e>
                          <m:r>
                            <w:rPr>
                              <w:rFonts w:ascii="Cambria Math" w:hAnsi="Cambria Math"/>
                              <w:noProof/>
                            </w:rPr>
                            <m:t>FNDDS</m:t>
                          </m:r>
                        </m:e>
                        <m:sub>
                          <m:r>
                            <m:rPr>
                              <m:sty m:val="p"/>
                            </m:rPr>
                            <w:rPr>
                              <w:rFonts w:ascii="Cambria Math" w:hAnsi="Cambria Math"/>
                              <w:szCs w:val="22"/>
                              <w:vertAlign w:val="subscript"/>
                            </w:rPr>
                            <m:t>Ω</m:t>
                          </m:r>
                          <m:r>
                            <w:rPr>
                              <w:rFonts w:ascii="Cambria Math" w:hAnsi="Cambria Math"/>
                              <w:noProof/>
                            </w:rPr>
                            <m:t>γ</m:t>
                          </m:r>
                        </m:sub>
                      </m:sSub>
                    </m:oMath>
                  </m:oMathPara>
                </w:p>
              </w:tc>
              <w:tc>
                <w:tcPr>
                  <w:tcW w:w="1802" w:type="dxa"/>
                </w:tcPr>
                <w:p w14:paraId="5381B70B" w14:textId="77777777" w:rsidR="000D7FC6" w:rsidRDefault="000D7FC6" w:rsidP="00B658FD">
                  <w:pPr>
                    <w:jc w:val="both"/>
                    <w:rPr>
                      <w:sz w:val="22"/>
                      <w:szCs w:val="22"/>
                      <w:lang w:val="en-IE"/>
                    </w:rPr>
                  </w:pPr>
                  <w:r>
                    <w:rPr>
                      <w:sz w:val="22"/>
                      <w:szCs w:val="22"/>
                      <w:lang w:val="en-IE"/>
                    </w:rPr>
                    <w:t>Demand Side Non-Delivery Percentage</w:t>
                  </w:r>
                </w:p>
              </w:tc>
              <w:tc>
                <w:tcPr>
                  <w:tcW w:w="1803" w:type="dxa"/>
                </w:tcPr>
                <w:p w14:paraId="32580088" w14:textId="77777777" w:rsidR="000D7FC6" w:rsidRDefault="000D7FC6" w:rsidP="00B658FD">
                  <w:pPr>
                    <w:jc w:val="both"/>
                    <w:rPr>
                      <w:sz w:val="22"/>
                      <w:szCs w:val="22"/>
                      <w:lang w:val="en-IE"/>
                    </w:rPr>
                  </w:pPr>
                  <w:r>
                    <w:t xml:space="preserve">The Demand Site NonDelivery Percentage for a Capacity Market Unit, Ω, which represents one or more Generator Units, u, that are Demand Side Units, in an Imbalance Settlement Period, γ, representing the extent to which the </w:t>
                  </w:r>
                  <w:del w:id="211" w:author="Author">
                    <w:r w:rsidDel="00EC6183">
                      <w:delText>relevant System</w:delText>
                    </w:r>
                  </w:del>
                  <w:ins w:id="212" w:author="Author">
                    <w:r>
                      <w:t>Market</w:t>
                    </w:r>
                  </w:ins>
                  <w:r>
                    <w:t xml:space="preserve"> Operator determines that the Obligated Capacity Quantity was not delivered through the Demand Side Unit’s response to a Dispatch Instruction</w:t>
                  </w:r>
                  <w:ins w:id="213" w:author="Author">
                    <w:r>
                      <w:t xml:space="preserve"> in accordance with </w:t>
                    </w:r>
                    <w:r>
                      <w:lastRenderedPageBreak/>
                      <w:t>F.2.7.2</w:t>
                    </w:r>
                  </w:ins>
                  <w:del w:id="214" w:author="Author">
                    <w:r w:rsidDel="002C07B2">
                      <w:delText>.</w:delText>
                    </w:r>
                  </w:del>
                </w:p>
              </w:tc>
              <w:tc>
                <w:tcPr>
                  <w:tcW w:w="1803" w:type="dxa"/>
                </w:tcPr>
                <w:p w14:paraId="75192B95" w14:textId="77777777" w:rsidR="000D7FC6" w:rsidRDefault="000D7FC6" w:rsidP="00B658FD">
                  <w:pPr>
                    <w:jc w:val="both"/>
                    <w:rPr>
                      <w:sz w:val="22"/>
                      <w:szCs w:val="22"/>
                      <w:lang w:val="en-IE"/>
                    </w:rPr>
                  </w:pPr>
                  <w:r>
                    <w:rPr>
                      <w:sz w:val="22"/>
                      <w:szCs w:val="22"/>
                      <w:lang w:val="en-IE"/>
                    </w:rPr>
                    <w:lastRenderedPageBreak/>
                    <w:t>Factor</w:t>
                  </w:r>
                </w:p>
              </w:tc>
            </w:tr>
          </w:tbl>
          <w:p w14:paraId="4EE62144" w14:textId="77777777" w:rsidR="000D7FC6" w:rsidRDefault="000D7FC6" w:rsidP="00B658FD">
            <w:pPr>
              <w:jc w:val="both"/>
              <w:rPr>
                <w:sz w:val="22"/>
                <w:szCs w:val="22"/>
                <w:lang w:val="en-IE"/>
              </w:rPr>
            </w:pPr>
          </w:p>
          <w:p w14:paraId="6D970152" w14:textId="77777777" w:rsidR="000D7FC6" w:rsidRDefault="000D7FC6" w:rsidP="00B658FD">
            <w:pPr>
              <w:jc w:val="both"/>
              <w:rPr>
                <w:sz w:val="22"/>
                <w:szCs w:val="22"/>
                <w:lang w:val="en-IE"/>
              </w:rPr>
            </w:pPr>
            <w:r>
              <w:rPr>
                <w:sz w:val="22"/>
                <w:szCs w:val="22"/>
                <w:lang w:val="en-IE"/>
              </w:rPr>
              <w:t>Appendix M (excerpt):</w:t>
            </w:r>
          </w:p>
          <w:p w14:paraId="551A9BE7" w14:textId="77777777" w:rsidR="000D7FC6" w:rsidRDefault="000D7FC6" w:rsidP="00B658FD">
            <w:pPr>
              <w:jc w:val="both"/>
              <w:rPr>
                <w:sz w:val="22"/>
                <w:szCs w:val="22"/>
                <w:lang w:val="en-IE"/>
              </w:rPr>
            </w:pPr>
          </w:p>
          <w:p w14:paraId="78DBC328" w14:textId="77777777" w:rsidR="000D7FC6" w:rsidRDefault="000D7FC6" w:rsidP="000D7FC6">
            <w:pPr>
              <w:pStyle w:val="CERAPPENDIXLEVEL2"/>
              <w:numPr>
                <w:ilvl w:val="1"/>
                <w:numId w:val="71"/>
              </w:numPr>
            </w:pPr>
            <w:bookmarkStart w:id="215" w:name="_Toc477458075"/>
            <w:bookmarkStart w:id="216" w:name="_Toc23421826"/>
            <w:bookmarkStart w:id="217" w:name="_Toc25765656"/>
            <w:r>
              <w:t>Introduction</w:t>
            </w:r>
            <w:bookmarkEnd w:id="215"/>
            <w:bookmarkEnd w:id="216"/>
            <w:bookmarkEnd w:id="217"/>
          </w:p>
          <w:p w14:paraId="21DAD85C" w14:textId="77777777" w:rsidR="000D7FC6" w:rsidRDefault="000D7FC6" w:rsidP="000D7FC6">
            <w:pPr>
              <w:pStyle w:val="CERAPPENDIXLEVEL4"/>
              <w:numPr>
                <w:ilvl w:val="3"/>
                <w:numId w:val="72"/>
              </w:numPr>
            </w:pPr>
            <w:r>
              <w:t>This Appendix M outlines the detailed Data Record requirements for Data Transactions sent by the System Operators to the Market Operator, which are not defined in other Appendices, which are required for the settlement of the Capacity Market, and the associated high-level Data Transaction Submission Protocols.</w:t>
            </w:r>
          </w:p>
          <w:p w14:paraId="63AAFA97" w14:textId="77777777" w:rsidR="000D7FC6" w:rsidRDefault="000D7FC6" w:rsidP="000D7FC6">
            <w:pPr>
              <w:pStyle w:val="CERAPPENDIXLEVEL2"/>
              <w:numPr>
                <w:ilvl w:val="1"/>
                <w:numId w:val="71"/>
              </w:numPr>
            </w:pPr>
            <w:bookmarkStart w:id="218" w:name="_Toc477458076"/>
            <w:bookmarkStart w:id="219" w:name="_Toc23421827"/>
            <w:bookmarkStart w:id="220" w:name="_Toc25765657"/>
            <w:r>
              <w:t>Data Transactions</w:t>
            </w:r>
            <w:bookmarkEnd w:id="218"/>
            <w:bookmarkEnd w:id="219"/>
            <w:bookmarkEnd w:id="220"/>
          </w:p>
          <w:p w14:paraId="315C6366" w14:textId="77777777" w:rsidR="000D7FC6" w:rsidRDefault="000D7FC6" w:rsidP="000D7FC6">
            <w:pPr>
              <w:pStyle w:val="ListParagraph"/>
              <w:numPr>
                <w:ilvl w:val="3"/>
                <w:numId w:val="73"/>
              </w:numPr>
              <w:autoSpaceDN w:val="0"/>
              <w:spacing w:before="120" w:after="120" w:line="240" w:lineRule="auto"/>
              <w:jc w:val="both"/>
              <w:outlineLvl w:val="3"/>
              <w:rPr>
                <w:vanish/>
                <w:sz w:val="22"/>
                <w:szCs w:val="22"/>
                <w:lang w:val="en-IE"/>
              </w:rPr>
            </w:pPr>
          </w:p>
          <w:p w14:paraId="405E1327" w14:textId="77777777" w:rsidR="000D7FC6" w:rsidRDefault="000D7FC6" w:rsidP="000D7FC6">
            <w:pPr>
              <w:pStyle w:val="CERAPPENDIXLEVEL4"/>
              <w:numPr>
                <w:ilvl w:val="3"/>
                <w:numId w:val="72"/>
              </w:numPr>
            </w:pPr>
            <w:r>
              <w:t>The Data Transactions in this Appendix M include:</w:t>
            </w:r>
          </w:p>
          <w:p w14:paraId="74118380" w14:textId="77777777" w:rsidR="000D7FC6" w:rsidDel="00D40481" w:rsidRDefault="000D7FC6" w:rsidP="000D7FC6">
            <w:pPr>
              <w:pStyle w:val="CERAPPENDIXLEVEL5"/>
              <w:numPr>
                <w:ilvl w:val="4"/>
                <w:numId w:val="72"/>
              </w:numPr>
              <w:rPr>
                <w:del w:id="221" w:author="Author"/>
              </w:rPr>
            </w:pPr>
            <w:del w:id="222" w:author="Author">
              <w:r w:rsidDel="00D40481">
                <w:delText>The Demand Side Non-Delivery Percentage (FNDDS);</w:delText>
              </w:r>
            </w:del>
          </w:p>
          <w:p w14:paraId="5EEEB883" w14:textId="77777777" w:rsidR="000D7FC6" w:rsidRDefault="000D7FC6" w:rsidP="000D7FC6">
            <w:pPr>
              <w:pStyle w:val="CERAPPENDIXLEVEL5"/>
              <w:numPr>
                <w:ilvl w:val="4"/>
                <w:numId w:val="72"/>
              </w:numPr>
            </w:pPr>
            <w:r>
              <w:t>The Contract Register Data;</w:t>
            </w:r>
          </w:p>
          <w:p w14:paraId="072972E7" w14:textId="77777777" w:rsidR="000D7FC6" w:rsidRDefault="000D7FC6" w:rsidP="000D7FC6">
            <w:pPr>
              <w:pStyle w:val="CERAPPENDIXLEVEL5"/>
              <w:numPr>
                <w:ilvl w:val="4"/>
                <w:numId w:val="72"/>
              </w:numPr>
            </w:pPr>
            <w:r>
              <w:t>The Commissioned Capacity Quantity (qCCOMMISS);</w:t>
            </w:r>
          </w:p>
          <w:p w14:paraId="5C29BE51" w14:textId="77777777" w:rsidR="000D7FC6" w:rsidRDefault="000D7FC6" w:rsidP="000D7FC6">
            <w:pPr>
              <w:pStyle w:val="CERAPPENDIXLEVEL5"/>
              <w:numPr>
                <w:ilvl w:val="4"/>
                <w:numId w:val="72"/>
              </w:numPr>
            </w:pPr>
            <w:r>
              <w:t>The De-Rating Factor (FDERATE); and</w:t>
            </w:r>
          </w:p>
          <w:p w14:paraId="4876FE52" w14:textId="77777777" w:rsidR="000D7FC6" w:rsidRDefault="000D7FC6" w:rsidP="000D7FC6">
            <w:pPr>
              <w:pStyle w:val="CERAPPENDIXLEVEL5"/>
              <w:numPr>
                <w:ilvl w:val="4"/>
                <w:numId w:val="72"/>
              </w:numPr>
            </w:pPr>
            <w:r>
              <w:t>The Gross De-Rated Capacity Quantity (qCDERATEG).</w:t>
            </w:r>
          </w:p>
          <w:p w14:paraId="180761EA" w14:textId="77777777" w:rsidR="000D7FC6" w:rsidRDefault="000D7FC6" w:rsidP="000D7FC6">
            <w:pPr>
              <w:pStyle w:val="CERAPPENDIXLEVEL4"/>
              <w:numPr>
                <w:ilvl w:val="3"/>
                <w:numId w:val="72"/>
              </w:numPr>
            </w:pPr>
            <w:r>
              <w:t>Each Data Record in this Appendix M which contains Currency amounts will be denominated in the Participant’s designated Currency.</w:t>
            </w:r>
          </w:p>
          <w:p w14:paraId="6E44047A" w14:textId="77777777" w:rsidR="000D7FC6" w:rsidRDefault="000D7FC6" w:rsidP="000D7FC6">
            <w:pPr>
              <w:pStyle w:val="CERAPPENDIXLEVEL2"/>
              <w:numPr>
                <w:ilvl w:val="1"/>
                <w:numId w:val="71"/>
              </w:numPr>
            </w:pPr>
            <w:bookmarkStart w:id="223" w:name="_Toc477458077"/>
            <w:bookmarkStart w:id="224" w:name="_Toc23421828"/>
            <w:bookmarkStart w:id="225" w:name="_Toc25765658"/>
            <w:r>
              <w:t>Data Transaction and Data Records</w:t>
            </w:r>
            <w:bookmarkEnd w:id="223"/>
            <w:bookmarkEnd w:id="224"/>
            <w:bookmarkEnd w:id="225"/>
          </w:p>
          <w:p w14:paraId="426CBE8C" w14:textId="77777777" w:rsidR="000D7FC6" w:rsidDel="00D40481" w:rsidRDefault="000D7FC6" w:rsidP="00B658FD">
            <w:pPr>
              <w:pStyle w:val="CERAPPENDIXLEVEL3"/>
              <w:rPr>
                <w:del w:id="226" w:author="Author"/>
              </w:rPr>
            </w:pPr>
            <w:bookmarkStart w:id="227" w:name="_Toc477458078"/>
            <w:del w:id="228" w:author="Author">
              <w:r w:rsidDel="00D40481">
                <w:delText>Demand Side Non-Delivery Percentage Data Transaction</w:delText>
              </w:r>
              <w:bookmarkEnd w:id="227"/>
            </w:del>
          </w:p>
          <w:p w14:paraId="60D6CF02" w14:textId="77777777" w:rsidR="000D7FC6" w:rsidDel="00D40481" w:rsidRDefault="000D7FC6" w:rsidP="000D7FC6">
            <w:pPr>
              <w:pStyle w:val="ListParagraph"/>
              <w:numPr>
                <w:ilvl w:val="3"/>
                <w:numId w:val="73"/>
              </w:numPr>
              <w:autoSpaceDN w:val="0"/>
              <w:spacing w:before="120" w:after="120" w:line="240" w:lineRule="auto"/>
              <w:jc w:val="both"/>
              <w:outlineLvl w:val="3"/>
              <w:rPr>
                <w:del w:id="229" w:author="Author"/>
                <w:vanish/>
                <w:sz w:val="22"/>
                <w:szCs w:val="22"/>
                <w:lang w:val="en-IE"/>
              </w:rPr>
            </w:pPr>
          </w:p>
          <w:p w14:paraId="2BD06AE0" w14:textId="77777777" w:rsidR="000D7FC6" w:rsidDel="00D40481" w:rsidRDefault="000D7FC6" w:rsidP="000D7FC6">
            <w:pPr>
              <w:pStyle w:val="ListParagraph"/>
              <w:numPr>
                <w:ilvl w:val="3"/>
                <w:numId w:val="73"/>
              </w:numPr>
              <w:autoSpaceDN w:val="0"/>
              <w:spacing w:before="120" w:after="120" w:line="240" w:lineRule="auto"/>
              <w:jc w:val="both"/>
              <w:outlineLvl w:val="3"/>
              <w:rPr>
                <w:del w:id="230" w:author="Author"/>
                <w:vanish/>
                <w:sz w:val="22"/>
                <w:szCs w:val="22"/>
              </w:rPr>
            </w:pPr>
          </w:p>
          <w:p w14:paraId="75A0E378" w14:textId="77777777" w:rsidR="000D7FC6" w:rsidDel="00D40481" w:rsidRDefault="000D7FC6" w:rsidP="000D7FC6">
            <w:pPr>
              <w:pStyle w:val="ListParagraph"/>
              <w:numPr>
                <w:ilvl w:val="3"/>
                <w:numId w:val="73"/>
              </w:numPr>
              <w:autoSpaceDN w:val="0"/>
              <w:spacing w:before="120" w:after="120" w:line="240" w:lineRule="auto"/>
              <w:jc w:val="both"/>
              <w:outlineLvl w:val="3"/>
              <w:rPr>
                <w:del w:id="231" w:author="Author"/>
                <w:vanish/>
                <w:sz w:val="22"/>
                <w:szCs w:val="22"/>
              </w:rPr>
            </w:pPr>
          </w:p>
          <w:p w14:paraId="38437977" w14:textId="77777777" w:rsidR="000D7FC6" w:rsidDel="00D40481" w:rsidRDefault="000D7FC6" w:rsidP="000D7FC6">
            <w:pPr>
              <w:pStyle w:val="CERAPPENDIXLEVEL4"/>
              <w:numPr>
                <w:ilvl w:val="3"/>
                <w:numId w:val="72"/>
              </w:numPr>
              <w:rPr>
                <w:del w:id="232" w:author="Author"/>
              </w:rPr>
            </w:pPr>
            <w:del w:id="233" w:author="Author">
              <w:r w:rsidDel="00D40481">
                <w:delText xml:space="preserve">The Data Records for the Demand Side Non-Delivery Percentage Parameters Data Transaction are described in </w:delText>
              </w:r>
              <w:r w:rsidDel="00D40481">
                <w:rPr>
                  <w:rFonts w:eastAsiaTheme="minorHAnsi" w:cs="Arial"/>
                  <w:lang w:val="en-IE"/>
                </w:rPr>
                <w:fldChar w:fldCharType="begin"/>
              </w:r>
              <w:r w:rsidDel="00D40481">
                <w:delInstrText xml:space="preserve"> REF _Ref477446146 \h  \* MERGEFORMAT </w:delInstrText>
              </w:r>
              <w:r w:rsidDel="00D40481">
                <w:rPr>
                  <w:rFonts w:eastAsiaTheme="minorHAnsi" w:cs="Arial"/>
                  <w:lang w:val="en-IE"/>
                </w:rPr>
              </w:r>
              <w:r w:rsidDel="00D40481">
                <w:rPr>
                  <w:rFonts w:eastAsiaTheme="minorHAnsi" w:cs="Arial"/>
                  <w:lang w:val="en-IE"/>
                </w:rPr>
                <w:fldChar w:fldCharType="separate"/>
              </w:r>
              <w:r w:rsidDel="00D40481">
                <w:delText>Table 1</w:delText>
              </w:r>
              <w:r w:rsidDel="00D40481">
                <w:rPr>
                  <w:rFonts w:eastAsiaTheme="minorHAnsi" w:cs="Arial"/>
                  <w:lang w:val="en-IE"/>
                </w:rPr>
                <w:fldChar w:fldCharType="end"/>
              </w:r>
              <w:r w:rsidDel="00D40481">
                <w:delText xml:space="preserve"> and the Submission Protocol in </w:delText>
              </w:r>
              <w:r w:rsidDel="00D40481">
                <w:rPr>
                  <w:rFonts w:eastAsiaTheme="minorHAnsi" w:cs="Arial"/>
                  <w:lang w:val="en-IE"/>
                </w:rPr>
                <w:fldChar w:fldCharType="begin"/>
              </w:r>
              <w:r w:rsidDel="00D40481">
                <w:delInstrText xml:space="preserve"> REF _Ref462850252 \h  \* MERGEFORMAT </w:delInstrText>
              </w:r>
              <w:r w:rsidDel="00D40481">
                <w:rPr>
                  <w:rFonts w:eastAsiaTheme="minorHAnsi" w:cs="Arial"/>
                  <w:lang w:val="en-IE"/>
                </w:rPr>
              </w:r>
              <w:r w:rsidDel="00D40481">
                <w:rPr>
                  <w:rFonts w:eastAsiaTheme="minorHAnsi" w:cs="Arial"/>
                  <w:lang w:val="en-IE"/>
                </w:rPr>
                <w:fldChar w:fldCharType="separate"/>
              </w:r>
              <w:r w:rsidDel="00D40481">
                <w:delText>Table 2</w:delText>
              </w:r>
              <w:r w:rsidDel="00D40481">
                <w:rPr>
                  <w:rFonts w:eastAsiaTheme="minorHAnsi" w:cs="Arial"/>
                  <w:lang w:val="en-IE"/>
                </w:rPr>
                <w:fldChar w:fldCharType="end"/>
              </w:r>
              <w:r w:rsidDel="00D40481">
                <w:delText>.</w:delText>
              </w:r>
            </w:del>
          </w:p>
          <w:p w14:paraId="0F97A246" w14:textId="77777777" w:rsidR="000D7FC6" w:rsidDel="00D40481" w:rsidRDefault="000D7FC6" w:rsidP="00B658FD">
            <w:pPr>
              <w:pStyle w:val="CERBODY"/>
              <w:rPr>
                <w:del w:id="234" w:author="Author"/>
                <w:b/>
                <w:lang w:val="en-IE"/>
              </w:rPr>
            </w:pPr>
            <w:bookmarkStart w:id="235" w:name="_Ref477446146"/>
            <w:del w:id="236" w:author="Author">
              <w:r w:rsidDel="00D40481">
                <w:rPr>
                  <w:b/>
                  <w:lang w:val="en-IE"/>
                </w:rPr>
                <w:delText xml:space="preserve">Table </w:delText>
              </w:r>
              <w:r w:rsidDel="00D40481">
                <w:rPr>
                  <w:rFonts w:eastAsiaTheme="minorHAnsi" w:cs="Arial"/>
                </w:rPr>
                <w:fldChar w:fldCharType="begin"/>
              </w:r>
              <w:r w:rsidDel="00D40481">
                <w:rPr>
                  <w:b/>
                  <w:lang w:val="en-IE"/>
                </w:rPr>
                <w:delInstrText xml:space="preserve"> SEQ Table \r 1 \* ARABIC </w:delInstrText>
              </w:r>
              <w:r w:rsidDel="00D40481">
                <w:rPr>
                  <w:rFonts w:eastAsiaTheme="minorHAnsi" w:cs="Arial"/>
                </w:rPr>
                <w:fldChar w:fldCharType="separate"/>
              </w:r>
              <w:r w:rsidDel="00D40481">
                <w:rPr>
                  <w:b/>
                  <w:noProof/>
                  <w:lang w:val="en-IE"/>
                </w:rPr>
                <w:delText>1</w:delText>
              </w:r>
              <w:r w:rsidDel="00D40481">
                <w:rPr>
                  <w:rFonts w:eastAsiaTheme="minorHAnsi" w:cs="Arial"/>
                </w:rPr>
                <w:fldChar w:fldCharType="end"/>
              </w:r>
              <w:bookmarkEnd w:id="235"/>
              <w:r w:rsidDel="00D40481">
                <w:rPr>
                  <w:b/>
                  <w:lang w:val="en-IE"/>
                </w:rPr>
                <w:delText xml:space="preserve"> – Demand Side Non-Delivery Percentage Data Transaction Data Records</w:delText>
              </w:r>
            </w:del>
          </w:p>
          <w:tbl>
            <w:tblPr>
              <w:tblW w:w="7717" w:type="dxa"/>
              <w:tblInd w:w="851" w:type="dxa"/>
              <w:tblBorders>
                <w:top w:val="single" w:sz="12" w:space="0" w:color="808080"/>
                <w:bottom w:val="single" w:sz="12" w:space="0" w:color="808080"/>
                <w:insideH w:val="nil"/>
                <w:insideV w:val="nil"/>
              </w:tblBorders>
              <w:tblLayout w:type="fixed"/>
              <w:tblLook w:val="00A0" w:firstRow="1" w:lastRow="0" w:firstColumn="1" w:lastColumn="0" w:noHBand="0" w:noVBand="0"/>
            </w:tblPr>
            <w:tblGrid>
              <w:gridCol w:w="7717"/>
            </w:tblGrid>
            <w:tr w:rsidR="000D7FC6" w:rsidDel="00D40481" w14:paraId="74D9BBA1" w14:textId="77777777" w:rsidTr="00B658FD">
              <w:trPr>
                <w:cantSplit/>
                <w:del w:id="237" w:author="Author"/>
              </w:trPr>
              <w:tc>
                <w:tcPr>
                  <w:tcW w:w="7717" w:type="dxa"/>
                  <w:tcBorders>
                    <w:top w:val="single" w:sz="4" w:space="0" w:color="808080"/>
                    <w:left w:val="nil"/>
                    <w:bottom w:val="nil"/>
                    <w:right w:val="nil"/>
                  </w:tcBorders>
                  <w:hideMark/>
                </w:tcPr>
                <w:p w14:paraId="47391B51" w14:textId="77777777" w:rsidR="000D7FC6" w:rsidDel="00D40481" w:rsidRDefault="000D7FC6" w:rsidP="00B658FD">
                  <w:pPr>
                    <w:pStyle w:val="CERBODY"/>
                    <w:rPr>
                      <w:del w:id="238" w:author="Author"/>
                      <w:szCs w:val="24"/>
                      <w:lang w:val="en-IE"/>
                    </w:rPr>
                  </w:pPr>
                  <w:del w:id="239" w:author="Author">
                    <w:r w:rsidDel="00D40481">
                      <w:rPr>
                        <w:lang w:val="en-IE"/>
                      </w:rPr>
                      <w:delText>Participant Name</w:delText>
                    </w:r>
                  </w:del>
                </w:p>
              </w:tc>
            </w:tr>
            <w:tr w:rsidR="000D7FC6" w:rsidDel="00D40481" w14:paraId="7A504E89" w14:textId="77777777" w:rsidTr="00B658FD">
              <w:trPr>
                <w:cantSplit/>
                <w:del w:id="240" w:author="Author"/>
              </w:trPr>
              <w:tc>
                <w:tcPr>
                  <w:tcW w:w="7717" w:type="dxa"/>
                  <w:tcBorders>
                    <w:top w:val="nil"/>
                    <w:left w:val="nil"/>
                    <w:bottom w:val="nil"/>
                    <w:right w:val="nil"/>
                  </w:tcBorders>
                  <w:hideMark/>
                </w:tcPr>
                <w:p w14:paraId="5FFFFB15" w14:textId="77777777" w:rsidR="000D7FC6" w:rsidDel="00D40481" w:rsidRDefault="000D7FC6" w:rsidP="00B658FD">
                  <w:pPr>
                    <w:pStyle w:val="CERBODY"/>
                    <w:rPr>
                      <w:del w:id="241" w:author="Author"/>
                      <w:szCs w:val="24"/>
                      <w:lang w:val="en-IE"/>
                    </w:rPr>
                  </w:pPr>
                  <w:del w:id="242" w:author="Author">
                    <w:r w:rsidDel="00D40481">
                      <w:rPr>
                        <w:lang w:val="en-IE"/>
                      </w:rPr>
                      <w:delText>Capacity Market Unit ID</w:delText>
                    </w:r>
                  </w:del>
                </w:p>
              </w:tc>
            </w:tr>
            <w:tr w:rsidR="000D7FC6" w:rsidDel="00D40481" w14:paraId="7258AA72" w14:textId="77777777" w:rsidTr="00B658FD">
              <w:trPr>
                <w:cantSplit/>
                <w:del w:id="243" w:author="Author"/>
              </w:trPr>
              <w:tc>
                <w:tcPr>
                  <w:tcW w:w="7717" w:type="dxa"/>
                  <w:tcBorders>
                    <w:top w:val="nil"/>
                    <w:left w:val="nil"/>
                    <w:bottom w:val="nil"/>
                    <w:right w:val="nil"/>
                  </w:tcBorders>
                  <w:hideMark/>
                </w:tcPr>
                <w:p w14:paraId="75E1CBE9" w14:textId="77777777" w:rsidR="000D7FC6" w:rsidDel="00D40481" w:rsidRDefault="000D7FC6" w:rsidP="00B658FD">
                  <w:pPr>
                    <w:pStyle w:val="CERBODY"/>
                    <w:rPr>
                      <w:del w:id="244" w:author="Author"/>
                      <w:szCs w:val="24"/>
                      <w:lang w:val="en-IE"/>
                    </w:rPr>
                  </w:pPr>
                  <w:del w:id="245" w:author="Author">
                    <w:r w:rsidDel="00D40481">
                      <w:rPr>
                        <w:lang w:val="en-IE"/>
                      </w:rPr>
                      <w:delText>Trading Day</w:delText>
                    </w:r>
                  </w:del>
                </w:p>
              </w:tc>
            </w:tr>
            <w:tr w:rsidR="000D7FC6" w:rsidDel="00D40481" w14:paraId="7AF44C52" w14:textId="77777777" w:rsidTr="00B658FD">
              <w:trPr>
                <w:cantSplit/>
                <w:del w:id="246" w:author="Author"/>
              </w:trPr>
              <w:tc>
                <w:tcPr>
                  <w:tcW w:w="7717" w:type="dxa"/>
                  <w:tcBorders>
                    <w:top w:val="nil"/>
                    <w:left w:val="nil"/>
                    <w:bottom w:val="nil"/>
                    <w:right w:val="nil"/>
                  </w:tcBorders>
                  <w:hideMark/>
                </w:tcPr>
                <w:p w14:paraId="4E8FBA8B" w14:textId="77777777" w:rsidR="000D7FC6" w:rsidDel="00D40481" w:rsidRDefault="000D7FC6" w:rsidP="00B658FD">
                  <w:pPr>
                    <w:pStyle w:val="CERBODY"/>
                    <w:rPr>
                      <w:del w:id="247" w:author="Author"/>
                      <w:szCs w:val="24"/>
                      <w:lang w:val="en-IE"/>
                    </w:rPr>
                  </w:pPr>
                  <w:del w:id="248" w:author="Author">
                    <w:r w:rsidDel="00D40481">
                      <w:rPr>
                        <w:lang w:val="en-IE"/>
                      </w:rPr>
                      <w:delText>Imbalance Settlement Period</w:delText>
                    </w:r>
                  </w:del>
                </w:p>
              </w:tc>
            </w:tr>
            <w:tr w:rsidR="000D7FC6" w:rsidDel="00D40481" w14:paraId="4D46BD0E" w14:textId="77777777" w:rsidTr="00B658FD">
              <w:trPr>
                <w:cantSplit/>
                <w:del w:id="249" w:author="Author"/>
              </w:trPr>
              <w:tc>
                <w:tcPr>
                  <w:tcW w:w="7717" w:type="dxa"/>
                  <w:tcBorders>
                    <w:top w:val="nil"/>
                    <w:left w:val="nil"/>
                    <w:bottom w:val="nil"/>
                    <w:right w:val="nil"/>
                  </w:tcBorders>
                  <w:hideMark/>
                </w:tcPr>
                <w:p w14:paraId="0920E03A" w14:textId="77777777" w:rsidR="000D7FC6" w:rsidDel="00D40481" w:rsidRDefault="000D7FC6" w:rsidP="00B658FD">
                  <w:pPr>
                    <w:pStyle w:val="CERBODY"/>
                    <w:rPr>
                      <w:del w:id="250" w:author="Author"/>
                      <w:szCs w:val="24"/>
                      <w:lang w:val="en-IE"/>
                    </w:rPr>
                  </w:pPr>
                  <w:del w:id="251" w:author="Author">
                    <w:r w:rsidDel="00D40481">
                      <w:rPr>
                        <w:lang w:val="en-IE"/>
                      </w:rPr>
                      <w:delText>Demand Side Non-Delivery Percentage, FNDDS</w:delText>
                    </w:r>
                    <w:r w:rsidDel="00D40481">
                      <w:rPr>
                        <w:vertAlign w:val="subscript"/>
                        <w:lang w:val="en-IE"/>
                      </w:rPr>
                      <w:delText>Ωγ</w:delText>
                    </w:r>
                  </w:del>
                </w:p>
              </w:tc>
            </w:tr>
            <w:tr w:rsidR="000D7FC6" w:rsidDel="00D40481" w14:paraId="0E72DDBC" w14:textId="77777777" w:rsidTr="00B658FD">
              <w:trPr>
                <w:cantSplit/>
                <w:del w:id="252" w:author="Author"/>
              </w:trPr>
              <w:tc>
                <w:tcPr>
                  <w:tcW w:w="7717" w:type="dxa"/>
                  <w:tcBorders>
                    <w:top w:val="nil"/>
                    <w:left w:val="nil"/>
                    <w:bottom w:val="single" w:sz="12" w:space="0" w:color="808080"/>
                    <w:right w:val="nil"/>
                  </w:tcBorders>
                </w:tcPr>
                <w:p w14:paraId="2DCF8D77" w14:textId="77777777" w:rsidR="000D7FC6" w:rsidDel="00D40481" w:rsidRDefault="000D7FC6" w:rsidP="00B658FD">
                  <w:pPr>
                    <w:pStyle w:val="CERBODY"/>
                    <w:rPr>
                      <w:del w:id="253" w:author="Author"/>
                      <w:sz w:val="4"/>
                      <w:szCs w:val="4"/>
                      <w:lang w:val="en-IE"/>
                    </w:rPr>
                  </w:pPr>
                </w:p>
              </w:tc>
            </w:tr>
          </w:tbl>
          <w:p w14:paraId="67B11E0E" w14:textId="77777777" w:rsidR="000D7FC6" w:rsidDel="00D40481" w:rsidRDefault="000D7FC6" w:rsidP="00B658FD">
            <w:pPr>
              <w:pStyle w:val="CERBODY"/>
              <w:rPr>
                <w:del w:id="254" w:author="Author"/>
                <w:b/>
                <w:lang w:val="en-IE"/>
              </w:rPr>
            </w:pPr>
          </w:p>
          <w:p w14:paraId="10DAF819" w14:textId="77777777" w:rsidR="000D7FC6" w:rsidDel="00D40481" w:rsidRDefault="000D7FC6" w:rsidP="00B658FD">
            <w:pPr>
              <w:pStyle w:val="CERBODY"/>
              <w:rPr>
                <w:del w:id="255" w:author="Author"/>
                <w:b/>
                <w:lang w:val="en-IE"/>
              </w:rPr>
            </w:pPr>
            <w:bookmarkStart w:id="256" w:name="_Ref462850252"/>
            <w:bookmarkStart w:id="257" w:name="_Ref462850247"/>
            <w:del w:id="258" w:author="Author">
              <w:r w:rsidDel="00D40481">
                <w:rPr>
                  <w:b/>
                  <w:lang w:val="en-IE"/>
                </w:rPr>
                <w:delText xml:space="preserve">Table </w:delText>
              </w:r>
              <w:r w:rsidDel="00D40481">
                <w:rPr>
                  <w:rFonts w:eastAsiaTheme="minorHAnsi" w:cs="Arial"/>
                </w:rPr>
                <w:fldChar w:fldCharType="begin"/>
              </w:r>
              <w:r w:rsidDel="00D40481">
                <w:rPr>
                  <w:b/>
                  <w:lang w:val="en-IE"/>
                </w:rPr>
                <w:delInstrText xml:space="preserve"> SEQ Table \* ARABIC </w:delInstrText>
              </w:r>
              <w:r w:rsidDel="00D40481">
                <w:rPr>
                  <w:rFonts w:eastAsiaTheme="minorHAnsi" w:cs="Arial"/>
                </w:rPr>
                <w:fldChar w:fldCharType="separate"/>
              </w:r>
              <w:r w:rsidDel="00D40481">
                <w:rPr>
                  <w:b/>
                  <w:noProof/>
                  <w:lang w:val="en-IE"/>
                </w:rPr>
                <w:delText>2</w:delText>
              </w:r>
              <w:r w:rsidDel="00D40481">
                <w:rPr>
                  <w:rFonts w:eastAsiaTheme="minorHAnsi" w:cs="Arial"/>
                </w:rPr>
                <w:fldChar w:fldCharType="end"/>
              </w:r>
              <w:bookmarkEnd w:id="256"/>
              <w:r w:rsidDel="00D40481">
                <w:rPr>
                  <w:b/>
                  <w:lang w:val="en-IE"/>
                </w:rPr>
                <w:delText xml:space="preserve"> – Demand Side Non-Delivery Percentage Data Transaction Submission Protocol</w:delText>
              </w:r>
              <w:bookmarkEnd w:id="257"/>
            </w:del>
          </w:p>
          <w:tbl>
            <w:tblPr>
              <w:tblW w:w="7717" w:type="dxa"/>
              <w:tblInd w:w="851" w:type="dxa"/>
              <w:tblBorders>
                <w:top w:val="single" w:sz="12" w:space="0" w:color="808080"/>
                <w:bottom w:val="single" w:sz="12" w:space="0" w:color="808080"/>
                <w:insideH w:val="nil"/>
                <w:insideV w:val="nil"/>
              </w:tblBorders>
              <w:tblLayout w:type="fixed"/>
              <w:tblLook w:val="00A0" w:firstRow="1" w:lastRow="0" w:firstColumn="1" w:lastColumn="0" w:noHBand="0" w:noVBand="0"/>
            </w:tblPr>
            <w:tblGrid>
              <w:gridCol w:w="3757"/>
              <w:gridCol w:w="3960"/>
            </w:tblGrid>
            <w:tr w:rsidR="000D7FC6" w:rsidDel="00D40481" w14:paraId="6745F494" w14:textId="77777777" w:rsidTr="00B658FD">
              <w:trPr>
                <w:del w:id="259" w:author="Author"/>
              </w:trPr>
              <w:tc>
                <w:tcPr>
                  <w:tcW w:w="3757" w:type="dxa"/>
                  <w:tcBorders>
                    <w:top w:val="single" w:sz="4" w:space="0" w:color="808080"/>
                    <w:left w:val="nil"/>
                    <w:bottom w:val="nil"/>
                    <w:right w:val="nil"/>
                  </w:tcBorders>
                  <w:hideMark/>
                </w:tcPr>
                <w:p w14:paraId="3B6C97F8" w14:textId="77777777" w:rsidR="000D7FC6" w:rsidDel="00D40481" w:rsidRDefault="000D7FC6" w:rsidP="00B658FD">
                  <w:pPr>
                    <w:pStyle w:val="CERBODY"/>
                    <w:rPr>
                      <w:del w:id="260" w:author="Author"/>
                      <w:szCs w:val="24"/>
                      <w:lang w:val="en-IE"/>
                    </w:rPr>
                  </w:pPr>
                  <w:del w:id="261" w:author="Author">
                    <w:r w:rsidDel="00D40481">
                      <w:rPr>
                        <w:lang w:val="en-IE"/>
                      </w:rPr>
                      <w:delText>Sender</w:delText>
                    </w:r>
                  </w:del>
                </w:p>
              </w:tc>
              <w:tc>
                <w:tcPr>
                  <w:tcW w:w="3960" w:type="dxa"/>
                  <w:tcBorders>
                    <w:top w:val="single" w:sz="4" w:space="0" w:color="808080"/>
                    <w:left w:val="nil"/>
                    <w:bottom w:val="nil"/>
                    <w:right w:val="nil"/>
                  </w:tcBorders>
                  <w:hideMark/>
                </w:tcPr>
                <w:p w14:paraId="500EEA79" w14:textId="77777777" w:rsidR="000D7FC6" w:rsidDel="00D40481" w:rsidRDefault="000D7FC6" w:rsidP="00B658FD">
                  <w:pPr>
                    <w:pStyle w:val="CERBODY"/>
                    <w:rPr>
                      <w:del w:id="262" w:author="Author"/>
                      <w:szCs w:val="24"/>
                      <w:lang w:val="en-IE"/>
                    </w:rPr>
                  </w:pPr>
                  <w:del w:id="263" w:author="Author">
                    <w:r w:rsidDel="00D40481">
                      <w:rPr>
                        <w:lang w:val="en-IE"/>
                      </w:rPr>
                      <w:delText>System Operators</w:delText>
                    </w:r>
                  </w:del>
                </w:p>
              </w:tc>
            </w:tr>
            <w:tr w:rsidR="000D7FC6" w:rsidDel="00D40481" w14:paraId="324C07A6" w14:textId="77777777" w:rsidTr="00B658FD">
              <w:trPr>
                <w:del w:id="264" w:author="Author"/>
              </w:trPr>
              <w:tc>
                <w:tcPr>
                  <w:tcW w:w="3757" w:type="dxa"/>
                  <w:tcBorders>
                    <w:top w:val="nil"/>
                    <w:left w:val="nil"/>
                    <w:bottom w:val="nil"/>
                    <w:right w:val="nil"/>
                  </w:tcBorders>
                  <w:hideMark/>
                </w:tcPr>
                <w:p w14:paraId="01C4BCB1" w14:textId="77777777" w:rsidR="000D7FC6" w:rsidDel="00D40481" w:rsidRDefault="000D7FC6" w:rsidP="00B658FD">
                  <w:pPr>
                    <w:pStyle w:val="CERBODY"/>
                    <w:rPr>
                      <w:del w:id="265" w:author="Author"/>
                      <w:szCs w:val="24"/>
                      <w:lang w:val="en-IE"/>
                    </w:rPr>
                  </w:pPr>
                  <w:del w:id="266" w:author="Author">
                    <w:r w:rsidDel="00D40481">
                      <w:rPr>
                        <w:lang w:val="en-IE"/>
                      </w:rPr>
                      <w:delText>Recipient</w:delText>
                    </w:r>
                  </w:del>
                </w:p>
              </w:tc>
              <w:tc>
                <w:tcPr>
                  <w:tcW w:w="3960" w:type="dxa"/>
                  <w:tcBorders>
                    <w:top w:val="nil"/>
                    <w:left w:val="nil"/>
                    <w:bottom w:val="nil"/>
                    <w:right w:val="nil"/>
                  </w:tcBorders>
                  <w:hideMark/>
                </w:tcPr>
                <w:p w14:paraId="73878D7E" w14:textId="77777777" w:rsidR="000D7FC6" w:rsidDel="00D40481" w:rsidRDefault="000D7FC6" w:rsidP="00B658FD">
                  <w:pPr>
                    <w:pStyle w:val="CERBODY"/>
                    <w:rPr>
                      <w:del w:id="267" w:author="Author"/>
                      <w:szCs w:val="24"/>
                      <w:lang w:val="en-IE"/>
                    </w:rPr>
                  </w:pPr>
                  <w:del w:id="268" w:author="Author">
                    <w:r w:rsidDel="00D40481">
                      <w:rPr>
                        <w:lang w:val="en-IE"/>
                      </w:rPr>
                      <w:delText>Market Operator</w:delText>
                    </w:r>
                  </w:del>
                </w:p>
              </w:tc>
            </w:tr>
            <w:tr w:rsidR="000D7FC6" w:rsidDel="00D40481" w14:paraId="26533A9B" w14:textId="77777777" w:rsidTr="00B658FD">
              <w:trPr>
                <w:del w:id="269" w:author="Author"/>
              </w:trPr>
              <w:tc>
                <w:tcPr>
                  <w:tcW w:w="3757" w:type="dxa"/>
                  <w:tcBorders>
                    <w:top w:val="nil"/>
                    <w:left w:val="nil"/>
                    <w:bottom w:val="nil"/>
                    <w:right w:val="nil"/>
                  </w:tcBorders>
                  <w:hideMark/>
                </w:tcPr>
                <w:p w14:paraId="29CE32DD" w14:textId="77777777" w:rsidR="000D7FC6" w:rsidDel="00D40481" w:rsidRDefault="000D7FC6" w:rsidP="00B658FD">
                  <w:pPr>
                    <w:pStyle w:val="CERBODY"/>
                    <w:rPr>
                      <w:del w:id="270" w:author="Author"/>
                      <w:szCs w:val="24"/>
                      <w:lang w:val="en-IE"/>
                    </w:rPr>
                  </w:pPr>
                  <w:del w:id="271" w:author="Author">
                    <w:r w:rsidDel="00D40481">
                      <w:rPr>
                        <w:lang w:val="en-IE"/>
                      </w:rPr>
                      <w:lastRenderedPageBreak/>
                      <w:delText>Number of Data Transactions</w:delText>
                    </w:r>
                  </w:del>
                </w:p>
              </w:tc>
              <w:tc>
                <w:tcPr>
                  <w:tcW w:w="3960" w:type="dxa"/>
                  <w:tcBorders>
                    <w:top w:val="nil"/>
                    <w:left w:val="nil"/>
                    <w:bottom w:val="nil"/>
                    <w:right w:val="nil"/>
                  </w:tcBorders>
                  <w:hideMark/>
                </w:tcPr>
                <w:p w14:paraId="66820DAB" w14:textId="77777777" w:rsidR="000D7FC6" w:rsidDel="00D40481" w:rsidRDefault="000D7FC6" w:rsidP="00B658FD">
                  <w:pPr>
                    <w:pStyle w:val="CERBODY"/>
                    <w:rPr>
                      <w:del w:id="272" w:author="Author"/>
                      <w:szCs w:val="24"/>
                      <w:lang w:val="en-IE"/>
                    </w:rPr>
                  </w:pPr>
                  <w:del w:id="273" w:author="Author">
                    <w:r w:rsidDel="00D40481">
                      <w:rPr>
                        <w:lang w:val="en-IE"/>
                      </w:rPr>
                      <w:delText>One, containing data for each Capacity Market Unit which represents one or more Generator Units that are Demand Side Units, for each Imbalance Settlement Period in the relevant Trading Day.</w:delText>
                    </w:r>
                  </w:del>
                </w:p>
              </w:tc>
            </w:tr>
            <w:tr w:rsidR="000D7FC6" w:rsidDel="00D40481" w14:paraId="6EC75F16" w14:textId="77777777" w:rsidTr="00B658FD">
              <w:trPr>
                <w:del w:id="274" w:author="Author"/>
              </w:trPr>
              <w:tc>
                <w:tcPr>
                  <w:tcW w:w="3757" w:type="dxa"/>
                  <w:tcBorders>
                    <w:top w:val="nil"/>
                    <w:left w:val="nil"/>
                    <w:bottom w:val="nil"/>
                    <w:right w:val="nil"/>
                  </w:tcBorders>
                  <w:hideMark/>
                </w:tcPr>
                <w:p w14:paraId="61FC0BD9" w14:textId="77777777" w:rsidR="000D7FC6" w:rsidDel="00D40481" w:rsidRDefault="000D7FC6" w:rsidP="00B658FD">
                  <w:pPr>
                    <w:pStyle w:val="CERBODY"/>
                    <w:rPr>
                      <w:del w:id="275" w:author="Author"/>
                      <w:szCs w:val="24"/>
                      <w:lang w:val="en-IE"/>
                    </w:rPr>
                  </w:pPr>
                  <w:del w:id="276" w:author="Author">
                    <w:r w:rsidDel="00D40481">
                      <w:rPr>
                        <w:lang w:val="en-IE"/>
                      </w:rPr>
                      <w:delText>Frequency of Data Transactions</w:delText>
                    </w:r>
                  </w:del>
                </w:p>
              </w:tc>
              <w:tc>
                <w:tcPr>
                  <w:tcW w:w="3960" w:type="dxa"/>
                  <w:tcBorders>
                    <w:top w:val="nil"/>
                    <w:left w:val="nil"/>
                    <w:bottom w:val="nil"/>
                    <w:right w:val="nil"/>
                  </w:tcBorders>
                  <w:hideMark/>
                </w:tcPr>
                <w:p w14:paraId="1D5F5EDF" w14:textId="77777777" w:rsidR="000D7FC6" w:rsidDel="00D40481" w:rsidRDefault="000D7FC6" w:rsidP="00B658FD">
                  <w:pPr>
                    <w:pStyle w:val="CERBODY"/>
                    <w:rPr>
                      <w:del w:id="277" w:author="Author"/>
                      <w:szCs w:val="24"/>
                      <w:lang w:val="en-IE"/>
                    </w:rPr>
                  </w:pPr>
                  <w:del w:id="278" w:author="Author">
                    <w:r w:rsidDel="00D40481">
                      <w:rPr>
                        <w:lang w:val="en-IE"/>
                      </w:rPr>
                      <w:delText>Daily</w:delText>
                    </w:r>
                  </w:del>
                </w:p>
              </w:tc>
            </w:tr>
            <w:tr w:rsidR="000D7FC6" w:rsidDel="00D40481" w14:paraId="0F7051F9" w14:textId="77777777" w:rsidTr="00B658FD">
              <w:trPr>
                <w:del w:id="279" w:author="Author"/>
              </w:trPr>
              <w:tc>
                <w:tcPr>
                  <w:tcW w:w="3757" w:type="dxa"/>
                  <w:tcBorders>
                    <w:top w:val="nil"/>
                    <w:left w:val="nil"/>
                    <w:bottom w:val="nil"/>
                    <w:right w:val="nil"/>
                  </w:tcBorders>
                  <w:hideMark/>
                </w:tcPr>
                <w:p w14:paraId="7197B32B" w14:textId="77777777" w:rsidR="000D7FC6" w:rsidDel="00D40481" w:rsidRDefault="000D7FC6" w:rsidP="00B658FD">
                  <w:pPr>
                    <w:pStyle w:val="CERBODY"/>
                    <w:rPr>
                      <w:del w:id="280" w:author="Author"/>
                      <w:szCs w:val="24"/>
                      <w:lang w:val="en-IE"/>
                    </w:rPr>
                  </w:pPr>
                  <w:del w:id="281" w:author="Author">
                    <w:r w:rsidDel="00D40481">
                      <w:rPr>
                        <w:lang w:val="en-IE"/>
                      </w:rPr>
                      <w:delText>First Submission time</w:delText>
                    </w:r>
                  </w:del>
                </w:p>
              </w:tc>
              <w:tc>
                <w:tcPr>
                  <w:tcW w:w="3960" w:type="dxa"/>
                  <w:tcBorders>
                    <w:top w:val="nil"/>
                    <w:left w:val="nil"/>
                    <w:bottom w:val="nil"/>
                    <w:right w:val="nil"/>
                  </w:tcBorders>
                  <w:hideMark/>
                </w:tcPr>
                <w:p w14:paraId="63C17347" w14:textId="77777777" w:rsidR="000D7FC6" w:rsidDel="00D40481" w:rsidRDefault="000D7FC6" w:rsidP="00B658FD">
                  <w:pPr>
                    <w:pStyle w:val="CERBODY"/>
                    <w:rPr>
                      <w:del w:id="282" w:author="Author"/>
                      <w:szCs w:val="24"/>
                      <w:lang w:val="en-IE"/>
                    </w:rPr>
                  </w:pPr>
                  <w:del w:id="283" w:author="Author">
                    <w:r w:rsidDel="00D40481">
                      <w:rPr>
                        <w:lang w:val="en-IE"/>
                      </w:rPr>
                      <w:delText>After end of Trading Day</w:delText>
                    </w:r>
                  </w:del>
                </w:p>
              </w:tc>
            </w:tr>
            <w:tr w:rsidR="000D7FC6" w:rsidDel="00D40481" w14:paraId="4D92E6DB" w14:textId="77777777" w:rsidTr="00B658FD">
              <w:trPr>
                <w:del w:id="284" w:author="Author"/>
              </w:trPr>
              <w:tc>
                <w:tcPr>
                  <w:tcW w:w="3757" w:type="dxa"/>
                  <w:tcBorders>
                    <w:top w:val="nil"/>
                    <w:left w:val="nil"/>
                    <w:bottom w:val="nil"/>
                    <w:right w:val="nil"/>
                  </w:tcBorders>
                  <w:hideMark/>
                </w:tcPr>
                <w:p w14:paraId="63057580" w14:textId="77777777" w:rsidR="000D7FC6" w:rsidDel="00D40481" w:rsidRDefault="000D7FC6" w:rsidP="00B658FD">
                  <w:pPr>
                    <w:pStyle w:val="CERBODY"/>
                    <w:rPr>
                      <w:del w:id="285" w:author="Author"/>
                      <w:szCs w:val="24"/>
                      <w:lang w:val="en-IE"/>
                    </w:rPr>
                  </w:pPr>
                  <w:del w:id="286" w:author="Author">
                    <w:r w:rsidDel="00D40481">
                      <w:rPr>
                        <w:lang w:val="en-IE"/>
                      </w:rPr>
                      <w:delText>Last Submission time</w:delText>
                    </w:r>
                  </w:del>
                </w:p>
              </w:tc>
              <w:tc>
                <w:tcPr>
                  <w:tcW w:w="3960" w:type="dxa"/>
                  <w:tcBorders>
                    <w:top w:val="nil"/>
                    <w:left w:val="nil"/>
                    <w:bottom w:val="nil"/>
                    <w:right w:val="nil"/>
                  </w:tcBorders>
                  <w:hideMark/>
                </w:tcPr>
                <w:p w14:paraId="6379AA9B" w14:textId="77777777" w:rsidR="000D7FC6" w:rsidDel="00D40481" w:rsidRDefault="000D7FC6" w:rsidP="00B658FD">
                  <w:pPr>
                    <w:pStyle w:val="CERBODY"/>
                    <w:rPr>
                      <w:del w:id="287" w:author="Author"/>
                      <w:szCs w:val="24"/>
                      <w:lang w:val="en-IE"/>
                    </w:rPr>
                  </w:pPr>
                  <w:del w:id="288" w:author="Author">
                    <w:r w:rsidDel="00D40481">
                      <w:rPr>
                        <w:lang w:val="en-IE"/>
                      </w:rPr>
                      <w:delText xml:space="preserve">Prior to Imbalance Settlement Calculation </w:delText>
                    </w:r>
                  </w:del>
                </w:p>
              </w:tc>
            </w:tr>
            <w:tr w:rsidR="000D7FC6" w:rsidDel="00D40481" w14:paraId="3A24F78F" w14:textId="77777777" w:rsidTr="00B658FD">
              <w:trPr>
                <w:del w:id="289" w:author="Author"/>
              </w:trPr>
              <w:tc>
                <w:tcPr>
                  <w:tcW w:w="3757" w:type="dxa"/>
                  <w:tcBorders>
                    <w:top w:val="nil"/>
                    <w:left w:val="nil"/>
                    <w:bottom w:val="nil"/>
                    <w:right w:val="nil"/>
                  </w:tcBorders>
                  <w:hideMark/>
                </w:tcPr>
                <w:p w14:paraId="17AF44A4" w14:textId="77777777" w:rsidR="000D7FC6" w:rsidDel="00D40481" w:rsidRDefault="000D7FC6" w:rsidP="00B658FD">
                  <w:pPr>
                    <w:pStyle w:val="CERBODY"/>
                    <w:rPr>
                      <w:del w:id="290" w:author="Author"/>
                      <w:szCs w:val="24"/>
                      <w:lang w:val="en-IE"/>
                    </w:rPr>
                  </w:pPr>
                  <w:del w:id="291" w:author="Author">
                    <w:r w:rsidDel="00D40481">
                      <w:rPr>
                        <w:lang w:val="en-IE"/>
                      </w:rPr>
                      <w:delText>Permitted frequency of resubmission prior to last submission time</w:delText>
                    </w:r>
                  </w:del>
                </w:p>
              </w:tc>
              <w:tc>
                <w:tcPr>
                  <w:tcW w:w="3960" w:type="dxa"/>
                  <w:tcBorders>
                    <w:top w:val="nil"/>
                    <w:left w:val="nil"/>
                    <w:bottom w:val="nil"/>
                    <w:right w:val="nil"/>
                  </w:tcBorders>
                  <w:hideMark/>
                </w:tcPr>
                <w:p w14:paraId="39E8FC54" w14:textId="77777777" w:rsidR="000D7FC6" w:rsidDel="00D40481" w:rsidRDefault="000D7FC6" w:rsidP="00B658FD">
                  <w:pPr>
                    <w:pStyle w:val="CERBODY"/>
                    <w:rPr>
                      <w:del w:id="292" w:author="Author"/>
                      <w:szCs w:val="24"/>
                      <w:lang w:val="en-IE"/>
                    </w:rPr>
                  </w:pPr>
                  <w:del w:id="293" w:author="Author">
                    <w:r w:rsidDel="00D40481">
                      <w:rPr>
                        <w:lang w:val="en-IE"/>
                      </w:rPr>
                      <w:delText>Unlimited</w:delText>
                    </w:r>
                  </w:del>
                </w:p>
              </w:tc>
            </w:tr>
            <w:tr w:rsidR="000D7FC6" w:rsidDel="00D40481" w14:paraId="6235AF3D" w14:textId="77777777" w:rsidTr="00B658FD">
              <w:trPr>
                <w:del w:id="294" w:author="Author"/>
              </w:trPr>
              <w:tc>
                <w:tcPr>
                  <w:tcW w:w="3757" w:type="dxa"/>
                  <w:tcBorders>
                    <w:top w:val="nil"/>
                    <w:left w:val="nil"/>
                    <w:bottom w:val="nil"/>
                    <w:right w:val="nil"/>
                  </w:tcBorders>
                  <w:hideMark/>
                </w:tcPr>
                <w:p w14:paraId="373A0902" w14:textId="77777777" w:rsidR="000D7FC6" w:rsidDel="00D40481" w:rsidRDefault="000D7FC6" w:rsidP="00B658FD">
                  <w:pPr>
                    <w:pStyle w:val="CERBODY"/>
                    <w:rPr>
                      <w:del w:id="295" w:author="Author"/>
                      <w:szCs w:val="24"/>
                      <w:lang w:val="en-IE"/>
                    </w:rPr>
                  </w:pPr>
                  <w:del w:id="296" w:author="Author">
                    <w:r w:rsidDel="00D40481">
                      <w:rPr>
                        <w:lang w:val="en-IE"/>
                      </w:rPr>
                      <w:delText>Required resubmission subsequent to last submission time</w:delText>
                    </w:r>
                    <w:r w:rsidDel="00D40481">
                      <w:rPr>
                        <w:lang w:val="en-IE"/>
                      </w:rPr>
                      <w:tab/>
                    </w:r>
                  </w:del>
                </w:p>
              </w:tc>
              <w:tc>
                <w:tcPr>
                  <w:tcW w:w="3960" w:type="dxa"/>
                  <w:tcBorders>
                    <w:top w:val="nil"/>
                    <w:left w:val="nil"/>
                    <w:bottom w:val="nil"/>
                    <w:right w:val="nil"/>
                  </w:tcBorders>
                  <w:hideMark/>
                </w:tcPr>
                <w:p w14:paraId="48786652" w14:textId="77777777" w:rsidR="000D7FC6" w:rsidDel="00D40481" w:rsidRDefault="000D7FC6" w:rsidP="00B658FD">
                  <w:pPr>
                    <w:pStyle w:val="CERBODY"/>
                    <w:rPr>
                      <w:del w:id="297" w:author="Author"/>
                      <w:szCs w:val="24"/>
                      <w:lang w:val="en-IE"/>
                    </w:rPr>
                  </w:pPr>
                  <w:del w:id="298" w:author="Author">
                    <w:r w:rsidDel="00D40481">
                      <w:rPr>
                        <w:lang w:val="en-IE"/>
                      </w:rPr>
                      <w:delText>Prior to Imbalance Settlement Calculation and within 10 Working Days of notification to the System Operator of an upheld Settlement Query or Dispute if the error has High Materiality, or if the last Timetabled Settlement Rerun has occurred.</w:delText>
                    </w:r>
                  </w:del>
                </w:p>
                <w:p w14:paraId="4DFA3466" w14:textId="77777777" w:rsidR="000D7FC6" w:rsidDel="00D40481" w:rsidRDefault="000D7FC6" w:rsidP="00B658FD">
                  <w:pPr>
                    <w:pStyle w:val="CERBODY"/>
                    <w:rPr>
                      <w:del w:id="299" w:author="Author"/>
                      <w:lang w:val="en-IE"/>
                    </w:rPr>
                  </w:pPr>
                  <w:del w:id="300" w:author="Author">
                    <w:r w:rsidDel="00D40481">
                      <w:rPr>
                        <w:lang w:val="en-IE"/>
                      </w:rPr>
                      <w:delText>If the error has Low Materiality resubmission will occur by the deadline for data provision for Timetabled Settlement Rerun as specified in the Settlement Calendar.</w:delText>
                    </w:r>
                  </w:del>
                </w:p>
                <w:p w14:paraId="12B91A61" w14:textId="77777777" w:rsidR="000D7FC6" w:rsidDel="00D40481" w:rsidRDefault="000D7FC6" w:rsidP="00B658FD">
                  <w:pPr>
                    <w:pStyle w:val="CERBODY"/>
                    <w:rPr>
                      <w:del w:id="301" w:author="Author"/>
                      <w:szCs w:val="24"/>
                      <w:lang w:val="en-IE"/>
                    </w:rPr>
                  </w:pPr>
                  <w:del w:id="302" w:author="Author">
                    <w:r w:rsidDel="00D40481">
                      <w:rPr>
                        <w:lang w:val="en-IE"/>
                      </w:rPr>
                      <w:delText>As available prior to the deadline for data provision for Timetabled Settlement Rerun as specified in the Settlement Calendar.</w:delText>
                    </w:r>
                  </w:del>
                </w:p>
              </w:tc>
            </w:tr>
            <w:tr w:rsidR="000D7FC6" w:rsidDel="00D40481" w14:paraId="5DA3CE98" w14:textId="77777777" w:rsidTr="00B658FD">
              <w:trPr>
                <w:del w:id="303" w:author="Author"/>
              </w:trPr>
              <w:tc>
                <w:tcPr>
                  <w:tcW w:w="3757" w:type="dxa"/>
                  <w:tcBorders>
                    <w:top w:val="nil"/>
                    <w:left w:val="nil"/>
                    <w:bottom w:val="nil"/>
                    <w:right w:val="nil"/>
                  </w:tcBorders>
                  <w:hideMark/>
                </w:tcPr>
                <w:p w14:paraId="4090933F" w14:textId="77777777" w:rsidR="000D7FC6" w:rsidDel="00D40481" w:rsidRDefault="000D7FC6" w:rsidP="00B658FD">
                  <w:pPr>
                    <w:pStyle w:val="CERBODY"/>
                    <w:rPr>
                      <w:del w:id="304" w:author="Author"/>
                      <w:szCs w:val="24"/>
                      <w:lang w:val="en-IE"/>
                    </w:rPr>
                  </w:pPr>
                  <w:del w:id="305" w:author="Author">
                    <w:r w:rsidDel="00D40481">
                      <w:rPr>
                        <w:lang w:val="en-IE"/>
                      </w:rPr>
                      <w:delText>Valid Communication Channels</w:delText>
                    </w:r>
                  </w:del>
                </w:p>
              </w:tc>
              <w:tc>
                <w:tcPr>
                  <w:tcW w:w="3960" w:type="dxa"/>
                  <w:tcBorders>
                    <w:top w:val="nil"/>
                    <w:left w:val="nil"/>
                    <w:bottom w:val="nil"/>
                    <w:right w:val="nil"/>
                  </w:tcBorders>
                  <w:hideMark/>
                </w:tcPr>
                <w:p w14:paraId="056DBACC" w14:textId="77777777" w:rsidR="000D7FC6" w:rsidDel="00D40481" w:rsidRDefault="000D7FC6" w:rsidP="00B658FD">
                  <w:pPr>
                    <w:pStyle w:val="CERBODY"/>
                    <w:rPr>
                      <w:del w:id="306" w:author="Author"/>
                      <w:szCs w:val="24"/>
                      <w:lang w:val="en-IE"/>
                    </w:rPr>
                  </w:pPr>
                  <w:del w:id="307" w:author="Author">
                    <w:r w:rsidDel="00D40481">
                      <w:rPr>
                        <w:lang w:val="en-IE"/>
                      </w:rPr>
                      <w:delText>Type 2 (human to computer)/ Type 3 (computer to computer)</w:delText>
                    </w:r>
                  </w:del>
                </w:p>
              </w:tc>
            </w:tr>
            <w:tr w:rsidR="000D7FC6" w:rsidDel="00D40481" w14:paraId="57AA0946" w14:textId="77777777" w:rsidTr="00B658FD">
              <w:trPr>
                <w:del w:id="308" w:author="Author"/>
              </w:trPr>
              <w:tc>
                <w:tcPr>
                  <w:tcW w:w="3757" w:type="dxa"/>
                  <w:tcBorders>
                    <w:top w:val="nil"/>
                    <w:left w:val="nil"/>
                    <w:bottom w:val="single" w:sz="12" w:space="0" w:color="808080"/>
                    <w:right w:val="nil"/>
                  </w:tcBorders>
                  <w:hideMark/>
                </w:tcPr>
                <w:p w14:paraId="703976AE" w14:textId="77777777" w:rsidR="000D7FC6" w:rsidDel="00D40481" w:rsidRDefault="000D7FC6" w:rsidP="00B658FD">
                  <w:pPr>
                    <w:pStyle w:val="CERBODY"/>
                    <w:rPr>
                      <w:del w:id="309" w:author="Author"/>
                      <w:szCs w:val="24"/>
                      <w:lang w:val="en-IE"/>
                    </w:rPr>
                  </w:pPr>
                  <w:del w:id="310" w:author="Author">
                    <w:r w:rsidDel="00D40481">
                      <w:rPr>
                        <w:lang w:val="en-IE"/>
                      </w:rPr>
                      <w:delText xml:space="preserve">Process for data validation </w:delText>
                    </w:r>
                  </w:del>
                </w:p>
              </w:tc>
              <w:tc>
                <w:tcPr>
                  <w:tcW w:w="3960" w:type="dxa"/>
                  <w:tcBorders>
                    <w:top w:val="nil"/>
                    <w:left w:val="nil"/>
                    <w:bottom w:val="single" w:sz="12" w:space="0" w:color="808080"/>
                    <w:right w:val="nil"/>
                  </w:tcBorders>
                  <w:hideMark/>
                </w:tcPr>
                <w:p w14:paraId="678AECC4" w14:textId="77777777" w:rsidR="000D7FC6" w:rsidDel="00D40481" w:rsidRDefault="000D7FC6" w:rsidP="00B658FD">
                  <w:pPr>
                    <w:pStyle w:val="CERBODY"/>
                    <w:rPr>
                      <w:del w:id="311" w:author="Author"/>
                      <w:szCs w:val="24"/>
                      <w:lang w:val="en-IE"/>
                    </w:rPr>
                  </w:pPr>
                  <w:del w:id="312" w:author="Author">
                    <w:r w:rsidDel="00D40481">
                      <w:rPr>
                        <w:lang w:val="en-IE"/>
                      </w:rPr>
                      <w:delText>None</w:delText>
                    </w:r>
                  </w:del>
                </w:p>
              </w:tc>
            </w:tr>
          </w:tbl>
          <w:p w14:paraId="313295C0" w14:textId="77777777" w:rsidR="000D7FC6" w:rsidRDefault="000D7FC6" w:rsidP="00B658FD">
            <w:pPr>
              <w:jc w:val="both"/>
              <w:rPr>
                <w:sz w:val="22"/>
                <w:szCs w:val="22"/>
                <w:lang w:val="en-IE"/>
              </w:rPr>
            </w:pPr>
            <w:ins w:id="313" w:author="Author">
              <w:r>
                <w:rPr>
                  <w:sz w:val="22"/>
                  <w:szCs w:val="22"/>
                  <w:lang w:val="en-IE"/>
                </w:rPr>
                <w:t>Intentionally blank</w:t>
              </w:r>
            </w:ins>
          </w:p>
          <w:p w14:paraId="7CA7BFFC" w14:textId="77777777" w:rsidR="000D7FC6" w:rsidRDefault="000D7FC6" w:rsidP="00B658FD">
            <w:pPr>
              <w:jc w:val="both"/>
              <w:rPr>
                <w:sz w:val="22"/>
                <w:szCs w:val="22"/>
                <w:lang w:val="en-IE"/>
              </w:rPr>
            </w:pPr>
          </w:p>
          <w:p w14:paraId="4A7D3390" w14:textId="77777777" w:rsidR="000D7FC6" w:rsidRPr="002C07B2" w:rsidRDefault="000D7FC6" w:rsidP="00B658FD">
            <w:pPr>
              <w:jc w:val="both"/>
              <w:rPr>
                <w:sz w:val="22"/>
                <w:szCs w:val="22"/>
                <w:lang w:val="en-IE"/>
              </w:rPr>
            </w:pPr>
          </w:p>
          <w:p w14:paraId="402FEF75" w14:textId="77777777" w:rsidR="000D7FC6" w:rsidRPr="004C53E7" w:rsidDel="00404964" w:rsidRDefault="000D7FC6" w:rsidP="00B658FD">
            <w:pPr>
              <w:spacing w:line="480" w:lineRule="auto"/>
              <w:rPr>
                <w:rFonts w:ascii="Calibri" w:hAnsi="Calibri" w:cs="Arial"/>
                <w:lang w:val="en-IE"/>
              </w:rPr>
            </w:pPr>
          </w:p>
        </w:tc>
      </w:tr>
      <w:tr w:rsidR="000D7FC6" w:rsidRPr="004C53E7" w14:paraId="3BBE347F" w14:textId="77777777" w:rsidTr="000D7FC6">
        <w:tc>
          <w:tcPr>
            <w:tcW w:w="9540" w:type="dxa"/>
            <w:gridSpan w:val="6"/>
            <w:shd w:val="clear" w:color="auto" w:fill="C6D9F1"/>
            <w:vAlign w:val="center"/>
          </w:tcPr>
          <w:p w14:paraId="11AB63CF"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7720ADF3" w14:textId="77777777" w:rsidR="000D7FC6" w:rsidRPr="004C53E7" w:rsidRDefault="000D7FC6" w:rsidP="00B658F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D7FC6" w:rsidRPr="004C53E7" w14:paraId="7E53F184" w14:textId="77777777" w:rsidTr="000D7FC6">
        <w:tc>
          <w:tcPr>
            <w:tcW w:w="9540" w:type="dxa"/>
            <w:gridSpan w:val="6"/>
            <w:vAlign w:val="center"/>
          </w:tcPr>
          <w:p w14:paraId="0AF0B14D" w14:textId="77777777" w:rsidR="000D7FC6" w:rsidRDefault="000D7FC6" w:rsidP="00B658FD">
            <w:pPr>
              <w:rPr>
                <w:rFonts w:ascii="Calibri" w:hAnsi="Calibri" w:cs="Arial"/>
                <w:lang w:val="en-IE"/>
              </w:rPr>
            </w:pPr>
          </w:p>
          <w:p w14:paraId="4ECE7D2F" w14:textId="77777777" w:rsidR="000D7FC6" w:rsidRDefault="000D7FC6" w:rsidP="00B658FD">
            <w:pPr>
              <w:rPr>
                <w:rFonts w:ascii="Calibri" w:hAnsi="Calibri" w:cs="Arial"/>
                <w:lang w:val="en-IE"/>
              </w:rPr>
            </w:pPr>
            <w:r>
              <w:rPr>
                <w:rFonts w:ascii="Calibri" w:hAnsi="Calibri" w:cs="Arial"/>
                <w:lang w:val="en-IE"/>
              </w:rPr>
              <w:t xml:space="preserve">This modification is intended to increase transparency on the calculation of FNDDS and consequently the settlement of reliability options for DSUs. It is also intended to implement the agreed action from working group meeting 2 of Mod_32_18 to include the system service flagging arrangements in FNDDS to mirror those of non-DSU generators and thereby reduce undue discrimination against DSUs in reliability option settlement. </w:t>
            </w:r>
          </w:p>
          <w:p w14:paraId="62A56657" w14:textId="77777777" w:rsidR="000D7FC6" w:rsidRPr="004C53E7" w:rsidRDefault="000D7FC6" w:rsidP="00B658FD">
            <w:pPr>
              <w:rPr>
                <w:rFonts w:ascii="Calibri" w:hAnsi="Calibri" w:cs="Arial"/>
                <w:lang w:val="en-IE"/>
              </w:rPr>
            </w:pPr>
          </w:p>
        </w:tc>
      </w:tr>
      <w:tr w:rsidR="000D7FC6" w:rsidRPr="004C53E7" w14:paraId="3EB732FA" w14:textId="77777777" w:rsidTr="000D7FC6">
        <w:tc>
          <w:tcPr>
            <w:tcW w:w="9540" w:type="dxa"/>
            <w:gridSpan w:val="6"/>
            <w:shd w:val="clear" w:color="auto" w:fill="C6D9F1"/>
            <w:vAlign w:val="center"/>
          </w:tcPr>
          <w:p w14:paraId="756553F4" w14:textId="77777777" w:rsidR="000D7FC6" w:rsidRPr="004C53E7" w:rsidRDefault="000D7FC6" w:rsidP="00B658FD">
            <w:pPr>
              <w:jc w:val="center"/>
              <w:rPr>
                <w:rFonts w:ascii="Calibri" w:hAnsi="Calibri" w:cs="Arial"/>
                <w:b/>
                <w:bCs/>
                <w:iCs/>
                <w:lang w:val="en-IE"/>
              </w:rPr>
            </w:pPr>
            <w:r w:rsidRPr="004C53E7">
              <w:rPr>
                <w:rFonts w:ascii="Calibri" w:hAnsi="Calibri" w:cs="Arial"/>
                <w:b/>
                <w:bCs/>
                <w:iCs/>
                <w:lang w:val="en-IE"/>
              </w:rPr>
              <w:t>Code Objectives Furthered</w:t>
            </w:r>
          </w:p>
          <w:p w14:paraId="4B52B359" w14:textId="77777777" w:rsidR="000D7FC6" w:rsidRPr="004C53E7" w:rsidRDefault="000D7FC6" w:rsidP="00B658F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0D7FC6" w:rsidRPr="004C53E7" w14:paraId="4F07B5FA" w14:textId="77777777" w:rsidTr="000D7FC6">
        <w:tc>
          <w:tcPr>
            <w:tcW w:w="9540" w:type="dxa"/>
            <w:gridSpan w:val="6"/>
            <w:vAlign w:val="center"/>
          </w:tcPr>
          <w:p w14:paraId="152B6BE7" w14:textId="77777777" w:rsidR="000D7FC6" w:rsidRDefault="000D7FC6" w:rsidP="00B658FD">
            <w:pPr>
              <w:spacing w:line="480" w:lineRule="auto"/>
              <w:rPr>
                <w:rFonts w:ascii="Calibri" w:hAnsi="Calibri" w:cs="Arial"/>
                <w:lang w:val="en-IE"/>
              </w:rPr>
            </w:pPr>
            <w:r>
              <w:rPr>
                <w:rFonts w:ascii="Calibri" w:hAnsi="Calibri" w:cs="Arial"/>
                <w:lang w:val="en-IE"/>
              </w:rPr>
              <w:t>Electricity Exchange that this modification will further the following code obligations</w:t>
            </w:r>
          </w:p>
          <w:p w14:paraId="3DD7308B" w14:textId="77777777" w:rsidR="000D7FC6" w:rsidRDefault="000D7FC6" w:rsidP="00B658FD">
            <w:pPr>
              <w:spacing w:line="480" w:lineRule="auto"/>
              <w:ind w:left="720"/>
              <w:rPr>
                <w:rFonts w:ascii="Calibri" w:hAnsi="Calibri" w:cs="Arial"/>
                <w:lang w:val="en-IE"/>
              </w:rPr>
            </w:pPr>
            <w:r>
              <w:rPr>
                <w:rFonts w:ascii="Calibri" w:hAnsi="Calibri" w:cs="Arial"/>
                <w:lang w:val="en-IE"/>
              </w:rPr>
              <w:t>(e) To provide transparency in the operation of the Single Electricity Market; and</w:t>
            </w:r>
          </w:p>
          <w:p w14:paraId="036E241C" w14:textId="77777777" w:rsidR="000D7FC6" w:rsidRDefault="000D7FC6" w:rsidP="00B658FD">
            <w:pPr>
              <w:spacing w:line="480" w:lineRule="auto"/>
              <w:ind w:left="720"/>
              <w:rPr>
                <w:rFonts w:ascii="Calibri" w:hAnsi="Calibri" w:cs="Arial"/>
                <w:lang w:val="en-IE"/>
              </w:rPr>
            </w:pPr>
            <w:r>
              <w:rPr>
                <w:rFonts w:ascii="Calibri" w:hAnsi="Calibri" w:cs="Arial"/>
                <w:lang w:val="en-IE"/>
              </w:rPr>
              <w:t>(f) to ensure no undue discrimination between persons who are parties to the Code.</w:t>
            </w:r>
          </w:p>
          <w:p w14:paraId="336BF0F5" w14:textId="77777777" w:rsidR="000D7FC6" w:rsidRPr="004C53E7" w:rsidRDefault="000D7FC6" w:rsidP="00B658FD">
            <w:pPr>
              <w:spacing w:line="480" w:lineRule="auto"/>
              <w:jc w:val="both"/>
              <w:rPr>
                <w:rFonts w:ascii="Calibri" w:hAnsi="Calibri" w:cs="Arial"/>
                <w:lang w:val="en-IE"/>
              </w:rPr>
            </w:pPr>
            <w:r>
              <w:rPr>
                <w:rFonts w:ascii="Calibri" w:hAnsi="Calibri" w:cs="Arial"/>
                <w:lang w:val="en-IE"/>
              </w:rPr>
              <w:t xml:space="preserve">In the case of (e) this will be furthered through the clarification in the code of how a key settlement variable is calculated and in the case of (f) this will be furthered by introduction of system service flags to DSU capacity settlement in the same manner as other Generator Units. </w:t>
            </w:r>
          </w:p>
        </w:tc>
      </w:tr>
      <w:tr w:rsidR="000D7FC6" w:rsidRPr="004C53E7" w14:paraId="23CB526B" w14:textId="77777777" w:rsidTr="000D7FC6">
        <w:tc>
          <w:tcPr>
            <w:tcW w:w="9540" w:type="dxa"/>
            <w:gridSpan w:val="6"/>
            <w:shd w:val="clear" w:color="auto" w:fill="C6D9F1"/>
            <w:vAlign w:val="center"/>
          </w:tcPr>
          <w:p w14:paraId="75DD22E4" w14:textId="77777777" w:rsidR="000D7FC6" w:rsidRPr="004C53E7" w:rsidRDefault="000D7FC6" w:rsidP="00B658FD">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3F907452" w14:textId="77777777" w:rsidR="000D7FC6" w:rsidRPr="004C53E7" w:rsidRDefault="000D7FC6" w:rsidP="00B658F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D7FC6" w:rsidRPr="00536441" w14:paraId="5709018A" w14:textId="77777777" w:rsidTr="000D7FC6">
        <w:tc>
          <w:tcPr>
            <w:tcW w:w="9540" w:type="dxa"/>
            <w:gridSpan w:val="6"/>
            <w:vAlign w:val="center"/>
          </w:tcPr>
          <w:p w14:paraId="4A25AA89" w14:textId="77777777" w:rsidR="000D7FC6" w:rsidRDefault="000D7FC6" w:rsidP="00B658FD">
            <w:pPr>
              <w:spacing w:line="480" w:lineRule="auto"/>
              <w:jc w:val="both"/>
              <w:rPr>
                <w:rFonts w:ascii="Calibri" w:hAnsi="Calibri" w:cs="Arial"/>
                <w:lang w:val="en-IE"/>
              </w:rPr>
            </w:pPr>
            <w:r>
              <w:rPr>
                <w:rFonts w:ascii="Calibri" w:hAnsi="Calibri" w:cs="Arial"/>
                <w:lang w:val="en-IE"/>
              </w:rPr>
              <w:t>The modification comes in two parts:</w:t>
            </w:r>
          </w:p>
          <w:p w14:paraId="220C378B" w14:textId="77777777" w:rsidR="000D7FC6" w:rsidRDefault="000D7FC6" w:rsidP="000D7FC6">
            <w:pPr>
              <w:pStyle w:val="ListParagraph"/>
              <w:numPr>
                <w:ilvl w:val="0"/>
                <w:numId w:val="68"/>
              </w:numPr>
              <w:overflowPunct w:val="0"/>
              <w:autoSpaceDE w:val="0"/>
              <w:autoSpaceDN w:val="0"/>
              <w:adjustRightInd w:val="0"/>
              <w:spacing w:before="0" w:after="0" w:line="480" w:lineRule="auto"/>
              <w:jc w:val="both"/>
              <w:textAlignment w:val="baseline"/>
              <w:rPr>
                <w:rFonts w:ascii="Calibri" w:hAnsi="Calibri" w:cs="Arial"/>
                <w:lang w:val="en-IE"/>
              </w:rPr>
            </w:pPr>
            <w:r>
              <w:rPr>
                <w:rFonts w:ascii="Calibri" w:hAnsi="Calibri" w:cs="Arial"/>
                <w:lang w:val="en-IE"/>
              </w:rPr>
              <w:t>Codif</w:t>
            </w:r>
            <w:del w:id="314" w:author="Author">
              <w:r w:rsidDel="0096793C">
                <w:rPr>
                  <w:rFonts w:ascii="Calibri" w:hAnsi="Calibri" w:cs="Arial"/>
                  <w:lang w:val="en-IE"/>
                </w:rPr>
                <w:delText>i</w:delText>
              </w:r>
            </w:del>
            <w:r>
              <w:rPr>
                <w:rFonts w:ascii="Calibri" w:hAnsi="Calibri" w:cs="Arial"/>
                <w:lang w:val="en-IE"/>
              </w:rPr>
              <w:t>y the FNDDS calculation in the T&amp;SC; and</w:t>
            </w:r>
          </w:p>
          <w:p w14:paraId="49BB86F1" w14:textId="77777777" w:rsidR="000D7FC6" w:rsidRDefault="000D7FC6" w:rsidP="000D7FC6">
            <w:pPr>
              <w:pStyle w:val="ListParagraph"/>
              <w:numPr>
                <w:ilvl w:val="0"/>
                <w:numId w:val="68"/>
              </w:numPr>
              <w:overflowPunct w:val="0"/>
              <w:autoSpaceDE w:val="0"/>
              <w:autoSpaceDN w:val="0"/>
              <w:adjustRightInd w:val="0"/>
              <w:spacing w:before="0" w:after="0" w:line="480" w:lineRule="auto"/>
              <w:jc w:val="both"/>
              <w:textAlignment w:val="baseline"/>
              <w:rPr>
                <w:rFonts w:ascii="Calibri" w:hAnsi="Calibri" w:cs="Arial"/>
                <w:lang w:val="en-IE"/>
              </w:rPr>
            </w:pPr>
            <w:r>
              <w:rPr>
                <w:rFonts w:ascii="Calibri" w:hAnsi="Calibri" w:cs="Arial"/>
                <w:lang w:val="en-IE"/>
              </w:rPr>
              <w:t xml:space="preserve">Incorporate the system service flag into FNDDS calculation. </w:t>
            </w:r>
          </w:p>
          <w:p w14:paraId="3A34B546" w14:textId="77777777" w:rsidR="000D7FC6" w:rsidRDefault="000D7FC6" w:rsidP="00B658FD">
            <w:pPr>
              <w:spacing w:line="480" w:lineRule="auto"/>
              <w:jc w:val="both"/>
              <w:rPr>
                <w:rFonts w:ascii="Calibri" w:hAnsi="Calibri" w:cs="Arial"/>
                <w:lang w:val="en-IE"/>
              </w:rPr>
            </w:pPr>
          </w:p>
          <w:p w14:paraId="131B2396" w14:textId="77777777" w:rsidR="000D7FC6" w:rsidRDefault="000D7FC6" w:rsidP="00B658FD">
            <w:pPr>
              <w:spacing w:line="480" w:lineRule="auto"/>
              <w:jc w:val="both"/>
              <w:rPr>
                <w:rFonts w:ascii="Calibri" w:hAnsi="Calibri" w:cs="Arial"/>
                <w:lang w:val="en-IE"/>
              </w:rPr>
            </w:pPr>
            <w:r>
              <w:rPr>
                <w:rFonts w:ascii="Calibri" w:hAnsi="Calibri" w:cs="Arial"/>
                <w:lang w:val="en-IE"/>
              </w:rPr>
              <w:t xml:space="preserve">Failure to implement part 1 of the modification will prolong the lack of transparency for DSUs in their capacity market settlement obligations and therefore affect the ability of DSUs to accurately reflect risk in capacity market bids. As changes to FNDDS are not governed by the T&amp;SC, it would also prolong the period where DSUs are exposed to potential changes to FNDDS which do not take place in the structured manner of T&amp;SC modifications increasing risk of not just future capacity auctions but also for years where reliability options have already been issued. </w:t>
            </w:r>
          </w:p>
          <w:p w14:paraId="1330ED37" w14:textId="77777777" w:rsidR="000D7FC6" w:rsidRPr="00536441" w:rsidRDefault="000D7FC6" w:rsidP="00B658FD">
            <w:pPr>
              <w:spacing w:line="480" w:lineRule="auto"/>
              <w:jc w:val="both"/>
              <w:rPr>
                <w:rFonts w:ascii="Calibri" w:hAnsi="Calibri" w:cs="Arial"/>
                <w:lang w:val="en-IE"/>
              </w:rPr>
            </w:pPr>
            <w:r>
              <w:rPr>
                <w:rFonts w:ascii="Calibri" w:hAnsi="Calibri" w:cs="Arial"/>
                <w:lang w:val="en-IE"/>
              </w:rPr>
              <w:t xml:space="preserve">Failure to implement part 2 of this change would prolong a period of undue discrimination in reliability option </w:t>
            </w:r>
            <w:r>
              <w:rPr>
                <w:rFonts w:ascii="Calibri" w:hAnsi="Calibri" w:cs="Arial"/>
                <w:lang w:val="en-IE"/>
              </w:rPr>
              <w:lastRenderedPageBreak/>
              <w:t xml:space="preserve">settlement where exemptions to difference charges where the unit is providing appropriate system services are extended to generator units but not to DSUs. </w:t>
            </w:r>
          </w:p>
        </w:tc>
      </w:tr>
      <w:tr w:rsidR="000D7FC6" w:rsidRPr="004C53E7" w14:paraId="7857CB4A" w14:textId="77777777" w:rsidTr="000D7FC6">
        <w:trPr>
          <w:trHeight w:val="507"/>
        </w:trPr>
        <w:tc>
          <w:tcPr>
            <w:tcW w:w="4693" w:type="dxa"/>
            <w:gridSpan w:val="3"/>
            <w:shd w:val="clear" w:color="auto" w:fill="C6D9F1"/>
            <w:vAlign w:val="center"/>
          </w:tcPr>
          <w:p w14:paraId="0F8CEB92" w14:textId="77777777" w:rsidR="000D7FC6" w:rsidRPr="004C53E7" w:rsidRDefault="000D7FC6" w:rsidP="00B658FD">
            <w:pPr>
              <w:jc w:val="center"/>
              <w:rPr>
                <w:rFonts w:ascii="Calibri" w:hAnsi="Calibri" w:cs="Arial"/>
                <w:b/>
                <w:bCs/>
                <w:iCs/>
                <w:lang w:val="en-IE"/>
              </w:rPr>
            </w:pPr>
            <w:r w:rsidRPr="004C53E7">
              <w:rPr>
                <w:rFonts w:ascii="Calibri" w:hAnsi="Calibri" w:cs="Arial"/>
                <w:b/>
                <w:bCs/>
                <w:iCs/>
                <w:lang w:val="en-IE"/>
              </w:rPr>
              <w:lastRenderedPageBreak/>
              <w:t>Working Group</w:t>
            </w:r>
          </w:p>
          <w:p w14:paraId="2C35EAC0" w14:textId="77777777" w:rsidR="000D7FC6" w:rsidRPr="004C53E7" w:rsidRDefault="000D7FC6" w:rsidP="00B658F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2B7B8FC2" w14:textId="77777777" w:rsidR="000D7FC6" w:rsidRPr="004C53E7" w:rsidRDefault="000D7FC6" w:rsidP="00B658FD">
            <w:pPr>
              <w:jc w:val="center"/>
              <w:rPr>
                <w:rFonts w:ascii="Calibri" w:hAnsi="Calibri" w:cs="Arial"/>
                <w:b/>
                <w:bCs/>
                <w:iCs/>
                <w:lang w:val="en-IE"/>
              </w:rPr>
            </w:pPr>
            <w:r w:rsidRPr="004C53E7">
              <w:rPr>
                <w:rFonts w:ascii="Calibri" w:hAnsi="Calibri" w:cs="Arial"/>
                <w:b/>
                <w:bCs/>
                <w:iCs/>
                <w:lang w:val="en-IE"/>
              </w:rPr>
              <w:t>Impacts</w:t>
            </w:r>
          </w:p>
          <w:p w14:paraId="3E46CE4F" w14:textId="77777777" w:rsidR="000D7FC6" w:rsidRPr="004C53E7" w:rsidRDefault="000D7FC6" w:rsidP="00B658F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3D657574" w14:textId="77777777" w:rsidR="000D7FC6" w:rsidRPr="004C53E7" w:rsidRDefault="000D7FC6" w:rsidP="00B658FD">
            <w:pPr>
              <w:jc w:val="center"/>
              <w:rPr>
                <w:rFonts w:ascii="Calibri" w:hAnsi="Calibri" w:cs="Arial"/>
                <w:b/>
                <w:bCs/>
                <w:iCs/>
                <w:lang w:val="en-IE"/>
              </w:rPr>
            </w:pPr>
          </w:p>
        </w:tc>
      </w:tr>
      <w:tr w:rsidR="000D7FC6" w:rsidRPr="004C53E7" w:rsidDel="00404964" w14:paraId="385BBB1A" w14:textId="77777777" w:rsidTr="000D7FC6">
        <w:trPr>
          <w:trHeight w:val="507"/>
        </w:trPr>
        <w:tc>
          <w:tcPr>
            <w:tcW w:w="4693" w:type="dxa"/>
            <w:gridSpan w:val="3"/>
            <w:vAlign w:val="center"/>
          </w:tcPr>
          <w:p w14:paraId="5B1EC227" w14:textId="77777777" w:rsidR="000D7FC6" w:rsidRPr="004C53E7" w:rsidDel="00404964" w:rsidRDefault="000D7FC6" w:rsidP="00B658FD">
            <w:pPr>
              <w:spacing w:line="480" w:lineRule="auto"/>
              <w:rPr>
                <w:rFonts w:ascii="Calibri" w:hAnsi="Calibri" w:cs="Arial"/>
                <w:lang w:val="en-IE"/>
              </w:rPr>
            </w:pPr>
          </w:p>
        </w:tc>
        <w:tc>
          <w:tcPr>
            <w:tcW w:w="4847" w:type="dxa"/>
            <w:gridSpan w:val="3"/>
            <w:vAlign w:val="center"/>
          </w:tcPr>
          <w:p w14:paraId="460B3E24" w14:textId="77777777" w:rsidR="000D7FC6" w:rsidRPr="004C53E7" w:rsidDel="00404964" w:rsidRDefault="000D7FC6" w:rsidP="00B658FD">
            <w:pPr>
              <w:spacing w:line="480" w:lineRule="auto"/>
              <w:rPr>
                <w:rFonts w:ascii="Calibri" w:hAnsi="Calibri" w:cs="Arial"/>
                <w:lang w:val="en-IE"/>
              </w:rPr>
            </w:pPr>
          </w:p>
        </w:tc>
      </w:tr>
      <w:tr w:rsidR="000D7FC6" w:rsidRPr="007E7191" w14:paraId="6A9078B5" w14:textId="77777777" w:rsidTr="000D7FC6">
        <w:tc>
          <w:tcPr>
            <w:tcW w:w="9540" w:type="dxa"/>
            <w:gridSpan w:val="6"/>
            <w:vAlign w:val="center"/>
          </w:tcPr>
          <w:p w14:paraId="3225ADFC" w14:textId="77777777" w:rsidR="000D7FC6" w:rsidRPr="007E7191" w:rsidRDefault="000D7FC6" w:rsidP="00B658FD">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9" w:history="1">
              <w:r w:rsidRPr="007E7191">
                <w:rPr>
                  <w:rFonts w:eastAsiaTheme="minorHAnsi"/>
                  <w:color w:val="0000FF"/>
                  <w:sz w:val="24"/>
                  <w:szCs w:val="24"/>
                  <w:u w:val="single"/>
                  <w:lang w:val="en-IE"/>
                </w:rPr>
                <w:t>balancingmodifications@sem-o.com</w:t>
              </w:r>
            </w:hyperlink>
          </w:p>
        </w:tc>
      </w:tr>
    </w:tbl>
    <w:p w14:paraId="4D3F446E" w14:textId="6DAF1B58" w:rsidR="000D7FC6" w:rsidRPr="000D7FC6" w:rsidRDefault="000D7FC6" w:rsidP="000D7FC6">
      <w:pPr>
        <w:rPr>
          <w:lang w:eastAsia="en-GB" w:bidi="ar-SA"/>
        </w:rPr>
      </w:pPr>
    </w:p>
    <w:sectPr w:rsidR="000D7FC6" w:rsidRPr="000D7FC6" w:rsidSect="00EB1AF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01D4F" w14:textId="77777777" w:rsidR="00FC4ABC" w:rsidRDefault="00FC4ABC">
      <w:r>
        <w:separator/>
      </w:r>
    </w:p>
  </w:endnote>
  <w:endnote w:type="continuationSeparator" w:id="0">
    <w:p w14:paraId="23657722" w14:textId="77777777" w:rsidR="00FC4ABC" w:rsidRDefault="00FC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627814" w:rsidRDefault="00627814">
    <w:pPr>
      <w:pStyle w:val="Footer"/>
      <w:jc w:val="center"/>
    </w:pPr>
    <w:r>
      <w:fldChar w:fldCharType="begin"/>
    </w:r>
    <w:r>
      <w:instrText xml:space="preserve"> PAGE   \* MERGEFORMAT </w:instrText>
    </w:r>
    <w:r>
      <w:fldChar w:fldCharType="separate"/>
    </w:r>
    <w:r w:rsidR="008B715F">
      <w:rPr>
        <w:noProof/>
      </w:rPr>
      <w:t>1</w:t>
    </w:r>
    <w:r>
      <w:rPr>
        <w:noProof/>
      </w:rPr>
      <w:fldChar w:fldCharType="end"/>
    </w:r>
  </w:p>
  <w:p w14:paraId="7EE54BDD" w14:textId="77777777" w:rsidR="00627814" w:rsidRPr="00A53010" w:rsidRDefault="00627814"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6EF61" w14:textId="77777777" w:rsidR="00FC4ABC" w:rsidRDefault="00FC4ABC">
      <w:r>
        <w:separator/>
      </w:r>
    </w:p>
  </w:footnote>
  <w:footnote w:type="continuationSeparator" w:id="0">
    <w:p w14:paraId="612A4CBD" w14:textId="77777777" w:rsidR="00FC4ABC" w:rsidRDefault="00FC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02FCC9FD" w:rsidR="00627814" w:rsidRPr="00DA2DEE" w:rsidRDefault="00627814"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Mod_16_19</w:t>
    </w:r>
  </w:p>
  <w:p w14:paraId="7EE54BDA" w14:textId="77777777" w:rsidR="00627814" w:rsidRPr="0018497A" w:rsidRDefault="00627814"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627814" w:rsidRDefault="00627814"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46B258B"/>
    <w:multiLevelType w:val="hybridMultilevel"/>
    <w:tmpl w:val="C5ACE672"/>
    <w:lvl w:ilvl="0" w:tplc="7F08DAB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8">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0">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5">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6">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7">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8">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3">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4">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8">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0">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4">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8">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1">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2">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4">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5">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2">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3">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9">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7"/>
  </w:num>
  <w:num w:numId="2">
    <w:abstractNumId w:val="51"/>
  </w:num>
  <w:num w:numId="3">
    <w:abstractNumId w:val="7"/>
  </w:num>
  <w:num w:numId="4">
    <w:abstractNumId w:val="29"/>
  </w:num>
  <w:num w:numId="5">
    <w:abstractNumId w:val="22"/>
  </w:num>
  <w:num w:numId="6">
    <w:abstractNumId w:val="15"/>
  </w:num>
  <w:num w:numId="7">
    <w:abstractNumId w:val="50"/>
  </w:num>
  <w:num w:numId="8">
    <w:abstractNumId w:val="54"/>
  </w:num>
  <w:num w:numId="9">
    <w:abstractNumId w:val="44"/>
  </w:num>
  <w:num w:numId="10">
    <w:abstractNumId w:val="49"/>
  </w:num>
  <w:num w:numId="11">
    <w:abstractNumId w:val="17"/>
  </w:num>
  <w:num w:numId="12">
    <w:abstractNumId w:val="42"/>
  </w:num>
  <w:num w:numId="13">
    <w:abstractNumId w:val="20"/>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4"/>
  </w:num>
  <w:num w:numId="20">
    <w:abstractNumId w:val="6"/>
  </w:num>
  <w:num w:numId="21">
    <w:abstractNumId w:val="32"/>
  </w:num>
  <w:num w:numId="22">
    <w:abstractNumId w:val="37"/>
  </w:num>
  <w:num w:numId="23">
    <w:abstractNumId w:val="10"/>
  </w:num>
  <w:num w:numId="24">
    <w:abstractNumId w:val="48"/>
  </w:num>
  <w:num w:numId="25">
    <w:abstractNumId w:val="52"/>
  </w:num>
  <w:num w:numId="26">
    <w:abstractNumId w:val="56"/>
  </w:num>
  <w:num w:numId="27">
    <w:abstractNumId w:val="41"/>
  </w:num>
  <w:num w:numId="28">
    <w:abstractNumId w:val="40"/>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24"/>
  </w:num>
  <w:num w:numId="33">
    <w:abstractNumId w:val="9"/>
  </w:num>
  <w:num w:numId="34">
    <w:abstractNumId w:val="23"/>
  </w:num>
  <w:num w:numId="35">
    <w:abstractNumId w:val="30"/>
  </w:num>
  <w:num w:numId="36">
    <w:abstractNumId w:val="27"/>
  </w:num>
  <w:num w:numId="37">
    <w:abstractNumId w:val="58"/>
  </w:num>
  <w:num w:numId="38">
    <w:abstractNumId w:val="53"/>
  </w:num>
  <w:num w:numId="39">
    <w:abstractNumId w:val="38"/>
  </w:num>
  <w:num w:numId="40">
    <w:abstractNumId w:val="28"/>
  </w:num>
  <w:num w:numId="41">
    <w:abstractNumId w:val="3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5"/>
  </w:num>
  <w:num w:numId="45">
    <w:abstractNumId w:val="26"/>
  </w:num>
  <w:num w:numId="46">
    <w:abstractNumId w:val="46"/>
  </w:num>
  <w:num w:numId="47">
    <w:abstractNumId w:val="26"/>
    <w:lvlOverride w:ilvl="0">
      <w:startOverride w:val="5"/>
    </w:lvlOverride>
  </w:num>
  <w:num w:numId="48">
    <w:abstractNumId w:val="36"/>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3"/>
  </w:num>
  <w:num w:numId="50">
    <w:abstractNumId w:val="43"/>
    <w:lvlOverride w:ilvl="0">
      <w:startOverride w:val="12"/>
    </w:lvlOverride>
  </w:num>
  <w:num w:numId="51">
    <w:abstractNumId w:val="36"/>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num>
  <w:num w:numId="56">
    <w:abstractNumId w:val="31"/>
  </w:num>
  <w:num w:numId="57">
    <w:abstractNumId w:val="59"/>
  </w:num>
  <w:num w:numId="58">
    <w:abstractNumId w:val="34"/>
  </w:num>
  <w:num w:numId="59">
    <w:abstractNumId w:val="11"/>
  </w:num>
  <w:num w:numId="60">
    <w:abstractNumId w:val="18"/>
  </w:num>
  <w:num w:numId="61">
    <w:abstractNumId w:val="55"/>
  </w:num>
  <w:num w:numId="62">
    <w:abstractNumId w:val="33"/>
  </w:num>
  <w:num w:numId="63">
    <w:abstractNumId w:val="7"/>
  </w:num>
  <w:num w:numId="64">
    <w:abstractNumId w:val="16"/>
  </w:num>
  <w:num w:numId="65">
    <w:abstractNumId w:val="60"/>
  </w:num>
  <w:num w:numId="66">
    <w:abstractNumId w:val="21"/>
  </w:num>
  <w:num w:numId="67">
    <w:abstractNumId w:val="39"/>
  </w:num>
  <w:num w:numId="68">
    <w:abstractNumId w:val="47"/>
  </w:num>
  <w:num w:numId="69">
    <w:abstractNumId w:val="8"/>
  </w:num>
  <w:num w:numId="70">
    <w:abstractNumId w:val="3"/>
  </w:num>
  <w:num w:numId="71">
    <w:abstractNumId w:val="20"/>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05FC"/>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985"/>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58A2"/>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4233"/>
    <w:rsid w:val="002F54AE"/>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6CA1"/>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0B"/>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814"/>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2B"/>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15F"/>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D6BB8"/>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1590"/>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2F6D"/>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8FD"/>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1646"/>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5AC5"/>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87786"/>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6F3"/>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E7BD2"/>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6BF"/>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4ABC"/>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5CA6"/>
    <w:rsid w:val="00FD675E"/>
    <w:rsid w:val="00FD6B71"/>
    <w:rsid w:val="00FD6F10"/>
    <w:rsid w:val="00FD7444"/>
    <w:rsid w:val="00FD7D96"/>
    <w:rsid w:val="00FD7E26"/>
    <w:rsid w:val="00FE0A74"/>
    <w:rsid w:val="00FE1295"/>
    <w:rsid w:val="00FE2721"/>
    <w:rsid w:val="00FE29AB"/>
    <w:rsid w:val="00FE2F76"/>
    <w:rsid w:val="00FE3A68"/>
    <w:rsid w:val="00FE3C21"/>
    <w:rsid w:val="00FE464C"/>
    <w:rsid w:val="00FE4D93"/>
    <w:rsid w:val="00FE64B2"/>
    <w:rsid w:val="00FE67E9"/>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https://www.sem-o.com/documents/general-publications/Note-for-Participants-on-FNDDS-Calculation-Methodology.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16_19/mOD_16_19Presentationslides.pdf" TargetMode="External"/><Relationship Id="rId2" Type="http://schemas.openxmlformats.org/officeDocument/2006/relationships/customXml" Target="../customXml/item2.xml"/><Relationship Id="rId16" Type="http://schemas.openxmlformats.org/officeDocument/2006/relationships/hyperlink" Target="https://www.sem-o.com/documents/general-publications/Note-for-Participants-on-FNDDS-Calculation-Methodolog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16_19/mOD_16_19Presentationslide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balancing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16_19/Mod_16_19CodificationofTSOFNDDSMethodologyandSystemServiceFlagforDSUSettlemen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Mod_16_19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25B8E-5DA3-4EB9-8F39-E56BD0A2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26715</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2020-03-02T15:34:00Z</dcterms:created>
  <dcterms:modified xsi:type="dcterms:W3CDTF">2020-03-02T15:34:00Z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